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Pr>
        <w:jc w:val="center"/>
      </w:pPr>
      <w:r>
        <w:rPr>
          <w:b/>
          <w:color w:val="1F3A5F"/>
          <w:sz w:val="68"/>
        </w:rPr>
        <w:t>KELUARGAMART</w:t>
      </w:r>
    </w:p>
    <w:p>
      <w:pPr>
        <w:jc w:val="center"/>
      </w:pPr>
      <w:r>
        <w:rPr>
          <w:b/>
          <w:sz w:val="48"/>
        </w:rPr>
        <w:t>Monorepo Complete Documentation</w:t>
      </w:r>
    </w:p>
    <w:p>
      <w:pPr>
        <w:jc w:val="center"/>
      </w:pPr>
      <w:r>
        <w:rPr>
          <w:color w:val="555F6D"/>
          <w:sz w:val="28"/>
        </w:rPr>
        <w:t>Technical, Operational and Business Reference</w:t>
      </w:r>
    </w:p>
    <w:p/>
    <w:p>
      <w:pPr>
        <w:jc w:val="center"/>
      </w:pPr>
      <w:r>
        <w:rPr>
          <w:i/>
          <w:sz w:val="22"/>
        </w:rPr>
        <w:t>Evidence-based audit of the repository at commit 288b6ce</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2304"/>
            <w:shd w:val="clear" w:color="auto" w:fill="1F3A5F"/>
          </w:tcPr>
          <w:p>
            <w:pPr>
              <w:spacing w:after="0"/>
            </w:pPr>
            <w:r/>
            <w:r>
              <w:rPr>
                <w:b/>
                <w:color w:val="FFFFFF"/>
                <w:sz w:val="16"/>
              </w:rPr>
              <w:t>Field</w:t>
            </w:r>
          </w:p>
        </w:tc>
        <w:tc>
          <w:tcPr>
            <w:tcW w:type="dxa" w:w="7056"/>
            <w:shd w:val="clear" w:color="auto" w:fill="1F3A5F"/>
          </w:tcPr>
          <w:p>
            <w:pPr>
              <w:spacing w:after="0"/>
            </w:pPr>
            <w:r/>
            <w:r>
              <w:rPr>
                <w:b/>
                <w:color w:val="FFFFFF"/>
                <w:sz w:val="16"/>
              </w:rPr>
              <w:t>Value</w:t>
            </w:r>
          </w:p>
        </w:tc>
      </w:tr>
      <w:tr>
        <w:trPr>
          <w:cantSplit/>
        </w:trPr>
        <w:tc>
          <w:tcPr>
            <w:tcW w:type="dxa" w:w="2304"/>
          </w:tcPr>
          <w:p>
            <w:pPr>
              <w:spacing w:after="0"/>
            </w:pPr>
            <w:r/>
            <w:r>
              <w:rPr>
                <w:sz w:val="16"/>
              </w:rPr>
              <w:t>Product</w:t>
            </w:r>
          </w:p>
        </w:tc>
        <w:tc>
          <w:tcPr>
            <w:tcW w:type="dxa" w:w="7056"/>
          </w:tcPr>
          <w:p>
            <w:pPr>
              <w:spacing w:after="0"/>
            </w:pPr>
            <w:r/>
            <w:r>
              <w:rPr>
                <w:sz w:val="16"/>
              </w:rPr>
              <w:t>KeluargaMart — retail, distribution and wholesale omnichannel platform</w:t>
            </w:r>
          </w:p>
        </w:tc>
      </w:tr>
      <w:tr>
        <w:trPr>
          <w:cantSplit/>
        </w:trPr>
        <w:tc>
          <w:tcPr>
            <w:tcW w:type="dxa" w:w="2304"/>
          </w:tcPr>
          <w:p>
            <w:pPr>
              <w:spacing w:after="0"/>
            </w:pPr>
            <w:r/>
            <w:r>
              <w:rPr>
                <w:sz w:val="16"/>
              </w:rPr>
              <w:t>Document title</w:t>
            </w:r>
          </w:p>
        </w:tc>
        <w:tc>
          <w:tcPr>
            <w:tcW w:type="dxa" w:w="7056"/>
          </w:tcPr>
          <w:p>
            <w:pPr>
              <w:spacing w:after="0"/>
            </w:pPr>
            <w:r/>
            <w:r>
              <w:rPr>
                <w:sz w:val="16"/>
              </w:rPr>
              <w:t>KeluargaMart Monorepo — Complete Documentation</w:t>
            </w:r>
          </w:p>
        </w:tc>
      </w:tr>
      <w:tr>
        <w:trPr>
          <w:cantSplit/>
        </w:trPr>
        <w:tc>
          <w:tcPr>
            <w:tcW w:type="dxa" w:w="2304"/>
          </w:tcPr>
          <w:p>
            <w:pPr>
              <w:spacing w:after="0"/>
            </w:pPr>
            <w:r/>
            <w:r>
              <w:rPr>
                <w:sz w:val="16"/>
              </w:rPr>
              <w:t>Document version</w:t>
            </w:r>
          </w:p>
        </w:tc>
        <w:tc>
          <w:tcPr>
            <w:tcW w:type="dxa" w:w="7056"/>
          </w:tcPr>
          <w:p>
            <w:pPr>
              <w:spacing w:after="0"/>
            </w:pPr>
            <w:r/>
            <w:r>
              <w:rPr>
                <w:sz w:val="16"/>
              </w:rPr>
              <w:t>1.0.0</w:t>
            </w:r>
          </w:p>
        </w:tc>
      </w:tr>
      <w:tr>
        <w:trPr>
          <w:cantSplit/>
        </w:trPr>
        <w:tc>
          <w:tcPr>
            <w:tcW w:type="dxa" w:w="2304"/>
          </w:tcPr>
          <w:p>
            <w:pPr>
              <w:spacing w:after="0"/>
            </w:pPr>
            <w:r/>
            <w:r>
              <w:rPr>
                <w:sz w:val="16"/>
              </w:rPr>
              <w:t>Audited commit</w:t>
            </w:r>
          </w:p>
        </w:tc>
        <w:tc>
          <w:tcPr>
            <w:tcW w:type="dxa" w:w="7056"/>
          </w:tcPr>
          <w:p>
            <w:pPr>
              <w:spacing w:after="0"/>
            </w:pPr>
            <w:r/>
            <w:r>
              <w:rPr>
                <w:sz w:val="16"/>
              </w:rPr>
              <w:t>288b6cea77c3aa8c77e314f0bbef48d7bf35828e (main)</w:t>
            </w:r>
          </w:p>
        </w:tc>
      </w:tr>
      <w:tr>
        <w:trPr>
          <w:cantSplit/>
        </w:trPr>
        <w:tc>
          <w:tcPr>
            <w:tcW w:type="dxa" w:w="2304"/>
          </w:tcPr>
          <w:p>
            <w:pPr>
              <w:spacing w:after="0"/>
            </w:pPr>
            <w:r/>
            <w:r>
              <w:rPr>
                <w:sz w:val="16"/>
              </w:rPr>
              <w:t>Commit date</w:t>
            </w:r>
          </w:p>
        </w:tc>
        <w:tc>
          <w:tcPr>
            <w:tcW w:type="dxa" w:w="7056"/>
          </w:tcPr>
          <w:p>
            <w:pPr>
              <w:spacing w:after="0"/>
            </w:pPr>
            <w:r/>
            <w:r>
              <w:rPr>
                <w:sz w:val="16"/>
              </w:rPr>
              <w:t>2026-10-18 11:23:01 +0700</w:t>
            </w:r>
          </w:p>
        </w:tc>
      </w:tr>
      <w:tr>
        <w:trPr>
          <w:cantSplit/>
        </w:trPr>
        <w:tc>
          <w:tcPr>
            <w:tcW w:type="dxa" w:w="2304"/>
          </w:tcPr>
          <w:p>
            <w:pPr>
              <w:spacing w:after="0"/>
            </w:pPr>
            <w:r/>
            <w:r>
              <w:rPr>
                <w:sz w:val="16"/>
              </w:rPr>
              <w:t>Generation date</w:t>
            </w:r>
          </w:p>
        </w:tc>
        <w:tc>
          <w:tcPr>
            <w:tcW w:type="dxa" w:w="7056"/>
          </w:tcPr>
          <w:p>
            <w:pPr>
              <w:spacing w:after="0"/>
            </w:pPr>
            <w:r/>
            <w:r>
              <w:rPr>
                <w:sz w:val="16"/>
              </w:rPr>
              <w:t>2026-10-18</w:t>
            </w:r>
          </w:p>
        </w:tc>
      </w:tr>
      <w:tr>
        <w:trPr>
          <w:cantSplit/>
        </w:trPr>
        <w:tc>
          <w:tcPr>
            <w:tcW w:type="dxa" w:w="2304"/>
          </w:tcPr>
          <w:p>
            <w:pPr>
              <w:spacing w:after="0"/>
            </w:pPr>
            <w:r/>
            <w:r>
              <w:rPr>
                <w:sz w:val="16"/>
              </w:rPr>
              <w:t>Document status</w:t>
            </w:r>
          </w:p>
        </w:tc>
        <w:tc>
          <w:tcPr>
            <w:tcW w:type="dxa" w:w="7056"/>
          </w:tcPr>
          <w:p>
            <w:pPr>
              <w:spacing w:after="0"/>
            </w:pPr>
            <w:r/>
            <w:r>
              <w:rPr>
                <w:sz w:val="16"/>
              </w:rPr>
              <w:t>Final — verified against source, migrations and a live instance</w:t>
            </w:r>
          </w:p>
        </w:tc>
      </w:tr>
      <w:tr>
        <w:trPr>
          <w:cantSplit/>
        </w:trPr>
        <w:tc>
          <w:tcPr>
            <w:tcW w:type="dxa" w:w="2304"/>
          </w:tcPr>
          <w:p>
            <w:pPr>
              <w:spacing w:after="0"/>
            </w:pPr>
            <w:r/>
            <w:r>
              <w:rPr>
                <w:sz w:val="16"/>
              </w:rPr>
              <w:t>Classification</w:t>
            </w:r>
          </w:p>
        </w:tc>
        <w:tc>
          <w:tcPr>
            <w:tcW w:type="dxa" w:w="7056"/>
          </w:tcPr>
          <w:p>
            <w:pPr>
              <w:spacing w:after="0"/>
            </w:pPr>
            <w:r/>
            <w:r>
              <w:rPr>
                <w:sz w:val="16"/>
              </w:rPr>
              <w:t>Internal — contains no credentials, but describes internal topology</w:t>
            </w:r>
          </w:p>
        </w:tc>
      </w:tr>
      <w:tr>
        <w:trPr>
          <w:cantSplit/>
        </w:trPr>
        <w:tc>
          <w:tcPr>
            <w:tcW w:type="dxa" w:w="2304"/>
          </w:tcPr>
          <w:p>
            <w:pPr>
              <w:spacing w:after="0"/>
            </w:pPr>
            <w:r/>
            <w:r>
              <w:rPr>
                <w:sz w:val="16"/>
              </w:rPr>
              <w:t>Prepared by</w:t>
            </w:r>
          </w:p>
        </w:tc>
        <w:tc>
          <w:tcPr>
            <w:tcW w:type="dxa" w:w="7056"/>
          </w:tcPr>
          <w:p>
            <w:pPr>
              <w:spacing w:after="0"/>
            </w:pPr>
            <w:r/>
            <w:r>
              <w:rPr>
                <w:sz w:val="16"/>
              </w:rPr>
              <w:t>Automated repository audit (Principal Architect / Backend / Frontend / DBA / DevOps / QA review)</w:t>
            </w:r>
          </w:p>
        </w:tc>
      </w:tr>
      <w:tr>
        <w:trPr>
          <w:cantSplit/>
        </w:trPr>
        <w:tc>
          <w:tcPr>
            <w:tcW w:type="dxa" w:w="2304"/>
          </w:tcPr>
          <w:p>
            <w:pPr>
              <w:spacing w:after="0"/>
            </w:pPr>
            <w:r/>
            <w:r>
              <w:rPr>
                <w:sz w:val="16"/>
              </w:rPr>
              <w:t>Maintenance owner</w:t>
            </w:r>
          </w:p>
        </w:tc>
        <w:tc>
          <w:tcPr>
            <w:tcW w:type="dxa" w:w="7056"/>
          </w:tcPr>
          <w:p>
            <w:pPr>
              <w:spacing w:after="0"/>
            </w:pPr>
            <w:r/>
            <w:r>
              <w:rPr>
                <w:sz w:val="16"/>
              </w:rPr>
              <w:t>Not verified — no CODEOWNERS mapping resolves to a named team for docs/</w:t>
            </w:r>
          </w:p>
        </w:tc>
      </w:tr>
    </w:tbl>
    <w:p>
      <w:pPr>
        <w:spacing w:after="200"/>
      </w:pPr>
      <w:r>
        <w:rPr>
          <w:i/>
          <w:color w:val="555F6D"/>
          <w:sz w:val="17"/>
        </w:rPr>
        <w:t>Table 1. Document control block</w:t>
      </w:r>
    </w:p>
    <w:p>
      <w:bookmarkStart w:id="1001" w:name="_Toc1001"/>
      <w:pPr>
        <w:pStyle w:val="Heading1"/>
        <w:pageBreakBefore/>
      </w:pPr>
      <w:r>
        <w:t>Revision history</w:t>
      </w:r>
      <w:bookmarkEnd w:id="1001"/>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1152"/>
            <w:shd w:val="clear" w:color="auto" w:fill="1F3A5F"/>
          </w:tcPr>
          <w:p>
            <w:pPr>
              <w:spacing w:after="0"/>
            </w:pPr>
            <w:r/>
            <w:r>
              <w:rPr>
                <w:b/>
                <w:color w:val="FFFFFF"/>
                <w:sz w:val="16"/>
              </w:rPr>
              <w:t>Version</w:t>
            </w:r>
          </w:p>
        </w:tc>
        <w:tc>
          <w:tcPr>
            <w:tcW w:type="dxa" w:w="1440"/>
            <w:shd w:val="clear" w:color="auto" w:fill="1F3A5F"/>
          </w:tcPr>
          <w:p>
            <w:pPr>
              <w:spacing w:after="0"/>
            </w:pPr>
            <w:r/>
            <w:r>
              <w:rPr>
                <w:b/>
                <w:color w:val="FFFFFF"/>
                <w:sz w:val="16"/>
              </w:rPr>
              <w:t>Date</w:t>
            </w:r>
          </w:p>
        </w:tc>
        <w:tc>
          <w:tcPr>
            <w:tcW w:type="dxa" w:w="3456"/>
            <w:shd w:val="clear" w:color="auto" w:fill="1F3A5F"/>
          </w:tcPr>
          <w:p>
            <w:pPr>
              <w:spacing w:after="0"/>
            </w:pPr>
            <w:r/>
            <w:r>
              <w:rPr>
                <w:b/>
                <w:color w:val="FFFFFF"/>
                <w:sz w:val="16"/>
              </w:rPr>
              <w:t>Change</w:t>
            </w:r>
          </w:p>
        </w:tc>
        <w:tc>
          <w:tcPr>
            <w:tcW w:type="dxa" w:w="3312"/>
            <w:shd w:val="clear" w:color="auto" w:fill="1F3A5F"/>
          </w:tcPr>
          <w:p>
            <w:pPr>
              <w:spacing w:after="0"/>
            </w:pPr>
            <w:r/>
            <w:r>
              <w:rPr>
                <w:b/>
                <w:color w:val="FFFFFF"/>
                <w:sz w:val="16"/>
              </w:rPr>
              <w:t>Basis</w:t>
            </w:r>
          </w:p>
        </w:tc>
      </w:tr>
      <w:tr>
        <w:trPr>
          <w:cantSplit/>
        </w:trPr>
        <w:tc>
          <w:tcPr>
            <w:tcW w:type="dxa" w:w="1152"/>
          </w:tcPr>
          <w:p>
            <w:pPr>
              <w:spacing w:after="0"/>
            </w:pPr>
            <w:r/>
            <w:r>
              <w:rPr>
                <w:sz w:val="16"/>
              </w:rPr>
              <w:t>1.0.0</w:t>
            </w:r>
          </w:p>
        </w:tc>
        <w:tc>
          <w:tcPr>
            <w:tcW w:type="dxa" w:w="1440"/>
          </w:tcPr>
          <w:p>
            <w:pPr>
              <w:spacing w:after="0"/>
            </w:pPr>
            <w:r/>
            <w:r>
              <w:rPr>
                <w:sz w:val="16"/>
              </w:rPr>
              <w:t>2026-10-18</w:t>
            </w:r>
          </w:p>
        </w:tc>
        <w:tc>
          <w:tcPr>
            <w:tcW w:type="dxa" w:w="3456"/>
          </w:tcPr>
          <w:p>
            <w:pPr>
              <w:spacing w:after="0"/>
            </w:pPr>
            <w:r/>
            <w:r>
              <w:rPr>
                <w:sz w:val="16"/>
              </w:rPr>
              <w:t>Initial complete audit and reference document</w:t>
            </w:r>
          </w:p>
        </w:tc>
        <w:tc>
          <w:tcPr>
            <w:tcW w:type="dxa" w:w="3312"/>
          </w:tcPr>
          <w:p>
            <w:pPr>
              <w:spacing w:after="0"/>
            </w:pPr>
            <w:r/>
            <w:r>
              <w:rPr>
                <w:sz w:val="16"/>
              </w:rPr>
              <w:t>Repository at 288b6ce; migrations applied to PostgreSQL 16; backend executed locally; all test suites executed</w:t>
            </w:r>
          </w:p>
        </w:tc>
      </w:tr>
    </w:tbl>
    <w:p>
      <w:pPr>
        <w:spacing w:after="200"/>
      </w:pPr>
      <w:r>
        <w:rPr>
          <w:i/>
          <w:color w:val="555F6D"/>
          <w:sz w:val="17"/>
        </w:rPr>
        <w:t>Table 2. Revision history</w:t>
      </w:r>
    </w:p>
    <w:p>
      <w:bookmarkStart w:id="1002" w:name="_Toc1002"/>
      <w:pPr>
        <w:pStyle w:val="Heading1"/>
        <w:pageBreakBefore/>
      </w:pPr>
      <w:r>
        <w:t>How to read this document</w:t>
      </w:r>
      <w:bookmarkEnd w:id="1002"/>
    </w:p>
    <w:p>
      <w:r>
        <w:rPr>
          <w:i w:val="0"/>
        </w:rPr>
        <w:t>This document reconstructs the system from its source code, migrations, configuration, tests and a locally executed instance. It is not a design proposal. Every substantive claim is labelled with one of the following evidence classes, and the labels are used consistently throughout.</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1944"/>
            <w:shd w:val="clear" w:color="auto" w:fill="1F3A5F"/>
          </w:tcPr>
          <w:p>
            <w:pPr>
              <w:spacing w:after="0"/>
            </w:pPr>
            <w:r/>
            <w:r>
              <w:rPr>
                <w:b/>
                <w:color w:val="FFFFFF"/>
                <w:sz w:val="16"/>
              </w:rPr>
              <w:t>Label</w:t>
            </w:r>
          </w:p>
        </w:tc>
        <w:tc>
          <w:tcPr>
            <w:tcW w:type="dxa" w:w="3672"/>
            <w:shd w:val="clear" w:color="auto" w:fill="1F3A5F"/>
          </w:tcPr>
          <w:p>
            <w:pPr>
              <w:spacing w:after="0"/>
            </w:pPr>
            <w:r/>
            <w:r>
              <w:rPr>
                <w:b/>
                <w:color w:val="FFFFFF"/>
                <w:sz w:val="16"/>
              </w:rPr>
              <w:t>Meaning</w:t>
            </w:r>
          </w:p>
        </w:tc>
        <w:tc>
          <w:tcPr>
            <w:tcW w:type="dxa" w:w="3744"/>
            <w:shd w:val="clear" w:color="auto" w:fill="1F3A5F"/>
          </w:tcPr>
          <w:p>
            <w:pPr>
              <w:spacing w:after="0"/>
            </w:pPr>
            <w:r/>
            <w:r>
              <w:rPr>
                <w:b/>
                <w:color w:val="FFFFFF"/>
                <w:sz w:val="16"/>
              </w:rPr>
              <w:t>How it was established</w:t>
            </w:r>
          </w:p>
        </w:tc>
      </w:tr>
      <w:tr>
        <w:trPr>
          <w:cantSplit/>
        </w:trPr>
        <w:tc>
          <w:tcPr>
            <w:tcW w:type="dxa" w:w="1944"/>
          </w:tcPr>
          <w:p>
            <w:pPr>
              <w:spacing w:after="0"/>
            </w:pPr>
            <w:r/>
            <w:r>
              <w:rPr>
                <w:sz w:val="16"/>
              </w:rPr>
              <w:t>Verified implementation</w:t>
            </w:r>
          </w:p>
        </w:tc>
        <w:tc>
          <w:tcPr>
            <w:tcW w:type="dxa" w:w="3672"/>
          </w:tcPr>
          <w:p>
            <w:pPr>
              <w:spacing w:after="0"/>
            </w:pPr>
            <w:r/>
            <w:r>
              <w:rPr>
                <w:sz w:val="16"/>
              </w:rPr>
              <w:t>Behaviour directly supported by code, schema or configuration in the repository.</w:t>
            </w:r>
          </w:p>
        </w:tc>
        <w:tc>
          <w:tcPr>
            <w:tcW w:type="dxa" w:w="3744"/>
          </w:tcPr>
          <w:p>
            <w:pPr>
              <w:spacing w:after="0"/>
            </w:pPr>
            <w:r/>
            <w:r>
              <w:rPr>
                <w:sz w:val="16"/>
              </w:rPr>
              <w:t>Read the file; path and symbol cited.</w:t>
            </w:r>
          </w:p>
        </w:tc>
      </w:tr>
      <w:tr>
        <w:trPr>
          <w:cantSplit/>
        </w:trPr>
        <w:tc>
          <w:tcPr>
            <w:tcW w:type="dxa" w:w="1944"/>
          </w:tcPr>
          <w:p>
            <w:pPr>
              <w:spacing w:after="0"/>
            </w:pPr>
            <w:r/>
            <w:r>
              <w:rPr>
                <w:sz w:val="16"/>
              </w:rPr>
              <w:t>Verified runtime behaviour</w:t>
            </w:r>
          </w:p>
        </w:tc>
        <w:tc>
          <w:tcPr>
            <w:tcW w:type="dxa" w:w="3672"/>
          </w:tcPr>
          <w:p>
            <w:pPr>
              <w:spacing w:after="0"/>
            </w:pPr>
            <w:r/>
            <w:r>
              <w:rPr>
                <w:sz w:val="16"/>
              </w:rPr>
              <w:t>Behaviour observed while executing the system during this audit.</w:t>
            </w:r>
          </w:p>
        </w:tc>
        <w:tc>
          <w:tcPr>
            <w:tcW w:type="dxa" w:w="3744"/>
          </w:tcPr>
          <w:p>
            <w:pPr>
              <w:spacing w:after="0"/>
            </w:pPr>
            <w:r/>
            <w:r>
              <w:rPr>
                <w:sz w:val="16"/>
              </w:rPr>
              <w:t>Command executed against an isolated PostgreSQL 16 database and a locally started backend; output recorded in the text.</w:t>
            </w:r>
          </w:p>
        </w:tc>
      </w:tr>
      <w:tr>
        <w:trPr>
          <w:cantSplit/>
        </w:trPr>
        <w:tc>
          <w:tcPr>
            <w:tcW w:type="dxa" w:w="1944"/>
          </w:tcPr>
          <w:p>
            <w:pPr>
              <w:spacing w:after="0"/>
            </w:pPr>
            <w:r/>
            <w:r>
              <w:rPr>
                <w:sz w:val="16"/>
              </w:rPr>
              <w:t>Inferred behaviour</w:t>
            </w:r>
          </w:p>
        </w:tc>
        <w:tc>
          <w:tcPr>
            <w:tcW w:type="dxa" w:w="3672"/>
          </w:tcPr>
          <w:p>
            <w:pPr>
              <w:spacing w:after="0"/>
            </w:pPr>
            <w:r/>
            <w:r>
              <w:rPr>
                <w:sz w:val="16"/>
              </w:rPr>
              <w:t>A reasonable reading of the implementation that was not exercised end to end.</w:t>
            </w:r>
          </w:p>
        </w:tc>
        <w:tc>
          <w:tcPr>
            <w:tcW w:type="dxa" w:w="3744"/>
          </w:tcPr>
          <w:p>
            <w:pPr>
              <w:spacing w:after="0"/>
            </w:pPr>
            <w:r/>
            <w:r>
              <w:rPr>
                <w:sz w:val="16"/>
              </w:rPr>
              <w:t>Code path read, but no runtime observation.</w:t>
            </w:r>
          </w:p>
        </w:tc>
      </w:tr>
      <w:tr>
        <w:trPr>
          <w:cantSplit/>
        </w:trPr>
        <w:tc>
          <w:tcPr>
            <w:tcW w:type="dxa" w:w="1944"/>
          </w:tcPr>
          <w:p>
            <w:pPr>
              <w:spacing w:after="0"/>
            </w:pPr>
            <w:r/>
            <w:r>
              <w:rPr>
                <w:sz w:val="16"/>
              </w:rPr>
              <w:t>Documented intention</w:t>
            </w:r>
          </w:p>
        </w:tc>
        <w:tc>
          <w:tcPr>
            <w:tcW w:type="dxa" w:w="3672"/>
          </w:tcPr>
          <w:p>
            <w:pPr>
              <w:spacing w:after="0"/>
            </w:pPr>
            <w:r/>
            <w:r>
              <w:rPr>
                <w:sz w:val="16"/>
              </w:rPr>
              <w:t>Stated in repository documentation but not confirmed in code.</w:t>
            </w:r>
          </w:p>
        </w:tc>
        <w:tc>
          <w:tcPr>
            <w:tcW w:type="dxa" w:w="3744"/>
          </w:tcPr>
          <w:p>
            <w:pPr>
              <w:spacing w:after="0"/>
            </w:pPr>
            <w:r/>
            <w:r>
              <w:rPr>
                <w:sz w:val="16"/>
              </w:rPr>
              <w:t>Existing docs cited; contradicted or unconfirmed claims flagged.</w:t>
            </w:r>
          </w:p>
        </w:tc>
      </w:tr>
      <w:tr>
        <w:trPr>
          <w:cantSplit/>
        </w:trPr>
        <w:tc>
          <w:tcPr>
            <w:tcW w:type="dxa" w:w="1944"/>
          </w:tcPr>
          <w:p>
            <w:pPr>
              <w:spacing w:after="0"/>
            </w:pPr>
            <w:r/>
            <w:r>
              <w:rPr>
                <w:sz w:val="16"/>
              </w:rPr>
              <w:t>Missing implementation</w:t>
            </w:r>
          </w:p>
        </w:tc>
        <w:tc>
          <w:tcPr>
            <w:tcW w:type="dxa" w:w="3672"/>
          </w:tcPr>
          <w:p>
            <w:pPr>
              <w:spacing w:after="0"/>
            </w:pPr>
            <w:r/>
            <w:r>
              <w:rPr>
                <w:sz w:val="16"/>
              </w:rPr>
              <w:t>Referenced or expected behaviour that does not exist.</w:t>
            </w:r>
          </w:p>
        </w:tc>
        <w:tc>
          <w:tcPr>
            <w:tcW w:type="dxa" w:w="3744"/>
          </w:tcPr>
          <w:p>
            <w:pPr>
              <w:spacing w:after="0"/>
            </w:pPr>
            <w:r/>
            <w:r>
              <w:rPr>
                <w:sz w:val="16"/>
              </w:rPr>
              <w:t>Absence verified by search plus a failing runtime check.</w:t>
            </w:r>
          </w:p>
        </w:tc>
      </w:tr>
      <w:tr>
        <w:trPr>
          <w:cantSplit/>
        </w:trPr>
        <w:tc>
          <w:tcPr>
            <w:tcW w:type="dxa" w:w="1944"/>
          </w:tcPr>
          <w:p>
            <w:pPr>
              <w:spacing w:after="0"/>
            </w:pPr>
            <w:r/>
            <w:r>
              <w:rPr>
                <w:sz w:val="16"/>
              </w:rPr>
              <w:t>Unverified</w:t>
            </w:r>
          </w:p>
        </w:tc>
        <w:tc>
          <w:tcPr>
            <w:tcW w:type="dxa" w:w="3672"/>
          </w:tcPr>
          <w:p>
            <w:pPr>
              <w:spacing w:after="0"/>
            </w:pPr>
            <w:r/>
            <w:r>
              <w:rPr>
                <w:sz w:val="16"/>
              </w:rPr>
              <w:t>Evidence is insufficient for a reliable conclusion.</w:t>
            </w:r>
          </w:p>
        </w:tc>
        <w:tc>
          <w:tcPr>
            <w:tcW w:type="dxa" w:w="3744"/>
          </w:tcPr>
          <w:p>
            <w:pPr>
              <w:spacing w:after="0"/>
            </w:pPr>
            <w:r/>
            <w:r>
              <w:rPr>
                <w:sz w:val="16"/>
              </w:rPr>
              <w:t>Named explicitly with the missing evidence.</w:t>
            </w:r>
          </w:p>
        </w:tc>
      </w:tr>
      <w:tr>
        <w:trPr>
          <w:cantSplit/>
        </w:trPr>
        <w:tc>
          <w:tcPr>
            <w:tcW w:type="dxa" w:w="1944"/>
          </w:tcPr>
          <w:p>
            <w:pPr>
              <w:spacing w:after="0"/>
            </w:pPr>
            <w:r/>
            <w:r>
              <w:rPr>
                <w:sz w:val="16"/>
              </w:rPr>
              <w:t>Recommendation</w:t>
            </w:r>
          </w:p>
        </w:tc>
        <w:tc>
          <w:tcPr>
            <w:tcW w:type="dxa" w:w="3672"/>
          </w:tcPr>
          <w:p>
            <w:pPr>
              <w:spacing w:after="0"/>
            </w:pPr>
            <w:r/>
            <w:r>
              <w:rPr>
                <w:sz w:val="16"/>
              </w:rPr>
              <w:t>A proposed change. Never presented as current behaviour.</w:t>
            </w:r>
          </w:p>
        </w:tc>
        <w:tc>
          <w:tcPr>
            <w:tcW w:type="dxa" w:w="3744"/>
          </w:tcPr>
          <w:p>
            <w:pPr>
              <w:spacing w:after="0"/>
            </w:pPr>
            <w:r/>
            <w:r>
              <w:rPr>
                <w:sz w:val="16"/>
              </w:rPr>
              <w:t>Derived from a finding; recorded in chapter 38.</w:t>
            </w:r>
          </w:p>
        </w:tc>
      </w:tr>
    </w:tbl>
    <w:p>
      <w:pPr>
        <w:spacing w:after="200"/>
      </w:pPr>
      <w:r>
        <w:rPr>
          <w:i/>
          <w:color w:val="555F6D"/>
          <w:sz w:val="17"/>
        </w:rPr>
        <w:t>Table 3. Evidence classes used in this document</w:t>
      </w:r>
    </w:p>
    <w:p>
      <w:r>
        <w:rPr>
          <w:i w:val="0"/>
        </w:rPr>
        <w:t>Code excerpts are shown in a monospaced face. File paths are repository-relative and were valid at the audited commit. Where a path in the repository's own documentation is wrong, the document shows the real path and records the discrepancy (see finding F-02).</w:t>
      </w:r>
    </w:p>
    <w:p>
      <w:bookmarkStart w:id="1003" w:name="_Toc1003"/>
      <w:pPr>
        <w:pStyle w:val="Heading1"/>
        <w:pageBreakBefore/>
      </w:pPr>
      <w:r>
        <w:t>Table of contents</w:t>
      </w:r>
      <w:bookmarkEnd w:id="1003"/>
    </w:p>
    <w:p>
      <w:r>
        <w:rPr>
          <w:i/>
          <w:color w:val="555F6D"/>
          <w:sz w:val="18"/>
        </w:rPr>
        <w:t>Every entry below is an internal hyperlink with a measured page number, so the document is navigable the moment it opens. The heading styles are real Word headings, so the navigation pane also lists the full hierarchy (including level-3 headings that are omitted here for length). Page numbers were measured by rendering the document to PDF with LibreOffice; if you edit the text, page numbers can shift by a page until the document is rebuilt.</w:t>
      </w:r>
    </w:p>
    <w:p>
      <w:pPr>
        <w:keepLines/>
        <w:tabs>
          <w:tab w:pos="9504" w:val="right" w:leader="dot"/>
        </w:tabs>
        <w:spacing w:after="0" w:before="50"/>
        <w:ind w:left="0"/>
      </w:pPr>
      <w:hyperlink w:anchor="_Toc1001">
        <w:r>
          <w:rPr>
            <w:b/>
            <w:color w:val="1F3A5F"/>
          </w:rPr>
          <w:t xml:space="preserve">Revision history</w:t>
        </w:r>
      </w:hyperlink>
      <w:r>
        <w:rPr>
          <w:b/>
          <w:sz w:val="18"/>
        </w:rPr>
        <w:tab/>
        <w:t>2</w:t>
      </w:r>
    </w:p>
    <w:p>
      <w:pPr>
        <w:keepLines/>
        <w:tabs>
          <w:tab w:pos="9504" w:val="right" w:leader="dot"/>
        </w:tabs>
        <w:spacing w:after="0" w:before="50"/>
        <w:ind w:left="0"/>
      </w:pPr>
      <w:hyperlink w:anchor="_Toc1002">
        <w:r>
          <w:rPr>
            <w:b/>
            <w:color w:val="1F3A5F"/>
          </w:rPr>
          <w:t xml:space="preserve">How to read this document</w:t>
        </w:r>
      </w:hyperlink>
      <w:r>
        <w:rPr>
          <w:b/>
          <w:sz w:val="18"/>
        </w:rPr>
        <w:tab/>
        <w:t>3</w:t>
      </w:r>
    </w:p>
    <w:p>
      <w:pPr>
        <w:keepLines/>
        <w:tabs>
          <w:tab w:pos="9504" w:val="right" w:leader="dot"/>
        </w:tabs>
        <w:spacing w:after="0" w:before="50"/>
        <w:ind w:left="0"/>
      </w:pPr>
      <w:hyperlink w:anchor="_Toc1003">
        <w:r>
          <w:rPr>
            <w:b/>
            <w:color w:val="1F3A5F"/>
          </w:rPr>
          <w:t xml:space="preserve">Table of contents</w:t>
        </w:r>
      </w:hyperlink>
      <w:r>
        <w:rPr>
          <w:b/>
          <w:sz w:val="18"/>
        </w:rPr>
        <w:tab/>
        <w:t>4</w:t>
      </w:r>
    </w:p>
    <w:p>
      <w:pPr>
        <w:keepLines/>
        <w:tabs>
          <w:tab w:pos="9504" w:val="right" w:leader="dot"/>
        </w:tabs>
        <w:spacing w:after="0" w:before="50"/>
        <w:ind w:left="0"/>
      </w:pPr>
      <w:hyperlink w:anchor="_Toc1004">
        <w:r>
          <w:rPr>
            <w:b/>
            <w:color w:val="1F3A5F"/>
          </w:rPr>
          <w:t xml:space="preserve">List of figures</w:t>
        </w:r>
      </w:hyperlink>
      <w:r>
        <w:rPr>
          <w:b/>
          <w:sz w:val="18"/>
        </w:rPr>
        <w:tab/>
        <w:t>10</w:t>
      </w:r>
    </w:p>
    <w:p>
      <w:pPr>
        <w:keepLines/>
        <w:tabs>
          <w:tab w:pos="9504" w:val="right" w:leader="dot"/>
        </w:tabs>
        <w:spacing w:after="0" w:before="50"/>
        <w:ind w:left="0"/>
      </w:pPr>
      <w:hyperlink w:anchor="_Toc1005">
        <w:r>
          <w:rPr>
            <w:b/>
            <w:color w:val="1F3A5F"/>
          </w:rPr>
          <w:t xml:space="preserve">List of tables</w:t>
        </w:r>
      </w:hyperlink>
      <w:r>
        <w:rPr>
          <w:b/>
          <w:sz w:val="18"/>
        </w:rPr>
        <w:tab/>
        <w:t>12</w:t>
      </w:r>
    </w:p>
    <w:p>
      <w:pPr>
        <w:keepLines/>
        <w:tabs>
          <w:tab w:pos="9504" w:val="right" w:leader="dot"/>
        </w:tabs>
        <w:spacing w:after="0" w:before="50"/>
        <w:ind w:left="0"/>
      </w:pPr>
      <w:hyperlink w:anchor="_Toc1006">
        <w:r>
          <w:rPr>
            <w:b/>
            <w:color w:val="1F3A5F"/>
          </w:rPr>
          <w:t xml:space="preserve">Abbreviations</w:t>
        </w:r>
      </w:hyperlink>
      <w:r>
        <w:rPr>
          <w:b/>
          <w:sz w:val="18"/>
        </w:rPr>
        <w:tab/>
        <w:t>12</w:t>
      </w:r>
    </w:p>
    <w:p>
      <w:pPr>
        <w:keepLines/>
        <w:tabs>
          <w:tab w:pos="9504" w:val="right" w:leader="dot"/>
        </w:tabs>
        <w:spacing w:after="0" w:before="50"/>
        <w:ind w:left="0"/>
      </w:pPr>
      <w:hyperlink w:anchor="_Toc1007">
        <w:r>
          <w:rPr>
            <w:b/>
            <w:color w:val="1F3A5F"/>
          </w:rPr>
          <w:t xml:space="preserve">1. Executive summary</w:t>
        </w:r>
      </w:hyperlink>
      <w:r>
        <w:rPr>
          <w:b/>
          <w:sz w:val="18"/>
        </w:rPr>
        <w:tab/>
        <w:t>16</w:t>
      </w:r>
    </w:p>
    <w:p>
      <w:pPr>
        <w:keepLines/>
        <w:tabs>
          <w:tab w:pos="9504" w:val="right" w:leader="dot"/>
        </w:tabs>
        <w:spacing w:after="0" w:before="0"/>
        <w:ind w:left="360"/>
      </w:pPr>
      <w:hyperlink w:anchor="_Toc1008">
        <w:r>
          <w:rPr>
            <w:color w:val="333333"/>
          </w:rPr>
          <w:t xml:space="preserve">1.1 What was verified</w:t>
        </w:r>
      </w:hyperlink>
      <w:r>
        <w:rPr>
          <w:b w:val="0"/>
          <w:sz w:val="17"/>
        </w:rPr>
        <w:tab/>
        <w:t>16</w:t>
      </w:r>
    </w:p>
    <w:p>
      <w:pPr>
        <w:keepLines/>
        <w:tabs>
          <w:tab w:pos="9504" w:val="right" w:leader="dot"/>
        </w:tabs>
        <w:spacing w:after="0" w:before="0"/>
        <w:ind w:left="360"/>
      </w:pPr>
      <w:hyperlink w:anchor="_Toc1009">
        <w:r>
          <w:rPr>
            <w:color w:val="333333"/>
          </w:rPr>
          <w:t xml:space="preserve">1.2 What the system actually is</w:t>
        </w:r>
      </w:hyperlink>
      <w:r>
        <w:rPr>
          <w:b w:val="0"/>
          <w:sz w:val="17"/>
        </w:rPr>
        <w:tab/>
        <w:t>16</w:t>
      </w:r>
    </w:p>
    <w:p>
      <w:pPr>
        <w:keepLines/>
        <w:tabs>
          <w:tab w:pos="9504" w:val="right" w:leader="dot"/>
        </w:tabs>
        <w:spacing w:after="0" w:before="0"/>
        <w:ind w:left="360"/>
      </w:pPr>
      <w:hyperlink w:anchor="_Toc1010">
        <w:r>
          <w:rPr>
            <w:color w:val="333333"/>
          </w:rPr>
          <w:t xml:space="preserve">1.3 Highest-risk findings</w:t>
        </w:r>
      </w:hyperlink>
      <w:r>
        <w:rPr>
          <w:b w:val="0"/>
          <w:sz w:val="17"/>
        </w:rPr>
        <w:tab/>
        <w:t>16</w:t>
      </w:r>
    </w:p>
    <w:p>
      <w:pPr>
        <w:keepLines/>
        <w:tabs>
          <w:tab w:pos="9504" w:val="right" w:leader="dot"/>
        </w:tabs>
        <w:spacing w:after="0" w:before="0"/>
        <w:ind w:left="360"/>
      </w:pPr>
      <w:hyperlink w:anchor="_Toc1011">
        <w:r>
          <w:rPr>
            <w:color w:val="333333"/>
          </w:rPr>
          <w:t xml:space="preserve">1.4 Scope boundary of this document</w:t>
        </w:r>
      </w:hyperlink>
      <w:r>
        <w:rPr>
          <w:b w:val="0"/>
          <w:sz w:val="17"/>
        </w:rPr>
        <w:tab/>
        <w:t>17</w:t>
      </w:r>
    </w:p>
    <w:p>
      <w:pPr>
        <w:keepLines/>
        <w:tabs>
          <w:tab w:pos="9504" w:val="right" w:leader="dot"/>
        </w:tabs>
        <w:spacing w:after="0" w:before="50"/>
        <w:ind w:left="0"/>
      </w:pPr>
      <w:hyperlink w:anchor="_Toc1012">
        <w:r>
          <w:rPr>
            <w:b/>
            <w:color w:val="1F3A5F"/>
          </w:rPr>
          <w:t xml:space="preserve">2. Scope, methodology and evidence standards</w:t>
        </w:r>
      </w:hyperlink>
      <w:r>
        <w:rPr>
          <w:b/>
          <w:sz w:val="18"/>
        </w:rPr>
        <w:tab/>
        <w:t>18</w:t>
      </w:r>
    </w:p>
    <w:p>
      <w:pPr>
        <w:keepLines/>
        <w:tabs>
          <w:tab w:pos="9504" w:val="right" w:leader="dot"/>
        </w:tabs>
        <w:spacing w:after="0" w:before="0"/>
        <w:ind w:left="360"/>
      </w:pPr>
      <w:hyperlink w:anchor="_Toc1013">
        <w:r>
          <w:rPr>
            <w:color w:val="333333"/>
          </w:rPr>
          <w:t xml:space="preserve">2.1 Method</w:t>
        </w:r>
      </w:hyperlink>
      <w:r>
        <w:rPr>
          <w:b w:val="0"/>
          <w:sz w:val="17"/>
        </w:rPr>
        <w:tab/>
        <w:t>18</w:t>
      </w:r>
    </w:p>
    <w:p>
      <w:pPr>
        <w:keepLines/>
        <w:tabs>
          <w:tab w:pos="9504" w:val="right" w:leader="dot"/>
        </w:tabs>
        <w:spacing w:after="0" w:before="0"/>
        <w:ind w:left="360"/>
      </w:pPr>
      <w:hyperlink w:anchor="_Toc1014">
        <w:r>
          <w:rPr>
            <w:color w:val="333333"/>
          </w:rPr>
          <w:t xml:space="preserve">2.2 Reproducibility</w:t>
        </w:r>
      </w:hyperlink>
      <w:r>
        <w:rPr>
          <w:b w:val="0"/>
          <w:sz w:val="17"/>
        </w:rPr>
        <w:tab/>
        <w:t>18</w:t>
      </w:r>
    </w:p>
    <w:p>
      <w:pPr>
        <w:keepLines/>
        <w:tabs>
          <w:tab w:pos="9504" w:val="right" w:leader="dot"/>
        </w:tabs>
        <w:spacing w:after="0" w:before="0"/>
        <w:ind w:left="360"/>
      </w:pPr>
      <w:hyperlink w:anchor="_Toc1015">
        <w:r>
          <w:rPr>
            <w:color w:val="333333"/>
          </w:rPr>
          <w:t xml:space="preserve">2.3 What could not be verified</w:t>
        </w:r>
      </w:hyperlink>
      <w:r>
        <w:rPr>
          <w:b w:val="0"/>
          <w:sz w:val="17"/>
        </w:rPr>
        <w:tab/>
        <w:t>18</w:t>
      </w:r>
    </w:p>
    <w:p>
      <w:pPr>
        <w:keepLines/>
        <w:tabs>
          <w:tab w:pos="9504" w:val="right" w:leader="dot"/>
        </w:tabs>
        <w:spacing w:after="0" w:before="50"/>
        <w:ind w:left="0"/>
      </w:pPr>
      <w:hyperlink w:anchor="_Toc1016">
        <w:r>
          <w:rPr>
            <w:b/>
            <w:color w:val="1F3A5F"/>
          </w:rPr>
          <w:t xml:space="preserve">3. System overview</w:t>
        </w:r>
      </w:hyperlink>
      <w:r>
        <w:rPr>
          <w:b/>
          <w:sz w:val="18"/>
        </w:rPr>
        <w:tab/>
        <w:t>20</w:t>
      </w:r>
    </w:p>
    <w:p>
      <w:pPr>
        <w:keepLines/>
        <w:tabs>
          <w:tab w:pos="9504" w:val="right" w:leader="dot"/>
        </w:tabs>
        <w:spacing w:after="0" w:before="0"/>
        <w:ind w:left="360"/>
      </w:pPr>
      <w:hyperlink w:anchor="_Toc1017">
        <w:r>
          <w:rPr>
            <w:color w:val="333333"/>
          </w:rPr>
          <w:t xml:space="preserve">3.1 Purpose and business model</w:t>
        </w:r>
      </w:hyperlink>
      <w:r>
        <w:rPr>
          <w:b w:val="0"/>
          <w:sz w:val="17"/>
        </w:rPr>
        <w:tab/>
        <w:t>20</w:t>
      </w:r>
    </w:p>
    <w:p>
      <w:pPr>
        <w:keepLines/>
        <w:tabs>
          <w:tab w:pos="9504" w:val="right" w:leader="dot"/>
        </w:tabs>
        <w:spacing w:after="0" w:before="0"/>
        <w:ind w:left="360"/>
      </w:pPr>
      <w:hyperlink w:anchor="_Toc1018">
        <w:r>
          <w:rPr>
            <w:color w:val="333333"/>
          </w:rPr>
          <w:t xml:space="preserve">3.2 Actors</w:t>
        </w:r>
      </w:hyperlink>
      <w:r>
        <w:rPr>
          <w:b w:val="0"/>
          <w:sz w:val="17"/>
        </w:rPr>
        <w:tab/>
        <w:t>20</w:t>
      </w:r>
    </w:p>
    <w:p>
      <w:pPr>
        <w:keepLines/>
        <w:tabs>
          <w:tab w:pos="9504" w:val="right" w:leader="dot"/>
        </w:tabs>
        <w:spacing w:after="0" w:before="0"/>
        <w:ind w:left="360"/>
      </w:pPr>
      <w:hyperlink w:anchor="_Toc1019">
        <w:r>
          <w:rPr>
            <w:color w:val="333333"/>
          </w:rPr>
          <w:t xml:space="preserve">3.3 System context</w:t>
        </w:r>
      </w:hyperlink>
      <w:r>
        <w:rPr>
          <w:b w:val="0"/>
          <w:sz w:val="17"/>
        </w:rPr>
        <w:tab/>
        <w:t>21</w:t>
      </w:r>
    </w:p>
    <w:p>
      <w:pPr>
        <w:keepLines/>
        <w:tabs>
          <w:tab w:pos="9504" w:val="right" w:leader="dot"/>
        </w:tabs>
        <w:spacing w:after="0" w:before="0"/>
        <w:ind w:left="360"/>
      </w:pPr>
      <w:hyperlink w:anchor="_Toc1020">
        <w:r>
          <w:rPr>
            <w:color w:val="333333"/>
          </w:rPr>
          <w:t xml:space="preserve">3.4 Application map</w:t>
        </w:r>
      </w:hyperlink>
      <w:r>
        <w:rPr>
          <w:b w:val="0"/>
          <w:sz w:val="17"/>
        </w:rPr>
        <w:tab/>
        <w:t>21</w:t>
      </w:r>
    </w:p>
    <w:p>
      <w:pPr>
        <w:keepLines/>
        <w:tabs>
          <w:tab w:pos="9504" w:val="right" w:leader="dot"/>
        </w:tabs>
        <w:spacing w:after="0" w:before="0"/>
        <w:ind w:left="360"/>
      </w:pPr>
      <w:hyperlink w:anchor="_Toc1021">
        <w:r>
          <w:rPr>
            <w:color w:val="333333"/>
          </w:rPr>
          <w:t xml:space="preserve">3.5 Data flow at a glance</w:t>
        </w:r>
      </w:hyperlink>
      <w:r>
        <w:rPr>
          <w:b w:val="0"/>
          <w:sz w:val="17"/>
        </w:rPr>
        <w:tab/>
        <w:t>22</w:t>
      </w:r>
    </w:p>
    <w:p>
      <w:pPr>
        <w:keepLines/>
        <w:tabs>
          <w:tab w:pos="9504" w:val="right" w:leader="dot"/>
        </w:tabs>
        <w:spacing w:after="0" w:before="50"/>
        <w:ind w:left="0"/>
      </w:pPr>
      <w:hyperlink w:anchor="_Toc1022">
        <w:r>
          <w:rPr>
            <w:b/>
            <w:color w:val="1F3A5F"/>
          </w:rPr>
          <w:t xml:space="preserve">4. Repository structure and monorepo architecture</w:t>
        </w:r>
      </w:hyperlink>
      <w:r>
        <w:rPr>
          <w:b/>
          <w:sz w:val="18"/>
        </w:rPr>
        <w:tab/>
        <w:t>23</w:t>
      </w:r>
    </w:p>
    <w:p>
      <w:pPr>
        <w:keepLines/>
        <w:tabs>
          <w:tab w:pos="9504" w:val="right" w:leader="dot"/>
        </w:tabs>
        <w:spacing w:after="0" w:before="0"/>
        <w:ind w:left="360"/>
      </w:pPr>
      <w:hyperlink w:anchor="_Toc1023">
        <w:r>
          <w:rPr>
            <w:color w:val="333333"/>
          </w:rPr>
          <w:t xml:space="preserve">4.1 Top level</w:t>
        </w:r>
      </w:hyperlink>
      <w:r>
        <w:rPr>
          <w:b w:val="0"/>
          <w:sz w:val="17"/>
        </w:rPr>
        <w:tab/>
        <w:t>23</w:t>
      </w:r>
    </w:p>
    <w:p>
      <w:pPr>
        <w:keepLines/>
        <w:tabs>
          <w:tab w:pos="9504" w:val="right" w:leader="dot"/>
        </w:tabs>
        <w:spacing w:after="0" w:before="0"/>
        <w:ind w:left="360"/>
      </w:pPr>
      <w:hyperlink w:anchor="_Toc1024">
        <w:r>
          <w:rPr>
            <w:color w:val="333333"/>
          </w:rPr>
          <w:t xml:space="preserve">4.2 File composition</w:t>
        </w:r>
      </w:hyperlink>
      <w:r>
        <w:rPr>
          <w:b w:val="0"/>
          <w:sz w:val="17"/>
        </w:rPr>
        <w:tab/>
        <w:t>23</w:t>
      </w:r>
    </w:p>
    <w:p>
      <w:pPr>
        <w:keepLines/>
        <w:tabs>
          <w:tab w:pos="9504" w:val="right" w:leader="dot"/>
        </w:tabs>
        <w:spacing w:after="0" w:before="0"/>
        <w:ind w:left="360"/>
      </w:pPr>
      <w:hyperlink w:anchor="_Toc1025">
        <w:r>
          <w:rPr>
            <w:color w:val="333333"/>
          </w:rPr>
          <w:t xml:space="preserve">4.3 Workspace and task orchestration</w:t>
        </w:r>
      </w:hyperlink>
      <w:r>
        <w:rPr>
          <w:b w:val="0"/>
          <w:sz w:val="17"/>
        </w:rPr>
        <w:tab/>
        <w:t>23</w:t>
      </w:r>
    </w:p>
    <w:p>
      <w:pPr>
        <w:keepLines/>
        <w:tabs>
          <w:tab w:pos="9504" w:val="right" w:leader="dot"/>
        </w:tabs>
        <w:spacing w:after="0" w:before="0"/>
        <w:ind w:left="360"/>
      </w:pPr>
      <w:hyperlink w:anchor="_Toc1026">
        <w:r>
          <w:rPr>
            <w:color w:val="333333"/>
          </w:rPr>
          <w:t xml:space="preserve">4.4 Package dependency rules</w:t>
        </w:r>
      </w:hyperlink>
      <w:r>
        <w:rPr>
          <w:b w:val="0"/>
          <w:sz w:val="17"/>
        </w:rPr>
        <w:tab/>
        <w:t>25</w:t>
      </w:r>
    </w:p>
    <w:p>
      <w:pPr>
        <w:keepLines/>
        <w:tabs>
          <w:tab w:pos="9504" w:val="right" w:leader="dot"/>
        </w:tabs>
        <w:spacing w:after="0" w:before="0"/>
        <w:ind w:left="360"/>
      </w:pPr>
      <w:hyperlink w:anchor="_Toc1027">
        <w:r>
          <w:rPr>
            <w:color w:val="333333"/>
          </w:rPr>
          <w:t xml:space="preserve">4.5 Existing documentation and its accuracy</w:t>
        </w:r>
      </w:hyperlink>
      <w:r>
        <w:rPr>
          <w:b w:val="0"/>
          <w:sz w:val="17"/>
        </w:rPr>
        <w:tab/>
        <w:t>26</w:t>
      </w:r>
    </w:p>
    <w:p>
      <w:pPr>
        <w:keepLines/>
        <w:tabs>
          <w:tab w:pos="9504" w:val="right" w:leader="dot"/>
        </w:tabs>
        <w:spacing w:after="0" w:before="0"/>
        <w:ind w:left="360"/>
      </w:pPr>
      <w:hyperlink w:anchor="_Toc1028">
        <w:r>
          <w:rPr>
            <w:color w:val="333333"/>
          </w:rPr>
          <w:t xml:space="preserve">4.6 Git baseline</w:t>
        </w:r>
      </w:hyperlink>
      <w:r>
        <w:rPr>
          <w:b w:val="0"/>
          <w:sz w:val="17"/>
        </w:rPr>
        <w:tab/>
        <w:t>26</w:t>
      </w:r>
    </w:p>
    <w:p>
      <w:pPr>
        <w:keepLines/>
        <w:tabs>
          <w:tab w:pos="9504" w:val="right" w:leader="dot"/>
        </w:tabs>
        <w:spacing w:after="0" w:before="50"/>
        <w:ind w:left="0"/>
      </w:pPr>
      <w:hyperlink w:anchor="_Toc1029">
        <w:r>
          <w:rPr>
            <w:b/>
            <w:color w:val="1F3A5F"/>
          </w:rPr>
          <w:t xml:space="preserve">5. Technology stack and dependency overview</w:t>
        </w:r>
      </w:hyperlink>
      <w:r>
        <w:rPr>
          <w:b/>
          <w:sz w:val="18"/>
        </w:rPr>
        <w:tab/>
        <w:t>28</w:t>
      </w:r>
    </w:p>
    <w:p>
      <w:pPr>
        <w:keepLines/>
        <w:tabs>
          <w:tab w:pos="9504" w:val="right" w:leader="dot"/>
        </w:tabs>
        <w:spacing w:after="0" w:before="0"/>
        <w:ind w:left="360"/>
      </w:pPr>
      <w:hyperlink w:anchor="_Toc1030">
        <w:r>
          <w:rPr>
            <w:color w:val="333333"/>
          </w:rPr>
          <w:t xml:space="preserve">5.1 Backend</w:t>
        </w:r>
      </w:hyperlink>
      <w:r>
        <w:rPr>
          <w:b w:val="0"/>
          <w:sz w:val="17"/>
        </w:rPr>
        <w:tab/>
        <w:t>28</w:t>
      </w:r>
    </w:p>
    <w:p>
      <w:pPr>
        <w:keepLines/>
        <w:tabs>
          <w:tab w:pos="9504" w:val="right" w:leader="dot"/>
        </w:tabs>
        <w:spacing w:after="0" w:before="0"/>
        <w:ind w:left="360"/>
      </w:pPr>
      <w:hyperlink w:anchor="_Toc1031">
        <w:r>
          <w:rPr>
            <w:color w:val="333333"/>
          </w:rPr>
          <w:t xml:space="preserve">5.2 Frontend applications</w:t>
        </w:r>
      </w:hyperlink>
      <w:r>
        <w:rPr>
          <w:b w:val="0"/>
          <w:sz w:val="17"/>
        </w:rPr>
        <w:tab/>
        <w:t>28</w:t>
      </w:r>
    </w:p>
    <w:p>
      <w:pPr>
        <w:keepLines/>
        <w:tabs>
          <w:tab w:pos="9504" w:val="right" w:leader="dot"/>
        </w:tabs>
        <w:spacing w:after="0" w:before="0"/>
        <w:ind w:left="360"/>
      </w:pPr>
      <w:hyperlink w:anchor="_Toc1032">
        <w:r>
          <w:rPr>
            <w:color w:val="333333"/>
          </w:rPr>
          <w:t xml:space="preserve">5.3 Reporting engine</w:t>
        </w:r>
      </w:hyperlink>
      <w:r>
        <w:rPr>
          <w:b w:val="0"/>
          <w:sz w:val="17"/>
        </w:rPr>
        <w:tab/>
        <w:t>28</w:t>
      </w:r>
    </w:p>
    <w:p>
      <w:pPr>
        <w:keepLines/>
        <w:tabs>
          <w:tab w:pos="9504" w:val="right" w:leader="dot"/>
        </w:tabs>
        <w:spacing w:after="0" w:before="0"/>
        <w:ind w:left="360"/>
      </w:pPr>
      <w:hyperlink w:anchor="_Toc1033">
        <w:r>
          <w:rPr>
            <w:color w:val="333333"/>
          </w:rPr>
          <w:t xml:space="preserve">5.4 Build-time tooling</w:t>
        </w:r>
      </w:hyperlink>
      <w:r>
        <w:rPr>
          <w:b w:val="0"/>
          <w:sz w:val="17"/>
        </w:rPr>
        <w:tab/>
        <w:t>29</w:t>
      </w:r>
    </w:p>
    <w:p>
      <w:pPr>
        <w:keepLines/>
        <w:tabs>
          <w:tab w:pos="9504" w:val="right" w:leader="dot"/>
        </w:tabs>
        <w:spacing w:after="0" w:before="50"/>
        <w:ind w:left="0"/>
      </w:pPr>
      <w:hyperlink w:anchor="_Toc1034">
        <w:r>
          <w:rPr>
            <w:b/>
            <w:color w:val="1F3A5F"/>
          </w:rPr>
          <w:t xml:space="preserve">6. Application inventory</w:t>
        </w:r>
      </w:hyperlink>
      <w:r>
        <w:rPr>
          <w:b/>
          <w:sz w:val="18"/>
        </w:rPr>
        <w:tab/>
        <w:t>30</w:t>
      </w:r>
    </w:p>
    <w:p>
      <w:pPr>
        <w:keepLines/>
        <w:tabs>
          <w:tab w:pos="9504" w:val="right" w:leader="dot"/>
        </w:tabs>
        <w:spacing w:after="0" w:before="0"/>
        <w:ind w:left="360"/>
      </w:pPr>
      <w:hyperlink w:anchor="_Toc1035">
        <w:r>
          <w:rPr>
            <w:color w:val="333333"/>
          </w:rPr>
          <w:t xml:space="preserve">6.1 Modules that are libraries, not applications</w:t>
        </w:r>
      </w:hyperlink>
      <w:r>
        <w:rPr>
          <w:b w:val="0"/>
          <w:sz w:val="17"/>
        </w:rPr>
        <w:tab/>
        <w:t>30</w:t>
      </w:r>
    </w:p>
    <w:p>
      <w:pPr>
        <w:keepLines/>
        <w:tabs>
          <w:tab w:pos="9504" w:val="right" w:leader="dot"/>
        </w:tabs>
        <w:spacing w:after="0" w:before="50"/>
        <w:ind w:left="0"/>
      </w:pPr>
      <w:hyperlink w:anchor="_Toc1036">
        <w:r>
          <w:rPr>
            <w:b/>
            <w:color w:val="1F3A5F"/>
          </w:rPr>
          <w:t xml:space="preserve">7. Backend architecture</w:t>
        </w:r>
      </w:hyperlink>
      <w:r>
        <w:rPr>
          <w:b/>
          <w:sz w:val="18"/>
        </w:rPr>
        <w:tab/>
        <w:t>31</w:t>
      </w:r>
    </w:p>
    <w:p>
      <w:pPr>
        <w:keepLines/>
        <w:tabs>
          <w:tab w:pos="9504" w:val="right" w:leader="dot"/>
        </w:tabs>
        <w:spacing w:after="0" w:before="0"/>
        <w:ind w:left="360"/>
      </w:pPr>
      <w:hyperlink w:anchor="_Toc1037">
        <w:r>
          <w:rPr>
            <w:color w:val="333333"/>
          </w:rPr>
          <w:t xml:space="preserve">7.1 Boot sequence</w:t>
        </w:r>
      </w:hyperlink>
      <w:r>
        <w:rPr>
          <w:b w:val="0"/>
          <w:sz w:val="17"/>
        </w:rPr>
        <w:tab/>
        <w:t>31</w:t>
      </w:r>
    </w:p>
    <w:p>
      <w:pPr>
        <w:keepLines/>
        <w:tabs>
          <w:tab w:pos="9504" w:val="right" w:leader="dot"/>
        </w:tabs>
        <w:spacing w:after="0" w:before="0"/>
        <w:ind w:left="360"/>
      </w:pPr>
      <w:hyperlink w:anchor="_Toc1038">
        <w:r>
          <w:rPr>
            <w:color w:val="333333"/>
          </w:rPr>
          <w:t xml:space="preserve">7.2 Application architecture</w:t>
        </w:r>
      </w:hyperlink>
      <w:r>
        <w:rPr>
          <w:b w:val="0"/>
          <w:sz w:val="17"/>
        </w:rPr>
        <w:tab/>
        <w:t>32</w:t>
      </w:r>
    </w:p>
    <w:p>
      <w:pPr>
        <w:keepLines/>
        <w:tabs>
          <w:tab w:pos="9504" w:val="right" w:leader="dot"/>
        </w:tabs>
        <w:spacing w:after="0" w:before="0"/>
        <w:ind w:left="360"/>
      </w:pPr>
      <w:hyperlink w:anchor="_Toc1039">
        <w:r>
          <w:rPr>
            <w:color w:val="333333"/>
          </w:rPr>
          <w:t xml:space="preserve">7.3 Request pipeline</w:t>
        </w:r>
      </w:hyperlink>
      <w:r>
        <w:rPr>
          <w:b w:val="0"/>
          <w:sz w:val="17"/>
        </w:rPr>
        <w:tab/>
        <w:t>33</w:t>
      </w:r>
    </w:p>
    <w:p>
      <w:pPr>
        <w:keepLines/>
        <w:tabs>
          <w:tab w:pos="9504" w:val="right" w:leader="dot"/>
        </w:tabs>
        <w:spacing w:after="0" w:before="0"/>
        <w:ind w:left="360"/>
      </w:pPr>
      <w:hyperlink w:anchor="_Toc1040">
        <w:r>
          <w:rPr>
            <w:color w:val="333333"/>
          </w:rPr>
          <w:t xml:space="preserve">7.4 Module inventory</w:t>
        </w:r>
      </w:hyperlink>
      <w:r>
        <w:rPr>
          <w:b w:val="0"/>
          <w:sz w:val="17"/>
        </w:rPr>
        <w:tab/>
        <w:t>34</w:t>
      </w:r>
    </w:p>
    <w:p>
      <w:pPr>
        <w:keepLines/>
        <w:tabs>
          <w:tab w:pos="9504" w:val="right" w:leader="dot"/>
        </w:tabs>
        <w:spacing w:after="0" w:before="0"/>
        <w:ind w:left="360"/>
      </w:pPr>
      <w:hyperlink w:anchor="_Toc1041">
        <w:r>
          <w:rPr>
            <w:color w:val="333333"/>
          </w:rPr>
          <w:t xml:space="preserve">7.5 Layering</w:t>
        </w:r>
      </w:hyperlink>
      <w:r>
        <w:rPr>
          <w:b w:val="0"/>
          <w:sz w:val="17"/>
        </w:rPr>
        <w:tab/>
        <w:t>34</w:t>
      </w:r>
    </w:p>
    <w:p>
      <w:pPr>
        <w:keepLines/>
        <w:tabs>
          <w:tab w:pos="9504" w:val="right" w:leader="dot"/>
        </w:tabs>
        <w:spacing w:after="0" w:before="0"/>
        <w:ind w:left="360"/>
      </w:pPr>
      <w:hyperlink w:anchor="_Toc1042">
        <w:r>
          <w:rPr>
            <w:color w:val="333333"/>
          </w:rPr>
          <w:t xml:space="preserve">7.6 Transactions and concurrency</w:t>
        </w:r>
      </w:hyperlink>
      <w:r>
        <w:rPr>
          <w:b w:val="0"/>
          <w:sz w:val="17"/>
        </w:rPr>
        <w:tab/>
        <w:t>35</w:t>
      </w:r>
    </w:p>
    <w:p>
      <w:pPr>
        <w:keepLines/>
        <w:tabs>
          <w:tab w:pos="9504" w:val="right" w:leader="dot"/>
        </w:tabs>
        <w:spacing w:after="0" w:before="0"/>
        <w:ind w:left="360"/>
      </w:pPr>
      <w:hyperlink w:anchor="_Toc1043">
        <w:r>
          <w:rPr>
            <w:color w:val="333333"/>
          </w:rPr>
          <w:t xml:space="preserve">7.7 Database access architecture</w:t>
        </w:r>
      </w:hyperlink>
      <w:r>
        <w:rPr>
          <w:b w:val="0"/>
          <w:sz w:val="17"/>
        </w:rPr>
        <w:tab/>
        <w:t>35</w:t>
      </w:r>
    </w:p>
    <w:p>
      <w:pPr>
        <w:keepLines/>
        <w:tabs>
          <w:tab w:pos="9504" w:val="right" w:leader="dot"/>
        </w:tabs>
        <w:spacing w:after="0" w:before="50"/>
        <w:ind w:left="0"/>
      </w:pPr>
      <w:hyperlink w:anchor="_Toc1044">
        <w:r>
          <w:rPr>
            <w:b/>
            <w:color w:val="1F3A5F"/>
          </w:rPr>
          <w:t xml:space="preserve">8. ERP documentation</w:t>
        </w:r>
      </w:hyperlink>
      <w:r>
        <w:rPr>
          <w:b/>
          <w:sz w:val="18"/>
        </w:rPr>
        <w:tab/>
        <w:t>36</w:t>
      </w:r>
    </w:p>
    <w:p>
      <w:pPr>
        <w:keepLines/>
        <w:tabs>
          <w:tab w:pos="9504" w:val="right" w:leader="dot"/>
        </w:tabs>
        <w:spacing w:after="0" w:before="0"/>
        <w:ind w:left="360"/>
      </w:pPr>
      <w:hyperlink w:anchor="_Toc1045">
        <w:r>
          <w:rPr>
            <w:color w:val="333333"/>
          </w:rPr>
          <w:t xml:space="preserve">8.1 Identity and entry points</w:t>
        </w:r>
      </w:hyperlink>
      <w:r>
        <w:rPr>
          <w:b w:val="0"/>
          <w:sz w:val="17"/>
        </w:rPr>
        <w:tab/>
        <w:t>36</w:t>
      </w:r>
    </w:p>
    <w:p>
      <w:pPr>
        <w:keepLines/>
        <w:tabs>
          <w:tab w:pos="9504" w:val="right" w:leader="dot"/>
        </w:tabs>
        <w:spacing w:after="0" w:before="0"/>
        <w:ind w:left="360"/>
      </w:pPr>
      <w:hyperlink w:anchor="_Toc1046">
        <w:r>
          <w:rPr>
            <w:color w:val="333333"/>
          </w:rPr>
          <w:t xml:space="preserve">8.2 Route inventory</w:t>
        </w:r>
      </w:hyperlink>
      <w:r>
        <w:rPr>
          <w:b w:val="0"/>
          <w:sz w:val="17"/>
        </w:rPr>
        <w:tab/>
        <w:t>36</w:t>
      </w:r>
    </w:p>
    <w:p>
      <w:pPr>
        <w:keepLines/>
        <w:tabs>
          <w:tab w:pos="9504" w:val="right" w:leader="dot"/>
        </w:tabs>
        <w:spacing w:after="0" w:before="0"/>
        <w:ind w:left="360"/>
      </w:pPr>
      <w:hyperlink w:anchor="_Toc1047">
        <w:r>
          <w:rPr>
            <w:color w:val="333333"/>
          </w:rPr>
          <w:t xml:space="preserve">8.3 Navigation model</w:t>
        </w:r>
      </w:hyperlink>
      <w:r>
        <w:rPr>
          <w:b w:val="0"/>
          <w:sz w:val="17"/>
        </w:rPr>
        <w:tab/>
        <w:t>38</w:t>
      </w:r>
    </w:p>
    <w:p>
      <w:pPr>
        <w:keepLines/>
        <w:tabs>
          <w:tab w:pos="9504" w:val="right" w:leader="dot"/>
        </w:tabs>
        <w:spacing w:after="0" w:before="0"/>
        <w:ind w:left="360"/>
      </w:pPr>
      <w:hyperlink w:anchor="_Toc1048">
        <w:r>
          <w:rPr>
            <w:color w:val="333333"/>
          </w:rPr>
          <w:t xml:space="preserve">8.4 Key pages and components</w:t>
        </w:r>
      </w:hyperlink>
      <w:r>
        <w:rPr>
          <w:b w:val="0"/>
          <w:sz w:val="17"/>
        </w:rPr>
        <w:tab/>
        <w:t>39</w:t>
      </w:r>
    </w:p>
    <w:p>
      <w:pPr>
        <w:keepLines/>
        <w:tabs>
          <w:tab w:pos="9504" w:val="right" w:leader="dot"/>
        </w:tabs>
        <w:spacing w:after="0" w:before="0"/>
        <w:ind w:left="360"/>
      </w:pPr>
      <w:hyperlink w:anchor="_Toc1049">
        <w:r>
          <w:rPr>
            <w:color w:val="333333"/>
          </w:rPr>
          <w:t xml:space="preserve">8.5 State and interaction behaviour</w:t>
        </w:r>
      </w:hyperlink>
      <w:r>
        <w:rPr>
          <w:b w:val="0"/>
          <w:sz w:val="17"/>
        </w:rPr>
        <w:tab/>
        <w:t>39</w:t>
      </w:r>
    </w:p>
    <w:p>
      <w:pPr>
        <w:keepLines/>
        <w:tabs>
          <w:tab w:pos="9504" w:val="right" w:leader="dot"/>
        </w:tabs>
        <w:spacing w:after="0" w:before="50"/>
        <w:ind w:left="0"/>
      </w:pPr>
      <w:hyperlink w:anchor="_Toc1050">
        <w:r>
          <w:rPr>
            <w:b/>
            <w:color w:val="1F3A5F"/>
          </w:rPr>
          <w:t xml:space="preserve">9. POS documentation</w:t>
        </w:r>
      </w:hyperlink>
      <w:r>
        <w:rPr>
          <w:b/>
          <w:sz w:val="18"/>
        </w:rPr>
        <w:tab/>
        <w:t>41</w:t>
      </w:r>
    </w:p>
    <w:p>
      <w:pPr>
        <w:keepLines/>
        <w:tabs>
          <w:tab w:pos="9504" w:val="right" w:leader="dot"/>
        </w:tabs>
        <w:spacing w:after="0" w:before="0"/>
        <w:ind w:left="360"/>
      </w:pPr>
      <w:hyperlink w:anchor="_Toc1051">
        <w:r>
          <w:rPr>
            <w:color w:val="333333"/>
          </w:rPr>
          <w:t xml:space="preserve">9.1 Identity</w:t>
        </w:r>
      </w:hyperlink>
      <w:r>
        <w:rPr>
          <w:b w:val="0"/>
          <w:sz w:val="17"/>
        </w:rPr>
        <w:tab/>
        <w:t>41</w:t>
      </w:r>
    </w:p>
    <w:p>
      <w:pPr>
        <w:keepLines/>
        <w:tabs>
          <w:tab w:pos="9504" w:val="right" w:leader="dot"/>
        </w:tabs>
        <w:spacing w:after="0" w:before="0"/>
        <w:ind w:left="360"/>
      </w:pPr>
      <w:hyperlink w:anchor="_Toc1052">
        <w:r>
          <w:rPr>
            <w:color w:val="333333"/>
          </w:rPr>
          <w:t xml:space="preserve">9.2 Route inventory</w:t>
        </w:r>
      </w:hyperlink>
      <w:r>
        <w:rPr>
          <w:b w:val="0"/>
          <w:sz w:val="17"/>
        </w:rPr>
        <w:tab/>
        <w:t>41</w:t>
      </w:r>
    </w:p>
    <w:p>
      <w:pPr>
        <w:keepLines/>
        <w:tabs>
          <w:tab w:pos="9504" w:val="right" w:leader="dot"/>
        </w:tabs>
        <w:spacing w:after="0" w:before="0"/>
        <w:ind w:left="360"/>
      </w:pPr>
      <w:hyperlink w:anchor="_Toc1053">
        <w:r>
          <w:rPr>
            <w:color w:val="333333"/>
          </w:rPr>
          <w:t xml:space="preserve">9.3 Checkout flow (verified)</w:t>
        </w:r>
      </w:hyperlink>
      <w:r>
        <w:rPr>
          <w:b w:val="0"/>
          <w:sz w:val="17"/>
        </w:rPr>
        <w:tab/>
        <w:t>42</w:t>
      </w:r>
    </w:p>
    <w:p>
      <w:pPr>
        <w:keepLines/>
        <w:tabs>
          <w:tab w:pos="9504" w:val="right" w:leader="dot"/>
        </w:tabs>
        <w:spacing w:after="0" w:before="0"/>
        <w:ind w:left="360"/>
      </w:pPr>
      <w:hyperlink w:anchor="_Toc1054">
        <w:r>
          <w:rPr>
            <w:color w:val="333333"/>
          </w:rPr>
          <w:t xml:space="preserve">9.4 Shift and drawer</w:t>
        </w:r>
      </w:hyperlink>
      <w:r>
        <w:rPr>
          <w:b w:val="0"/>
          <w:sz w:val="17"/>
        </w:rPr>
        <w:tab/>
        <w:t>43</w:t>
      </w:r>
    </w:p>
    <w:p>
      <w:pPr>
        <w:keepLines/>
        <w:tabs>
          <w:tab w:pos="9504" w:val="right" w:leader="dot"/>
        </w:tabs>
        <w:spacing w:after="0" w:before="0"/>
        <w:ind w:left="360"/>
      </w:pPr>
      <w:hyperlink w:anchor="_Toc1055">
        <w:r>
          <w:rPr>
            <w:color w:val="333333"/>
          </w:rPr>
          <w:t xml:space="preserve">9.5 Hardware and browser interactions</w:t>
        </w:r>
      </w:hyperlink>
      <w:r>
        <w:rPr>
          <w:b w:val="0"/>
          <w:sz w:val="17"/>
        </w:rPr>
        <w:tab/>
        <w:t>43</w:t>
      </w:r>
    </w:p>
    <w:p>
      <w:pPr>
        <w:keepLines/>
        <w:tabs>
          <w:tab w:pos="9504" w:val="right" w:leader="dot"/>
        </w:tabs>
        <w:spacing w:after="0" w:before="50"/>
        <w:ind w:left="0"/>
      </w:pPr>
      <w:hyperlink w:anchor="_Toc1056">
        <w:r>
          <w:rPr>
            <w:b/>
            <w:color w:val="1F3A5F"/>
          </w:rPr>
          <w:t xml:space="preserve">10. B2B documentation</w:t>
        </w:r>
      </w:hyperlink>
      <w:r>
        <w:rPr>
          <w:b/>
          <w:sz w:val="18"/>
        </w:rPr>
        <w:tab/>
        <w:t>45</w:t>
      </w:r>
    </w:p>
    <w:p>
      <w:pPr>
        <w:keepLines/>
        <w:tabs>
          <w:tab w:pos="9504" w:val="right" w:leader="dot"/>
        </w:tabs>
        <w:spacing w:after="0" w:before="0"/>
        <w:ind w:left="360"/>
      </w:pPr>
      <w:hyperlink w:anchor="_Toc1057">
        <w:r>
          <w:rPr>
            <w:color w:val="333333"/>
          </w:rPr>
          <w:t xml:space="preserve">10.1 Identity</w:t>
        </w:r>
      </w:hyperlink>
      <w:r>
        <w:rPr>
          <w:b w:val="0"/>
          <w:sz w:val="17"/>
        </w:rPr>
        <w:tab/>
        <w:t>45</w:t>
      </w:r>
    </w:p>
    <w:p>
      <w:pPr>
        <w:keepLines/>
        <w:tabs>
          <w:tab w:pos="9504" w:val="right" w:leader="dot"/>
        </w:tabs>
        <w:spacing w:after="0" w:before="0"/>
        <w:ind w:left="360"/>
      </w:pPr>
      <w:hyperlink w:anchor="_Toc1058">
        <w:r>
          <w:rPr>
            <w:color w:val="333333"/>
          </w:rPr>
          <w:t xml:space="preserve">10.2 Page inventory (42 pages)</w:t>
        </w:r>
      </w:hyperlink>
      <w:r>
        <w:rPr>
          <w:b w:val="0"/>
          <w:sz w:val="17"/>
        </w:rPr>
        <w:tab/>
        <w:t>45</w:t>
      </w:r>
    </w:p>
    <w:p>
      <w:pPr>
        <w:keepLines/>
        <w:tabs>
          <w:tab w:pos="9504" w:val="right" w:leader="dot"/>
        </w:tabs>
        <w:spacing w:after="0" w:before="0"/>
        <w:ind w:left="360"/>
      </w:pPr>
      <w:hyperlink w:anchor="_Toc1059">
        <w:r>
          <w:rPr>
            <w:color w:val="333333"/>
          </w:rPr>
          <w:t xml:space="preserve">10.3 Buyer flows</w:t>
        </w:r>
      </w:hyperlink>
      <w:r>
        <w:rPr>
          <w:b w:val="0"/>
          <w:sz w:val="17"/>
        </w:rPr>
        <w:tab/>
        <w:t>46</w:t>
      </w:r>
    </w:p>
    <w:p>
      <w:pPr>
        <w:keepLines/>
        <w:tabs>
          <w:tab w:pos="9504" w:val="right" w:leader="dot"/>
        </w:tabs>
        <w:spacing w:after="0" w:before="0"/>
        <w:ind w:left="360"/>
      </w:pPr>
      <w:hyperlink w:anchor="_Toc1060">
        <w:r>
          <w:rPr>
            <w:color w:val="333333"/>
          </w:rPr>
          <w:t xml:space="preserve">10.4 Commerce admin</w:t>
        </w:r>
      </w:hyperlink>
      <w:r>
        <w:rPr>
          <w:b w:val="0"/>
          <w:sz w:val="17"/>
        </w:rPr>
        <w:tab/>
        <w:t>47</w:t>
      </w:r>
    </w:p>
    <w:p>
      <w:pPr>
        <w:keepLines/>
        <w:tabs>
          <w:tab w:pos="9504" w:val="right" w:leader="dot"/>
        </w:tabs>
        <w:spacing w:after="0" w:before="50"/>
        <w:ind w:left="0"/>
      </w:pPr>
      <w:hyperlink w:anchor="_Toc1061">
        <w:r>
          <w:rPr>
            <w:b/>
            <w:color w:val="1F3A5F"/>
          </w:rPr>
          <w:t xml:space="preserve">11. NextReport documentation</w:t>
        </w:r>
      </w:hyperlink>
      <w:r>
        <w:rPr>
          <w:b/>
          <w:sz w:val="18"/>
        </w:rPr>
        <w:tab/>
        <w:t>48</w:t>
      </w:r>
    </w:p>
    <w:p>
      <w:pPr>
        <w:keepLines/>
        <w:tabs>
          <w:tab w:pos="9504" w:val="right" w:leader="dot"/>
        </w:tabs>
        <w:spacing w:after="0" w:before="0"/>
        <w:ind w:left="360"/>
      </w:pPr>
      <w:hyperlink w:anchor="_Toc1062">
        <w:r>
          <w:rPr>
            <w:color w:val="333333"/>
          </w:rPr>
          <w:t xml:space="preserve">11.1 Service surface</w:t>
        </w:r>
      </w:hyperlink>
      <w:r>
        <w:rPr>
          <w:b w:val="0"/>
          <w:sz w:val="17"/>
        </w:rPr>
        <w:tab/>
        <w:t>48</w:t>
      </w:r>
    </w:p>
    <w:p>
      <w:pPr>
        <w:keepLines/>
        <w:tabs>
          <w:tab w:pos="9504" w:val="right" w:leader="dot"/>
        </w:tabs>
        <w:spacing w:after="0" w:before="0"/>
        <w:ind w:left="360"/>
      </w:pPr>
      <w:hyperlink w:anchor="_Toc1063">
        <w:r>
          <w:rPr>
            <w:color w:val="333333"/>
          </w:rPr>
          <w:t xml:space="preserve">11.2 Template model</w:t>
        </w:r>
      </w:hyperlink>
      <w:r>
        <w:rPr>
          <w:b w:val="0"/>
          <w:sz w:val="17"/>
        </w:rPr>
        <w:tab/>
        <w:t>48</w:t>
      </w:r>
    </w:p>
    <w:p>
      <w:pPr>
        <w:keepLines/>
        <w:tabs>
          <w:tab w:pos="9504" w:val="right" w:leader="dot"/>
        </w:tabs>
        <w:spacing w:after="0" w:before="0"/>
        <w:ind w:left="360"/>
      </w:pPr>
      <w:hyperlink w:anchor="_Toc1064">
        <w:r>
          <w:rPr>
            <w:color w:val="333333"/>
          </w:rPr>
          <w:t xml:space="preserve">11.3 Access control</w:t>
        </w:r>
      </w:hyperlink>
      <w:r>
        <w:rPr>
          <w:b w:val="0"/>
          <w:sz w:val="17"/>
        </w:rPr>
        <w:tab/>
        <w:t>49</w:t>
      </w:r>
    </w:p>
    <w:p>
      <w:pPr>
        <w:keepLines/>
        <w:tabs>
          <w:tab w:pos="9504" w:val="right" w:leader="dot"/>
        </w:tabs>
        <w:spacing w:after="0" w:before="50"/>
        <w:ind w:left="0"/>
      </w:pPr>
      <w:hyperlink w:anchor="_Toc1065">
        <w:r>
          <w:rPr>
            <w:b/>
            <w:color w:val="1F3A5F"/>
          </w:rPr>
          <w:t xml:space="preserve">12. Shared packages and components</w:t>
        </w:r>
      </w:hyperlink>
      <w:r>
        <w:rPr>
          <w:b/>
          <w:sz w:val="18"/>
        </w:rPr>
        <w:tab/>
        <w:t>50</w:t>
      </w:r>
    </w:p>
    <w:p>
      <w:pPr>
        <w:keepLines/>
        <w:tabs>
          <w:tab w:pos="9504" w:val="right" w:leader="dot"/>
        </w:tabs>
        <w:spacing w:after="0" w:before="0"/>
        <w:ind w:left="360"/>
      </w:pPr>
      <w:hyperlink w:anchor="_Toc1066">
        <w:r>
          <w:rPr>
            <w:color w:val="333333"/>
          </w:rPr>
          <w:t xml:space="preserve">12.1 Drift guard</w:t>
        </w:r>
      </w:hyperlink>
      <w:r>
        <w:rPr>
          <w:b w:val="0"/>
          <w:sz w:val="17"/>
        </w:rPr>
        <w:tab/>
        <w:t>50</w:t>
      </w:r>
    </w:p>
    <w:p>
      <w:pPr>
        <w:keepLines/>
        <w:tabs>
          <w:tab w:pos="9504" w:val="right" w:leader="dot"/>
        </w:tabs>
        <w:spacing w:after="0" w:before="0"/>
        <w:ind w:left="360"/>
      </w:pPr>
      <w:hyperlink w:anchor="_Toc1067">
        <w:r>
          <w:rPr>
            <w:color w:val="333333"/>
          </w:rPr>
          <w:t xml:space="preserve">12.2 Why the UI package is unused</w:t>
        </w:r>
      </w:hyperlink>
      <w:r>
        <w:rPr>
          <w:b w:val="0"/>
          <w:sz w:val="17"/>
        </w:rPr>
        <w:tab/>
        <w:t>50</w:t>
      </w:r>
    </w:p>
    <w:p>
      <w:pPr>
        <w:keepLines/>
        <w:tabs>
          <w:tab w:pos="9504" w:val="right" w:leader="dot"/>
        </w:tabs>
        <w:spacing w:after="0" w:before="50"/>
        <w:ind w:left="0"/>
      </w:pPr>
      <w:hyperlink w:anchor="_Toc1068">
        <w:r>
          <w:rPr>
            <w:b/>
            <w:color w:val="1F3A5F"/>
          </w:rPr>
          <w:t xml:space="preserve">13. Complete UI route and navigation reference</w:t>
        </w:r>
      </w:hyperlink>
      <w:r>
        <w:rPr>
          <w:b/>
          <w:sz w:val="18"/>
        </w:rPr>
        <w:tab/>
        <w:t>51</w:t>
      </w:r>
    </w:p>
    <w:p>
      <w:pPr>
        <w:keepLines/>
        <w:tabs>
          <w:tab w:pos="9504" w:val="right" w:leader="dot"/>
        </w:tabs>
        <w:spacing w:after="0" w:before="0"/>
        <w:ind w:left="360"/>
      </w:pPr>
      <w:hyperlink w:anchor="_Toc1069">
        <w:r>
          <w:rPr>
            <w:color w:val="333333"/>
          </w:rPr>
          <w:t xml:space="preserve">13.1 Route classes</w:t>
        </w:r>
      </w:hyperlink>
      <w:r>
        <w:rPr>
          <w:b w:val="0"/>
          <w:sz w:val="17"/>
        </w:rPr>
        <w:tab/>
        <w:t>51</w:t>
      </w:r>
    </w:p>
    <w:p>
      <w:pPr>
        <w:keepLines/>
        <w:tabs>
          <w:tab w:pos="9504" w:val="right" w:leader="dot"/>
        </w:tabs>
        <w:spacing w:after="0" w:before="0"/>
        <w:ind w:left="360"/>
      </w:pPr>
      <w:hyperlink w:anchor="_Toc1070">
        <w:r>
          <w:rPr>
            <w:color w:val="333333"/>
          </w:rPr>
          <w:t xml:space="preserve">13.2 B2B page tree</w:t>
        </w:r>
      </w:hyperlink>
      <w:r>
        <w:rPr>
          <w:b w:val="0"/>
          <w:sz w:val="17"/>
        </w:rPr>
        <w:tab/>
        <w:t>51</w:t>
      </w:r>
    </w:p>
    <w:p>
      <w:pPr>
        <w:keepLines/>
        <w:tabs>
          <w:tab w:pos="9504" w:val="right" w:leader="dot"/>
        </w:tabs>
        <w:spacing w:after="0" w:before="0"/>
        <w:ind w:left="360"/>
      </w:pPr>
      <w:hyperlink w:anchor="_Toc1071">
        <w:r>
          <w:rPr>
            <w:color w:val="333333"/>
          </w:rPr>
          <w:t xml:space="preserve">13.3 Navigation vs reachability</w:t>
        </w:r>
      </w:hyperlink>
      <w:r>
        <w:rPr>
          <w:b w:val="0"/>
          <w:sz w:val="17"/>
        </w:rPr>
        <w:tab/>
        <w:t>52</w:t>
      </w:r>
    </w:p>
    <w:p>
      <w:pPr>
        <w:keepLines/>
        <w:tabs>
          <w:tab w:pos="9504" w:val="right" w:leader="dot"/>
        </w:tabs>
        <w:spacing w:after="0" w:before="0"/>
        <w:ind w:left="360"/>
      </w:pPr>
      <w:hyperlink w:anchor="_Toc1072">
        <w:r>
          <w:rPr>
            <w:color w:val="333333"/>
          </w:rPr>
          <w:t xml:space="preserve">13.4 Permission keys used by the UI</w:t>
        </w:r>
      </w:hyperlink>
      <w:r>
        <w:rPr>
          <w:b w:val="0"/>
          <w:sz w:val="17"/>
        </w:rPr>
        <w:tab/>
        <w:t>52</w:t>
      </w:r>
    </w:p>
    <w:p>
      <w:pPr>
        <w:keepLines/>
        <w:tabs>
          <w:tab w:pos="9504" w:val="right" w:leader="dot"/>
        </w:tabs>
        <w:spacing w:after="0" w:before="50"/>
        <w:ind w:left="0"/>
      </w:pPr>
      <w:hyperlink w:anchor="_Toc1073">
        <w:r>
          <w:rPr>
            <w:b/>
            <w:color w:val="1F3A5F"/>
          </w:rPr>
          <w:t xml:space="preserve">14. Business domain model</w:t>
        </w:r>
      </w:hyperlink>
      <w:r>
        <w:rPr>
          <w:b/>
          <w:sz w:val="18"/>
        </w:rPr>
        <w:tab/>
        <w:t>53</w:t>
      </w:r>
    </w:p>
    <w:p>
      <w:pPr>
        <w:keepLines/>
        <w:tabs>
          <w:tab w:pos="9504" w:val="right" w:leader="dot"/>
        </w:tabs>
        <w:spacing w:after="0" w:before="0"/>
        <w:ind w:left="360"/>
      </w:pPr>
      <w:hyperlink w:anchor="_Toc1074">
        <w:r>
          <w:rPr>
            <w:color w:val="333333"/>
          </w:rPr>
          <w:t xml:space="preserve">14.1 Aggregate boundaries and invariants</w:t>
        </w:r>
      </w:hyperlink>
      <w:r>
        <w:rPr>
          <w:b w:val="0"/>
          <w:sz w:val="17"/>
        </w:rPr>
        <w:tab/>
        <w:t>54</w:t>
      </w:r>
    </w:p>
    <w:p>
      <w:pPr>
        <w:keepLines/>
        <w:tabs>
          <w:tab w:pos="9504" w:val="right" w:leader="dot"/>
        </w:tabs>
        <w:spacing w:after="0" w:before="50"/>
        <w:ind w:left="0"/>
      </w:pPr>
      <w:hyperlink w:anchor="_Toc1075">
        <w:r>
          <w:rPr>
            <w:b/>
            <w:color w:val="1F3A5F"/>
          </w:rPr>
          <w:t xml:space="preserve">15. End-to-end business workflows</w:t>
        </w:r>
      </w:hyperlink>
      <w:r>
        <w:rPr>
          <w:b/>
          <w:sz w:val="18"/>
        </w:rPr>
        <w:tab/>
        <w:t>55</w:t>
      </w:r>
    </w:p>
    <w:p>
      <w:pPr>
        <w:keepLines/>
        <w:tabs>
          <w:tab w:pos="9504" w:val="right" w:leader="dot"/>
        </w:tabs>
        <w:spacing w:after="0" w:before="0"/>
        <w:ind w:left="360"/>
      </w:pPr>
      <w:hyperlink w:anchor="_Toc1076">
        <w:r>
          <w:rPr>
            <w:color w:val="333333"/>
          </w:rPr>
          <w:t xml:space="preserve">15.1 POS checkout (W-09)</w:t>
        </w:r>
      </w:hyperlink>
      <w:r>
        <w:rPr>
          <w:b w:val="0"/>
          <w:sz w:val="17"/>
        </w:rPr>
        <w:tab/>
        <w:t>56</w:t>
      </w:r>
    </w:p>
    <w:p>
      <w:pPr>
        <w:keepLines/>
        <w:tabs>
          <w:tab w:pos="9504" w:val="right" w:leader="dot"/>
        </w:tabs>
        <w:spacing w:after="0" w:before="0"/>
        <w:ind w:left="360"/>
      </w:pPr>
      <w:hyperlink w:anchor="_Toc1077">
        <w:r>
          <w:rPr>
            <w:color w:val="333333"/>
          </w:rPr>
          <w:t xml:space="preserve">15.2 Sales order lifecycle (W-08)</w:t>
        </w:r>
      </w:hyperlink>
      <w:r>
        <w:rPr>
          <w:b w:val="0"/>
          <w:sz w:val="17"/>
        </w:rPr>
        <w:tab/>
        <w:t>58</w:t>
      </w:r>
    </w:p>
    <w:p>
      <w:pPr>
        <w:keepLines/>
        <w:tabs>
          <w:tab w:pos="9504" w:val="right" w:leader="dot"/>
        </w:tabs>
        <w:spacing w:after="0" w:before="0"/>
        <w:ind w:left="360"/>
      </w:pPr>
      <w:hyperlink w:anchor="_Toc1078">
        <w:r>
          <w:rPr>
            <w:color w:val="333333"/>
          </w:rPr>
          <w:t xml:space="preserve">15.3 Inventory movement (W-03, W-04, W-05)</w:t>
        </w:r>
      </w:hyperlink>
      <w:r>
        <w:rPr>
          <w:b w:val="0"/>
          <w:sz w:val="17"/>
        </w:rPr>
        <w:tab/>
        <w:t>59</w:t>
      </w:r>
    </w:p>
    <w:p>
      <w:pPr>
        <w:keepLines/>
        <w:tabs>
          <w:tab w:pos="9504" w:val="right" w:leader="dot"/>
        </w:tabs>
        <w:spacing w:after="0" w:before="0"/>
        <w:ind w:left="360"/>
      </w:pPr>
      <w:hyperlink w:anchor="_Toc1079">
        <w:r>
          <w:rPr>
            <w:color w:val="333333"/>
          </w:rPr>
          <w:t xml:space="preserve">15.4 Purchasing (W-06, W-07)</w:t>
        </w:r>
      </w:hyperlink>
      <w:r>
        <w:rPr>
          <w:b w:val="0"/>
          <w:sz w:val="17"/>
        </w:rPr>
        <w:tab/>
        <w:t>59</w:t>
      </w:r>
    </w:p>
    <w:p>
      <w:pPr>
        <w:keepLines/>
        <w:tabs>
          <w:tab w:pos="9504" w:val="right" w:leader="dot"/>
        </w:tabs>
        <w:spacing w:after="0" w:before="0"/>
        <w:ind w:left="360"/>
      </w:pPr>
      <w:hyperlink w:anchor="_Toc1080">
        <w:r>
          <w:rPr>
            <w:color w:val="333333"/>
          </w:rPr>
          <w:t xml:space="preserve">15.5 Finance: invoice, payment, cashflow (W-14, W-16)</w:t>
        </w:r>
      </w:hyperlink>
      <w:r>
        <w:rPr>
          <w:b w:val="0"/>
          <w:sz w:val="17"/>
        </w:rPr>
        <w:tab/>
        <w:t>59</w:t>
      </w:r>
    </w:p>
    <w:p>
      <w:pPr>
        <w:keepLines/>
        <w:tabs>
          <w:tab w:pos="9504" w:val="right" w:leader="dot"/>
        </w:tabs>
        <w:spacing w:after="0" w:before="0"/>
        <w:ind w:left="360"/>
      </w:pPr>
      <w:hyperlink w:anchor="_Toc1081">
        <w:r>
          <w:rPr>
            <w:color w:val="333333"/>
          </w:rPr>
          <w:t xml:space="preserve">15.6 Accounting (W-15)</w:t>
        </w:r>
      </w:hyperlink>
      <w:r>
        <w:rPr>
          <w:b w:val="0"/>
          <w:sz w:val="17"/>
        </w:rPr>
        <w:tab/>
        <w:t>59</w:t>
      </w:r>
    </w:p>
    <w:p>
      <w:pPr>
        <w:keepLines/>
        <w:tabs>
          <w:tab w:pos="9504" w:val="right" w:leader="dot"/>
        </w:tabs>
        <w:spacing w:after="0" w:before="0"/>
        <w:ind w:left="360"/>
      </w:pPr>
      <w:hyperlink w:anchor="_Toc1082">
        <w:r>
          <w:rPr>
            <w:color w:val="333333"/>
          </w:rPr>
          <w:t xml:space="preserve">15.7 Returns (W-11)</w:t>
        </w:r>
      </w:hyperlink>
      <w:r>
        <w:rPr>
          <w:b w:val="0"/>
          <w:sz w:val="17"/>
        </w:rPr>
        <w:tab/>
        <w:t>60</w:t>
      </w:r>
    </w:p>
    <w:p>
      <w:pPr>
        <w:keepLines/>
        <w:tabs>
          <w:tab w:pos="9504" w:val="right" w:leader="dot"/>
        </w:tabs>
        <w:spacing w:after="0" w:before="0"/>
        <w:ind w:left="360"/>
      </w:pPr>
      <w:hyperlink w:anchor="_Toc1083">
        <w:r>
          <w:rPr>
            <w:color w:val="333333"/>
          </w:rPr>
          <w:t xml:space="preserve">15.8 Distribution and LHPP (W-17, W-18)</w:t>
        </w:r>
      </w:hyperlink>
      <w:r>
        <w:rPr>
          <w:b w:val="0"/>
          <w:sz w:val="17"/>
        </w:rPr>
        <w:tab/>
        <w:t>60</w:t>
      </w:r>
    </w:p>
    <w:p>
      <w:pPr>
        <w:keepLines/>
        <w:tabs>
          <w:tab w:pos="9504" w:val="right" w:leader="dot"/>
        </w:tabs>
        <w:spacing w:after="0" w:before="0"/>
        <w:ind w:left="360"/>
      </w:pPr>
      <w:hyperlink w:anchor="_Toc1084">
        <w:r>
          <w:rPr>
            <w:color w:val="333333"/>
          </w:rPr>
          <w:t xml:space="preserve">15.9 Report generation (W-21)</w:t>
        </w:r>
      </w:hyperlink>
      <w:r>
        <w:rPr>
          <w:b w:val="0"/>
          <w:sz w:val="17"/>
        </w:rPr>
        <w:tab/>
        <w:t>60</w:t>
      </w:r>
    </w:p>
    <w:p>
      <w:pPr>
        <w:keepLines/>
        <w:tabs>
          <w:tab w:pos="9504" w:val="right" w:leader="dot"/>
        </w:tabs>
        <w:spacing w:after="0" w:before="50"/>
        <w:ind w:left="0"/>
      </w:pPr>
      <w:hyperlink w:anchor="_Toc1085">
        <w:r>
          <w:rPr>
            <w:b/>
            <w:color w:val="1F3A5F"/>
          </w:rPr>
          <w:t xml:space="preserve">16. Complete database architecture</w:t>
        </w:r>
      </w:hyperlink>
      <w:r>
        <w:rPr>
          <w:b/>
          <w:sz w:val="18"/>
        </w:rPr>
        <w:tab/>
        <w:t>61</w:t>
      </w:r>
    </w:p>
    <w:p>
      <w:pPr>
        <w:keepLines/>
        <w:tabs>
          <w:tab w:pos="9504" w:val="right" w:leader="dot"/>
        </w:tabs>
        <w:spacing w:after="0" w:before="0"/>
        <w:ind w:left="360"/>
      </w:pPr>
      <w:hyperlink w:anchor="_Toc1086">
        <w:r>
          <w:rPr>
            <w:color w:val="333333"/>
          </w:rPr>
          <w:t xml:space="preserve">16.1 Engine and topology</w:t>
        </w:r>
      </w:hyperlink>
      <w:r>
        <w:rPr>
          <w:b w:val="0"/>
          <w:sz w:val="17"/>
        </w:rPr>
        <w:tab/>
        <w:t>61</w:t>
      </w:r>
    </w:p>
    <w:p>
      <w:pPr>
        <w:keepLines/>
        <w:tabs>
          <w:tab w:pos="9504" w:val="right" w:leader="dot"/>
        </w:tabs>
        <w:spacing w:after="0" w:before="0"/>
        <w:ind w:left="360"/>
      </w:pPr>
      <w:hyperlink w:anchor="_Toc1087">
        <w:r>
          <w:rPr>
            <w:color w:val="333333"/>
          </w:rPr>
          <w:t xml:space="preserve">16.2 Object census</w:t>
        </w:r>
      </w:hyperlink>
      <w:r>
        <w:rPr>
          <w:b w:val="0"/>
          <w:sz w:val="17"/>
        </w:rPr>
        <w:tab/>
        <w:t>61</w:t>
      </w:r>
    </w:p>
    <w:p>
      <w:pPr>
        <w:keepLines/>
        <w:tabs>
          <w:tab w:pos="9504" w:val="right" w:leader="dot"/>
        </w:tabs>
        <w:spacing w:after="0" w:before="0"/>
        <w:ind w:left="360"/>
      </w:pPr>
      <w:hyperlink w:anchor="_Toc1088">
        <w:r>
          <w:rPr>
            <w:color w:val="333333"/>
          </w:rPr>
          <w:t xml:space="preserve">16.3 Table inventory</w:t>
        </w:r>
      </w:hyperlink>
      <w:r>
        <w:rPr>
          <w:b w:val="0"/>
          <w:sz w:val="17"/>
        </w:rPr>
        <w:tab/>
        <w:t>62</w:t>
      </w:r>
    </w:p>
    <w:p>
      <w:pPr>
        <w:keepLines/>
        <w:tabs>
          <w:tab w:pos="9504" w:val="right" w:leader="dot"/>
        </w:tabs>
        <w:spacing w:after="0" w:before="0"/>
        <w:ind w:left="360"/>
      </w:pPr>
      <w:hyperlink w:anchor="_Toc1089">
        <w:r>
          <w:rPr>
            <w:color w:val="333333"/>
          </w:rPr>
          <w:t xml:space="preserve">16.4 Tenancy and scoping</w:t>
        </w:r>
      </w:hyperlink>
      <w:r>
        <w:rPr>
          <w:b w:val="0"/>
          <w:sz w:val="17"/>
        </w:rPr>
        <w:tab/>
        <w:t>68</w:t>
      </w:r>
    </w:p>
    <w:p>
      <w:pPr>
        <w:keepLines/>
        <w:tabs>
          <w:tab w:pos="9504" w:val="right" w:leader="dot"/>
        </w:tabs>
        <w:spacing w:after="0" w:before="0"/>
        <w:ind w:left="360"/>
      </w:pPr>
      <w:hyperlink w:anchor="_Toc1090">
        <w:r>
          <w:rPr>
            <w:color w:val="333333"/>
          </w:rPr>
          <w:t xml:space="preserve">16.5 Migration history and safety</w:t>
        </w:r>
      </w:hyperlink>
      <w:r>
        <w:rPr>
          <w:b w:val="0"/>
          <w:sz w:val="17"/>
        </w:rPr>
        <w:tab/>
        <w:t>68</w:t>
      </w:r>
    </w:p>
    <w:p>
      <w:pPr>
        <w:keepLines/>
        <w:tabs>
          <w:tab w:pos="9504" w:val="right" w:leader="dot"/>
        </w:tabs>
        <w:spacing w:after="0" w:before="50"/>
        <w:ind w:left="0"/>
      </w:pPr>
      <w:hyperlink w:anchor="_Toc1091">
        <w:r>
          <w:rPr>
            <w:b/>
            <w:color w:val="1F3A5F"/>
          </w:rPr>
          <w:t xml:space="preserve">17. Complete database object inventory</w:t>
        </w:r>
      </w:hyperlink>
      <w:r>
        <w:rPr>
          <w:b/>
          <w:sz w:val="18"/>
        </w:rPr>
        <w:tab/>
        <w:t>73</w:t>
      </w:r>
    </w:p>
    <w:p>
      <w:pPr>
        <w:keepLines/>
        <w:tabs>
          <w:tab w:pos="9504" w:val="right" w:leader="dot"/>
        </w:tabs>
        <w:spacing w:after="0" w:before="0"/>
        <w:ind w:left="360"/>
      </w:pPr>
      <w:hyperlink w:anchor="_Toc1092">
        <w:r>
          <w:rPr>
            <w:color w:val="333333"/>
          </w:rPr>
          <w:t xml:space="preserve">17.1 Functions</w:t>
        </w:r>
      </w:hyperlink>
      <w:r>
        <w:rPr>
          <w:b w:val="0"/>
          <w:sz w:val="17"/>
        </w:rPr>
        <w:tab/>
        <w:t>73</w:t>
      </w:r>
    </w:p>
    <w:p>
      <w:pPr>
        <w:keepLines/>
        <w:tabs>
          <w:tab w:pos="9504" w:val="right" w:leader="dot"/>
        </w:tabs>
        <w:spacing w:after="0" w:before="0"/>
        <w:ind w:left="360"/>
      </w:pPr>
      <w:hyperlink w:anchor="_Toc1093">
        <w:r>
          <w:rPr>
            <w:color w:val="333333"/>
          </w:rPr>
          <w:t xml:space="preserve">17.2 Triggers</w:t>
        </w:r>
      </w:hyperlink>
      <w:r>
        <w:rPr>
          <w:b w:val="0"/>
          <w:sz w:val="17"/>
        </w:rPr>
        <w:tab/>
        <w:t>73</w:t>
      </w:r>
    </w:p>
    <w:p>
      <w:pPr>
        <w:keepLines/>
        <w:tabs>
          <w:tab w:pos="9504" w:val="right" w:leader="dot"/>
        </w:tabs>
        <w:spacing w:after="0" w:before="0"/>
        <w:ind w:left="360"/>
      </w:pPr>
      <w:hyperlink w:anchor="_Toc1094">
        <w:r>
          <w:rPr>
            <w:color w:val="333333"/>
          </w:rPr>
          <w:t xml:space="preserve">17.3 Indexes of operational significance</w:t>
        </w:r>
      </w:hyperlink>
      <w:r>
        <w:rPr>
          <w:b w:val="0"/>
          <w:sz w:val="17"/>
        </w:rPr>
        <w:tab/>
        <w:t>73</w:t>
      </w:r>
    </w:p>
    <w:p>
      <w:pPr>
        <w:keepLines/>
        <w:tabs>
          <w:tab w:pos="9504" w:val="right" w:leader="dot"/>
        </w:tabs>
        <w:spacing w:after="0" w:before="0"/>
        <w:ind w:left="360"/>
      </w:pPr>
      <w:hyperlink w:anchor="_Toc1095">
        <w:r>
          <w:rPr>
            <w:color w:val="333333"/>
          </w:rPr>
          <w:t xml:space="preserve">17.4 Constraints</w:t>
        </w:r>
      </w:hyperlink>
      <w:r>
        <w:rPr>
          <w:b w:val="0"/>
          <w:sz w:val="17"/>
        </w:rPr>
        <w:tab/>
        <w:t>74</w:t>
      </w:r>
    </w:p>
    <w:p>
      <w:pPr>
        <w:keepLines/>
        <w:tabs>
          <w:tab w:pos="9504" w:val="right" w:leader="dot"/>
        </w:tabs>
        <w:spacing w:after="0" w:before="0"/>
        <w:ind w:left="360"/>
      </w:pPr>
      <w:hyperlink w:anchor="_Toc1096">
        <w:r>
          <w:rPr>
            <w:color w:val="333333"/>
          </w:rPr>
          <w:t xml:space="preserve">17.5 Sequences, extensions, views, RLS</w:t>
        </w:r>
      </w:hyperlink>
      <w:r>
        <w:rPr>
          <w:b w:val="0"/>
          <w:sz w:val="17"/>
        </w:rPr>
        <w:tab/>
        <w:t>74</w:t>
      </w:r>
    </w:p>
    <w:p>
      <w:pPr>
        <w:keepLines/>
        <w:tabs>
          <w:tab w:pos="9504" w:val="right" w:leader="dot"/>
        </w:tabs>
        <w:spacing w:after="0" w:before="50"/>
        <w:ind w:left="0"/>
      </w:pPr>
      <w:hyperlink w:anchor="_Toc1097">
        <w:r>
          <w:rPr>
            <w:b/>
            <w:color w:val="1F3A5F"/>
          </w:rPr>
          <w:t xml:space="preserve">18. Full database data dictionary</w:t>
        </w:r>
      </w:hyperlink>
      <w:r>
        <w:rPr>
          <w:b/>
          <w:sz w:val="18"/>
        </w:rPr>
        <w:tab/>
        <w:t>75</w:t>
      </w:r>
    </w:p>
    <w:p>
      <w:pPr>
        <w:keepLines/>
        <w:tabs>
          <w:tab w:pos="9504" w:val="right" w:leader="dot"/>
        </w:tabs>
        <w:spacing w:after="0" w:before="0"/>
        <w:ind w:left="360"/>
      </w:pPr>
      <w:hyperlink w:anchor="_Toc1098">
        <w:r>
          <w:rPr>
            <w:color w:val="333333"/>
          </w:rPr>
          <w:t xml:space="preserve">18.1 Auth</w:t>
        </w:r>
      </w:hyperlink>
      <w:r>
        <w:rPr>
          <w:b w:val="0"/>
          <w:sz w:val="17"/>
        </w:rPr>
        <w:tab/>
        <w:t>76</w:t>
      </w:r>
    </w:p>
    <w:p>
      <w:pPr>
        <w:keepLines/>
        <w:tabs>
          <w:tab w:pos="9504" w:val="right" w:leader="dot"/>
        </w:tabs>
        <w:spacing w:after="0" w:before="0"/>
        <w:ind w:left="360"/>
      </w:pPr>
      <w:hyperlink w:anchor="_Toc1104">
        <w:r>
          <w:rPr>
            <w:color w:val="333333"/>
          </w:rPr>
          <w:t xml:space="preserve">18.2 Tenancy</w:t>
        </w:r>
      </w:hyperlink>
      <w:r>
        <w:rPr>
          <w:b w:val="0"/>
          <w:sz w:val="17"/>
        </w:rPr>
        <w:tab/>
        <w:t>78</w:t>
      </w:r>
    </w:p>
    <w:p>
      <w:pPr>
        <w:keepLines/>
        <w:tabs>
          <w:tab w:pos="9504" w:val="right" w:leader="dot"/>
        </w:tabs>
        <w:spacing w:after="0" w:before="0"/>
        <w:ind w:left="360"/>
      </w:pPr>
      <w:hyperlink w:anchor="_Toc1107">
        <w:r>
          <w:rPr>
            <w:color w:val="333333"/>
          </w:rPr>
          <w:t xml:space="preserve">18.3 Catalog</w:t>
        </w:r>
      </w:hyperlink>
      <w:r>
        <w:rPr>
          <w:b w:val="0"/>
          <w:sz w:val="17"/>
        </w:rPr>
        <w:tab/>
        <w:t>79</w:t>
      </w:r>
    </w:p>
    <w:p>
      <w:pPr>
        <w:keepLines/>
        <w:tabs>
          <w:tab w:pos="9504" w:val="right" w:leader="dot"/>
        </w:tabs>
        <w:spacing w:after="0" w:before="0"/>
        <w:ind w:left="360"/>
      </w:pPr>
      <w:hyperlink w:anchor="_Toc1114">
        <w:r>
          <w:rPr>
            <w:color w:val="333333"/>
          </w:rPr>
          <w:t xml:space="preserve">18.4 Partners</w:t>
        </w:r>
      </w:hyperlink>
      <w:r>
        <w:rPr>
          <w:b w:val="0"/>
          <w:sz w:val="17"/>
        </w:rPr>
        <w:tab/>
        <w:t>81</w:t>
      </w:r>
    </w:p>
    <w:p>
      <w:pPr>
        <w:keepLines/>
        <w:tabs>
          <w:tab w:pos="9504" w:val="right" w:leader="dot"/>
        </w:tabs>
        <w:spacing w:after="0" w:before="0"/>
        <w:ind w:left="360"/>
      </w:pPr>
      <w:hyperlink w:anchor="_Toc1117">
        <w:r>
          <w:rPr>
            <w:color w:val="333333"/>
          </w:rPr>
          <w:t xml:space="preserve">18.5 Membership</w:t>
        </w:r>
      </w:hyperlink>
      <w:r>
        <w:rPr>
          <w:b w:val="0"/>
          <w:sz w:val="17"/>
        </w:rPr>
        <w:tab/>
        <w:t>84</w:t>
      </w:r>
    </w:p>
    <w:p>
      <w:pPr>
        <w:keepLines/>
        <w:tabs>
          <w:tab w:pos="9504" w:val="right" w:leader="dot"/>
        </w:tabs>
        <w:spacing w:after="0" w:before="0"/>
        <w:ind w:left="360"/>
      </w:pPr>
      <w:hyperlink w:anchor="_Toc1122">
        <w:r>
          <w:rPr>
            <w:color w:val="333333"/>
          </w:rPr>
          <w:t xml:space="preserve">18.6 Inventory</w:t>
        </w:r>
      </w:hyperlink>
      <w:r>
        <w:rPr>
          <w:b w:val="0"/>
          <w:sz w:val="17"/>
        </w:rPr>
        <w:tab/>
        <w:t>86</w:t>
      </w:r>
    </w:p>
    <w:p>
      <w:pPr>
        <w:keepLines/>
        <w:tabs>
          <w:tab w:pos="9504" w:val="right" w:leader="dot"/>
        </w:tabs>
        <w:spacing w:after="0" w:before="0"/>
        <w:ind w:left="360"/>
      </w:pPr>
      <w:hyperlink w:anchor="_Toc1130">
        <w:r>
          <w:rPr>
            <w:color w:val="333333"/>
          </w:rPr>
          <w:t xml:space="preserve">18.7 Purchasing</w:t>
        </w:r>
      </w:hyperlink>
      <w:r>
        <w:rPr>
          <w:b w:val="0"/>
          <w:sz w:val="17"/>
        </w:rPr>
        <w:tab/>
        <w:t>89</w:t>
      </w:r>
    </w:p>
    <w:p>
      <w:pPr>
        <w:keepLines/>
        <w:tabs>
          <w:tab w:pos="9504" w:val="right" w:leader="dot"/>
        </w:tabs>
        <w:spacing w:after="0" w:before="0"/>
        <w:ind w:left="360"/>
      </w:pPr>
      <w:hyperlink w:anchor="_Toc1136">
        <w:r>
          <w:rPr>
            <w:color w:val="333333"/>
          </w:rPr>
          <w:t xml:space="preserve">18.8 Sales</w:t>
        </w:r>
      </w:hyperlink>
      <w:r>
        <w:rPr>
          <w:b w:val="0"/>
          <w:sz w:val="17"/>
        </w:rPr>
        <w:tab/>
        <w:t>92</w:t>
      </w:r>
    </w:p>
    <w:p>
      <w:pPr>
        <w:keepLines/>
        <w:tabs>
          <w:tab w:pos="9504" w:val="right" w:leader="dot"/>
        </w:tabs>
        <w:spacing w:after="0" w:before="0"/>
        <w:ind w:left="360"/>
      </w:pPr>
      <w:hyperlink w:anchor="_Toc1144">
        <w:r>
          <w:rPr>
            <w:color w:val="333333"/>
          </w:rPr>
          <w:t xml:space="preserve">18.9 POS</w:t>
        </w:r>
      </w:hyperlink>
      <w:r>
        <w:rPr>
          <w:b w:val="0"/>
          <w:sz w:val="17"/>
        </w:rPr>
        <w:tab/>
        <w:t>97</w:t>
      </w:r>
    </w:p>
    <w:p>
      <w:pPr>
        <w:keepLines/>
        <w:tabs>
          <w:tab w:pos="9504" w:val="right" w:leader="dot"/>
        </w:tabs>
        <w:spacing w:after="0" w:before="0"/>
        <w:ind w:left="360"/>
      </w:pPr>
      <w:hyperlink w:anchor="_Toc1147">
        <w:r>
          <w:rPr>
            <w:color w:val="333333"/>
          </w:rPr>
          <w:t xml:space="preserve">18.10 Galon</w:t>
        </w:r>
      </w:hyperlink>
      <w:r>
        <w:rPr>
          <w:b w:val="0"/>
          <w:sz w:val="17"/>
        </w:rPr>
        <w:tab/>
        <w:t>98</w:t>
      </w:r>
    </w:p>
    <w:p>
      <w:pPr>
        <w:keepLines/>
        <w:tabs>
          <w:tab w:pos="9504" w:val="right" w:leader="dot"/>
        </w:tabs>
        <w:spacing w:after="0" w:before="0"/>
        <w:ind w:left="360"/>
      </w:pPr>
      <w:hyperlink w:anchor="_Toc1149">
        <w:r>
          <w:rPr>
            <w:color w:val="333333"/>
          </w:rPr>
          <w:t xml:space="preserve">18.11 Finance</w:t>
        </w:r>
      </w:hyperlink>
      <w:r>
        <w:rPr>
          <w:b w:val="0"/>
          <w:sz w:val="17"/>
        </w:rPr>
        <w:tab/>
        <w:t>99</w:t>
      </w:r>
    </w:p>
    <w:p>
      <w:pPr>
        <w:keepLines/>
        <w:tabs>
          <w:tab w:pos="9504" w:val="right" w:leader="dot"/>
        </w:tabs>
        <w:spacing w:after="0" w:before="0"/>
        <w:ind w:left="360"/>
      </w:pPr>
      <w:hyperlink w:anchor="_Toc1154">
        <w:r>
          <w:rPr>
            <w:color w:val="333333"/>
          </w:rPr>
          <w:t xml:space="preserve">18.12 Accounting</w:t>
        </w:r>
      </w:hyperlink>
      <w:r>
        <w:rPr>
          <w:b w:val="0"/>
          <w:sz w:val="17"/>
        </w:rPr>
        <w:tab/>
        <w:t>103</w:t>
      </w:r>
    </w:p>
    <w:p>
      <w:pPr>
        <w:keepLines/>
        <w:tabs>
          <w:tab w:pos="9504" w:val="right" w:leader="dot"/>
        </w:tabs>
        <w:spacing w:after="0" w:before="0"/>
        <w:ind w:left="360"/>
      </w:pPr>
      <w:hyperlink w:anchor="_Toc1164">
        <w:r>
          <w:rPr>
            <w:color w:val="333333"/>
          </w:rPr>
          <w:t xml:space="preserve">18.13 Distribution</w:t>
        </w:r>
      </w:hyperlink>
      <w:r>
        <w:rPr>
          <w:b w:val="0"/>
          <w:sz w:val="17"/>
        </w:rPr>
        <w:tab/>
        <w:t>108</w:t>
      </w:r>
    </w:p>
    <w:p>
      <w:pPr>
        <w:keepLines/>
        <w:tabs>
          <w:tab w:pos="9504" w:val="right" w:leader="dot"/>
        </w:tabs>
        <w:spacing w:after="0" w:before="0"/>
        <w:ind w:left="360"/>
      </w:pPr>
      <w:hyperlink w:anchor="_Toc1177">
        <w:r>
          <w:rPr>
            <w:color w:val="333333"/>
          </w:rPr>
          <w:t xml:space="preserve">18.14 Sales tracking</w:t>
        </w:r>
      </w:hyperlink>
      <w:r>
        <w:rPr>
          <w:b w:val="0"/>
          <w:sz w:val="17"/>
        </w:rPr>
        <w:tab/>
        <w:t>114</w:t>
      </w:r>
    </w:p>
    <w:p>
      <w:pPr>
        <w:keepLines/>
        <w:tabs>
          <w:tab w:pos="9504" w:val="right" w:leader="dot"/>
        </w:tabs>
        <w:spacing w:after="0" w:before="0"/>
        <w:ind w:left="360"/>
      </w:pPr>
      <w:hyperlink w:anchor="_Toc1182">
        <w:r>
          <w:rPr>
            <w:color w:val="333333"/>
          </w:rPr>
          <w:t xml:space="preserve">18.15 HR</w:t>
        </w:r>
      </w:hyperlink>
      <w:r>
        <w:rPr>
          <w:b w:val="0"/>
          <w:sz w:val="17"/>
        </w:rPr>
        <w:tab/>
        <w:t>116</w:t>
      </w:r>
    </w:p>
    <w:p>
      <w:pPr>
        <w:keepLines/>
        <w:tabs>
          <w:tab w:pos="9504" w:val="right" w:leader="dot"/>
        </w:tabs>
        <w:spacing w:after="0" w:before="0"/>
        <w:ind w:left="360"/>
      </w:pPr>
      <w:hyperlink w:anchor="_Toc1188">
        <w:r>
          <w:rPr>
            <w:color w:val="333333"/>
          </w:rPr>
          <w:t xml:space="preserve">18.16 Support</w:t>
        </w:r>
      </w:hyperlink>
      <w:r>
        <w:rPr>
          <w:b w:val="0"/>
          <w:sz w:val="17"/>
        </w:rPr>
        <w:tab/>
        <w:t>121</w:t>
      </w:r>
    </w:p>
    <w:p>
      <w:pPr>
        <w:keepLines/>
        <w:tabs>
          <w:tab w:pos="9504" w:val="right" w:leader="dot"/>
        </w:tabs>
        <w:spacing w:after="0" w:before="0"/>
        <w:ind w:left="360"/>
      </w:pPr>
      <w:hyperlink w:anchor="_Toc1191">
        <w:r>
          <w:rPr>
            <w:color w:val="333333"/>
          </w:rPr>
          <w:t xml:space="preserve">18.17 Reports</w:t>
        </w:r>
      </w:hyperlink>
      <w:r>
        <w:rPr>
          <w:b w:val="0"/>
          <w:sz w:val="17"/>
        </w:rPr>
        <w:tab/>
        <w:t>122</w:t>
      </w:r>
    </w:p>
    <w:p>
      <w:pPr>
        <w:keepLines/>
        <w:tabs>
          <w:tab w:pos="9504" w:val="right" w:leader="dot"/>
        </w:tabs>
        <w:spacing w:after="0" w:before="0"/>
        <w:ind w:left="360"/>
      </w:pPr>
      <w:hyperlink w:anchor="_Toc1193">
        <w:r>
          <w:rPr>
            <w:color w:val="333333"/>
          </w:rPr>
          <w:t xml:space="preserve">18.18 System</w:t>
        </w:r>
      </w:hyperlink>
      <w:r>
        <w:rPr>
          <w:b w:val="0"/>
          <w:sz w:val="17"/>
        </w:rPr>
        <w:tab/>
        <w:t>123</w:t>
      </w:r>
    </w:p>
    <w:p>
      <w:pPr>
        <w:keepLines/>
        <w:tabs>
          <w:tab w:pos="9504" w:val="right" w:leader="dot"/>
        </w:tabs>
        <w:spacing w:after="0" w:before="0"/>
        <w:ind w:left="360"/>
      </w:pPr>
      <w:hyperlink w:anchor="_Toc1198">
        <w:r>
          <w:rPr>
            <w:color w:val="333333"/>
          </w:rPr>
          <w:t xml:space="preserve">18.19 E-commerce</w:t>
        </w:r>
      </w:hyperlink>
      <w:r>
        <w:rPr>
          <w:b w:val="0"/>
          <w:sz w:val="17"/>
        </w:rPr>
        <w:tab/>
        <w:t>125</w:t>
      </w:r>
    </w:p>
    <w:p>
      <w:pPr>
        <w:keepLines/>
        <w:tabs>
          <w:tab w:pos="9504" w:val="right" w:leader="dot"/>
        </w:tabs>
        <w:spacing w:after="0" w:before="0"/>
        <w:ind w:left="360"/>
      </w:pPr>
      <w:hyperlink w:anchor="_Toc1202">
        <w:r>
          <w:rPr>
            <w:color w:val="333333"/>
          </w:rPr>
          <w:t xml:space="preserve">18.20 Framework</w:t>
        </w:r>
      </w:hyperlink>
      <w:r>
        <w:rPr>
          <w:b w:val="0"/>
          <w:sz w:val="17"/>
        </w:rPr>
        <w:tab/>
        <w:t>126</w:t>
      </w:r>
    </w:p>
    <w:p>
      <w:pPr>
        <w:keepLines/>
        <w:tabs>
          <w:tab w:pos="9504" w:val="right" w:leader="dot"/>
        </w:tabs>
        <w:spacing w:after="0" w:before="50"/>
        <w:ind w:left="0"/>
      </w:pPr>
      <w:hyperlink w:anchor="_Toc1210">
        <w:r>
          <w:rPr>
            <w:b/>
            <w:color w:val="1F3A5F"/>
          </w:rPr>
          <w:t xml:space="preserve">19. Complete ERD and domain ERDs</w:t>
        </w:r>
      </w:hyperlink>
      <w:r>
        <w:rPr>
          <w:b/>
          <w:sz w:val="18"/>
        </w:rPr>
        <w:tab/>
        <w:t>129</w:t>
      </w:r>
    </w:p>
    <w:p>
      <w:pPr>
        <w:keepLines/>
        <w:tabs>
          <w:tab w:pos="9504" w:val="right" w:leader="dot"/>
        </w:tabs>
        <w:spacing w:after="0" w:before="0"/>
        <w:ind w:left="360"/>
      </w:pPr>
      <w:hyperlink w:anchor="_Toc1211">
        <w:r>
          <w:rPr>
            <w:color w:val="333333"/>
          </w:rPr>
          <w:t xml:space="preserve">19.1 Identity, tenancy and platform tables</w:t>
        </w:r>
      </w:hyperlink>
      <w:r>
        <w:rPr>
          <w:b w:val="0"/>
          <w:sz w:val="17"/>
        </w:rPr>
        <w:tab/>
        <w:t>130</w:t>
      </w:r>
    </w:p>
    <w:p>
      <w:pPr>
        <w:keepLines/>
        <w:tabs>
          <w:tab w:pos="9504" w:val="right" w:leader="dot"/>
        </w:tabs>
        <w:spacing w:after="0" w:before="0"/>
        <w:ind w:left="360"/>
      </w:pPr>
      <w:hyperlink w:anchor="_Toc1212">
        <w:r>
          <w:rPr>
            <w:color w:val="333333"/>
          </w:rPr>
          <w:t xml:space="preserve">19.2 Catalogue, partners and membership</w:t>
        </w:r>
      </w:hyperlink>
      <w:r>
        <w:rPr>
          <w:b w:val="0"/>
          <w:sz w:val="17"/>
        </w:rPr>
        <w:tab/>
        <w:t>131</w:t>
      </w:r>
    </w:p>
    <w:p>
      <w:pPr>
        <w:keepLines/>
        <w:tabs>
          <w:tab w:pos="9504" w:val="right" w:leader="dot"/>
        </w:tabs>
        <w:spacing w:after="0" w:before="0"/>
        <w:ind w:left="360"/>
      </w:pPr>
      <w:hyperlink w:anchor="_Toc1213">
        <w:r>
          <w:rPr>
            <w:color w:val="333333"/>
          </w:rPr>
          <w:t xml:space="preserve">19.3 Warehouses, stock and movements</w:t>
        </w:r>
      </w:hyperlink>
      <w:r>
        <w:rPr>
          <w:b w:val="0"/>
          <w:sz w:val="17"/>
        </w:rPr>
        <w:tab/>
        <w:t>132</w:t>
      </w:r>
    </w:p>
    <w:p>
      <w:pPr>
        <w:keepLines/>
        <w:tabs>
          <w:tab w:pos="9504" w:val="right" w:leader="dot"/>
        </w:tabs>
        <w:spacing w:after="0" w:before="0"/>
        <w:ind w:left="360"/>
      </w:pPr>
      <w:hyperlink w:anchor="_Toc1214">
        <w:r>
          <w:rPr>
            <w:color w:val="333333"/>
          </w:rPr>
          <w:t xml:space="preserve">19.4 Sales orders, returns, vouchers, cart</w:t>
        </w:r>
      </w:hyperlink>
      <w:r>
        <w:rPr>
          <w:b w:val="0"/>
          <w:sz w:val="17"/>
        </w:rPr>
        <w:tab/>
        <w:t>133</w:t>
      </w:r>
    </w:p>
    <w:p>
      <w:pPr>
        <w:keepLines/>
        <w:tabs>
          <w:tab w:pos="9504" w:val="right" w:leader="dot"/>
        </w:tabs>
        <w:spacing w:after="0" w:before="0"/>
        <w:ind w:left="360"/>
      </w:pPr>
      <w:hyperlink w:anchor="_Toc1215">
        <w:r>
          <w:rPr>
            <w:color w:val="333333"/>
          </w:rPr>
          <w:t xml:space="preserve">19.5 Purchasing, goods receipts and vouchers</w:t>
        </w:r>
      </w:hyperlink>
      <w:r>
        <w:rPr>
          <w:b w:val="0"/>
          <w:sz w:val="17"/>
        </w:rPr>
        <w:tab/>
        <w:t>134</w:t>
      </w:r>
    </w:p>
    <w:p>
      <w:pPr>
        <w:keepLines/>
        <w:tabs>
          <w:tab w:pos="9504" w:val="right" w:leader="dot"/>
        </w:tabs>
        <w:spacing w:after="0" w:before="0"/>
        <w:ind w:left="360"/>
      </w:pPr>
      <w:hyperlink w:anchor="_Toc1216">
        <w:r>
          <w:rPr>
            <w:color w:val="333333"/>
          </w:rPr>
          <w:t xml:space="preserve">19.6 Invoices, payments, cashflows, advances</w:t>
        </w:r>
      </w:hyperlink>
      <w:r>
        <w:rPr>
          <w:b w:val="0"/>
          <w:sz w:val="17"/>
        </w:rPr>
        <w:tab/>
        <w:t>135</w:t>
      </w:r>
    </w:p>
    <w:p>
      <w:pPr>
        <w:keepLines/>
        <w:tabs>
          <w:tab w:pos="9504" w:val="right" w:leader="dot"/>
        </w:tabs>
        <w:spacing w:after="0" w:before="0"/>
        <w:ind w:left="360"/>
      </w:pPr>
      <w:hyperlink w:anchor="_Toc1217">
        <w:r>
          <w:rPr>
            <w:color w:val="333333"/>
          </w:rPr>
          <w:t xml:space="preserve">19.7 Chart of accounts and journals</w:t>
        </w:r>
      </w:hyperlink>
      <w:r>
        <w:rPr>
          <w:b w:val="0"/>
          <w:sz w:val="17"/>
        </w:rPr>
        <w:tab/>
        <w:t>136</w:t>
      </w:r>
    </w:p>
    <w:p>
      <w:pPr>
        <w:keepLines/>
        <w:tabs>
          <w:tab w:pos="9504" w:val="right" w:leader="dot"/>
        </w:tabs>
        <w:spacing w:after="0" w:before="0"/>
        <w:ind w:left="360"/>
      </w:pPr>
      <w:hyperlink w:anchor="_Toc1218">
        <w:r>
          <w:rPr>
            <w:color w:val="333333"/>
          </w:rPr>
          <w:t xml:space="preserve">19.8 Cashier shifts and drawer</w:t>
        </w:r>
      </w:hyperlink>
      <w:r>
        <w:rPr>
          <w:b w:val="0"/>
          <w:sz w:val="17"/>
        </w:rPr>
        <w:tab/>
        <w:t>137</w:t>
      </w:r>
    </w:p>
    <w:p>
      <w:pPr>
        <w:keepLines/>
        <w:tabs>
          <w:tab w:pos="9504" w:val="right" w:leader="dot"/>
        </w:tabs>
        <w:spacing w:after="0" w:before="0"/>
        <w:ind w:left="360"/>
      </w:pPr>
      <w:hyperlink w:anchor="_Toc1219">
        <w:r>
          <w:rPr>
            <w:color w:val="333333"/>
          </w:rPr>
          <w:t xml:space="preserve">19.9 Delivery, shipments, fleet, LHPP</w:t>
        </w:r>
      </w:hyperlink>
      <w:r>
        <w:rPr>
          <w:b w:val="0"/>
          <w:sz w:val="17"/>
        </w:rPr>
        <w:tab/>
        <w:t>138</w:t>
      </w:r>
    </w:p>
    <w:p>
      <w:pPr>
        <w:keepLines/>
        <w:tabs>
          <w:tab w:pos="9504" w:val="right" w:leader="dot"/>
        </w:tabs>
        <w:spacing w:after="0" w:before="0"/>
        <w:ind w:left="360"/>
      </w:pPr>
      <w:hyperlink w:anchor="_Toc1220">
        <w:r>
          <w:rPr>
            <w:color w:val="333333"/>
          </w:rPr>
          <w:t xml:space="preserve">19.10 Employees, attendance, leave, payroll</w:t>
        </w:r>
      </w:hyperlink>
      <w:r>
        <w:rPr>
          <w:b w:val="0"/>
          <w:sz w:val="17"/>
        </w:rPr>
        <w:tab/>
        <w:t>139</w:t>
      </w:r>
    </w:p>
    <w:p>
      <w:pPr>
        <w:keepLines/>
        <w:tabs>
          <w:tab w:pos="9504" w:val="right" w:leader="dot"/>
        </w:tabs>
        <w:spacing w:after="0" w:before="0"/>
        <w:ind w:left="360"/>
      </w:pPr>
      <w:hyperlink w:anchor="_Toc1221">
        <w:r>
          <w:rPr>
            <w:color w:val="333333"/>
          </w:rPr>
          <w:t xml:space="preserve">19.11 Visits, activities, routes, GPS</w:t>
        </w:r>
      </w:hyperlink>
      <w:r>
        <w:rPr>
          <w:b w:val="0"/>
          <w:sz w:val="17"/>
        </w:rPr>
        <w:tab/>
        <w:t>140</w:t>
      </w:r>
    </w:p>
    <w:p>
      <w:pPr>
        <w:keepLines/>
        <w:tabs>
          <w:tab w:pos="9504" w:val="right" w:leader="dot"/>
        </w:tabs>
        <w:spacing w:after="0" w:before="0"/>
        <w:ind w:left="360"/>
      </w:pPr>
      <w:hyperlink w:anchor="_Toc1222">
        <w:r>
          <w:rPr>
            <w:color w:val="333333"/>
          </w:rPr>
          <w:t xml:space="preserve">19.12 Tickets and report templates</w:t>
        </w:r>
      </w:hyperlink>
      <w:r>
        <w:rPr>
          <w:b w:val="0"/>
          <w:sz w:val="17"/>
        </w:rPr>
        <w:tab/>
        <w:t>141</w:t>
      </w:r>
    </w:p>
    <w:p>
      <w:pPr>
        <w:keepLines/>
        <w:tabs>
          <w:tab w:pos="9504" w:val="right" w:leader="dot"/>
        </w:tabs>
        <w:spacing w:after="0" w:before="0"/>
        <w:ind w:left="360"/>
      </w:pPr>
      <w:hyperlink w:anchor="_Toc1223">
        <w:r>
          <w:rPr>
            <w:color w:val="333333"/>
          </w:rPr>
          <w:t xml:space="preserve">19.13 Laravel framework tables retained for parity</w:t>
        </w:r>
      </w:hyperlink>
      <w:r>
        <w:rPr>
          <w:b w:val="0"/>
          <w:sz w:val="17"/>
        </w:rPr>
        <w:tab/>
        <w:t>142</w:t>
      </w:r>
    </w:p>
    <w:p>
      <w:pPr>
        <w:keepLines/>
        <w:tabs>
          <w:tab w:pos="9504" w:val="right" w:leader="dot"/>
        </w:tabs>
        <w:spacing w:after="0" w:before="0"/>
        <w:ind w:left="360"/>
      </w:pPr>
      <w:hyperlink w:anchor="_Toc1224">
        <w:r>
          <w:rPr>
            <w:color w:val="333333"/>
          </w:rPr>
          <w:t xml:space="preserve">19.14 Relationship index</w:t>
        </w:r>
      </w:hyperlink>
      <w:r>
        <w:rPr>
          <w:b w:val="0"/>
          <w:sz w:val="17"/>
        </w:rPr>
        <w:tab/>
        <w:t>143</w:t>
      </w:r>
    </w:p>
    <w:p>
      <w:pPr>
        <w:keepLines/>
        <w:tabs>
          <w:tab w:pos="9504" w:val="right" w:leader="dot"/>
        </w:tabs>
        <w:spacing w:after="0" w:before="50"/>
        <w:ind w:left="0"/>
      </w:pPr>
      <w:hyperlink w:anchor="_Toc1225">
        <w:r>
          <w:rPr>
            <w:b/>
            <w:color w:val="1F3A5F"/>
          </w:rPr>
          <w:t xml:space="preserve">20. API architecture and complete endpoint reference</w:t>
        </w:r>
      </w:hyperlink>
      <w:r>
        <w:rPr>
          <w:b/>
          <w:sz w:val="18"/>
        </w:rPr>
        <w:tab/>
        <w:t>143</w:t>
      </w:r>
    </w:p>
    <w:p>
      <w:pPr>
        <w:keepLines/>
        <w:tabs>
          <w:tab w:pos="9504" w:val="right" w:leader="dot"/>
        </w:tabs>
        <w:spacing w:after="0" w:before="0"/>
        <w:ind w:left="360"/>
      </w:pPr>
      <w:hyperlink w:anchor="_Toc1226">
        <w:r>
          <w:rPr>
            <w:color w:val="333333"/>
          </w:rPr>
          <w:t xml:space="preserve">20.1 Conventions</w:t>
        </w:r>
      </w:hyperlink>
      <w:r>
        <w:rPr>
          <w:b w:val="0"/>
          <w:sz w:val="17"/>
        </w:rPr>
        <w:tab/>
        <w:t>143</w:t>
      </w:r>
    </w:p>
    <w:p>
      <w:pPr>
        <w:keepLines/>
        <w:tabs>
          <w:tab w:pos="9504" w:val="right" w:leader="dot"/>
        </w:tabs>
        <w:spacing w:after="0" w:before="0"/>
        <w:ind w:left="360"/>
      </w:pPr>
      <w:hyperlink w:anchor="_Toc1227">
        <w:r>
          <w:rPr>
            <w:color w:val="333333"/>
          </w:rPr>
          <w:t xml:space="preserve">20.2 Operation distribution</w:t>
        </w:r>
      </w:hyperlink>
      <w:r>
        <w:rPr>
          <w:b w:val="0"/>
          <w:sz w:val="17"/>
        </w:rPr>
        <w:tab/>
        <w:t>144</w:t>
      </w:r>
    </w:p>
    <w:p>
      <w:pPr>
        <w:keepLines/>
        <w:tabs>
          <w:tab w:pos="9504" w:val="right" w:leader="dot"/>
        </w:tabs>
        <w:spacing w:after="0" w:before="0"/>
        <w:ind w:left="360"/>
      </w:pPr>
      <w:hyperlink w:anchor="_Toc1228">
        <w:r>
          <w:rPr>
            <w:color w:val="333333"/>
          </w:rPr>
          <w:t xml:space="preserve">20.3 Request/response example</w:t>
        </w:r>
      </w:hyperlink>
      <w:r>
        <w:rPr>
          <w:b w:val="0"/>
          <w:sz w:val="17"/>
        </w:rPr>
        <w:tab/>
        <w:t>144</w:t>
      </w:r>
    </w:p>
    <w:p>
      <w:pPr>
        <w:keepLines/>
        <w:tabs>
          <w:tab w:pos="9504" w:val="right" w:leader="dot"/>
        </w:tabs>
        <w:spacing w:after="0" w:before="0"/>
        <w:ind w:left="360"/>
      </w:pPr>
      <w:hyperlink w:anchor="_Toc1229">
        <w:r>
          <w:rPr>
            <w:color w:val="333333"/>
          </w:rPr>
          <w:t xml:space="preserve">20.4 Complete endpoint reference</w:t>
        </w:r>
      </w:hyperlink>
      <w:r>
        <w:rPr>
          <w:b w:val="0"/>
          <w:sz w:val="17"/>
        </w:rPr>
        <w:tab/>
        <w:t>144</w:t>
      </w:r>
    </w:p>
    <w:p>
      <w:pPr>
        <w:keepLines/>
        <w:tabs>
          <w:tab w:pos="9504" w:val="right" w:leader="dot"/>
        </w:tabs>
        <w:spacing w:after="0" w:before="0"/>
        <w:ind w:left="360"/>
      </w:pPr>
      <w:hyperlink w:anchor="_Toc1261">
        <w:r>
          <w:rPr>
            <w:color w:val="333333"/>
          </w:rPr>
          <w:t xml:space="preserve">20.5 Contract and frontend mapping</w:t>
        </w:r>
      </w:hyperlink>
      <w:r>
        <w:rPr>
          <w:b w:val="0"/>
          <w:sz w:val="17"/>
        </w:rPr>
        <w:tab/>
        <w:t>160</w:t>
      </w:r>
    </w:p>
    <w:p>
      <w:pPr>
        <w:keepLines/>
        <w:tabs>
          <w:tab w:pos="9504" w:val="right" w:leader="dot"/>
        </w:tabs>
        <w:spacing w:after="0" w:before="50"/>
        <w:ind w:left="0"/>
      </w:pPr>
      <w:hyperlink w:anchor="_Toc1262">
        <w:r>
          <w:rPr>
            <w:b/>
            <w:color w:val="1F3A5F"/>
          </w:rPr>
          <w:t xml:space="preserve">21. Authentication and authorization</w:t>
        </w:r>
      </w:hyperlink>
      <w:r>
        <w:rPr>
          <w:b/>
          <w:sz w:val="18"/>
        </w:rPr>
        <w:tab/>
        <w:t>160</w:t>
      </w:r>
    </w:p>
    <w:p>
      <w:pPr>
        <w:keepLines/>
        <w:tabs>
          <w:tab w:pos="9504" w:val="right" w:leader="dot"/>
        </w:tabs>
        <w:spacing w:after="0" w:before="0"/>
        <w:ind w:left="360"/>
      </w:pPr>
      <w:hyperlink w:anchor="_Toc1263">
        <w:r>
          <w:rPr>
            <w:color w:val="333333"/>
          </w:rPr>
          <w:t xml:space="preserve">21.1 Token model</w:t>
        </w:r>
      </w:hyperlink>
      <w:r>
        <w:rPr>
          <w:b w:val="0"/>
          <w:sz w:val="17"/>
        </w:rPr>
        <w:tab/>
        <w:t>160</w:t>
      </w:r>
    </w:p>
    <w:p>
      <w:pPr>
        <w:keepLines/>
        <w:tabs>
          <w:tab w:pos="9504" w:val="right" w:leader="dot"/>
        </w:tabs>
        <w:spacing w:after="0" w:before="0"/>
        <w:ind w:left="360"/>
      </w:pPr>
      <w:hyperlink w:anchor="_Toc1264">
        <w:r>
          <w:rPr>
            <w:color w:val="333333"/>
          </w:rPr>
          <w:t xml:space="preserve">21.2 Authorisation model</w:t>
        </w:r>
      </w:hyperlink>
      <w:r>
        <w:rPr>
          <w:b w:val="0"/>
          <w:sz w:val="17"/>
        </w:rPr>
        <w:tab/>
        <w:t>162</w:t>
      </w:r>
    </w:p>
    <w:p>
      <w:pPr>
        <w:keepLines/>
        <w:tabs>
          <w:tab w:pos="9504" w:val="right" w:leader="dot"/>
        </w:tabs>
        <w:spacing w:after="0" w:before="0"/>
        <w:ind w:left="360"/>
      </w:pPr>
      <w:hyperlink w:anchor="_Toc1265">
        <w:r>
          <w:rPr>
            <w:color w:val="333333"/>
          </w:rPr>
          <w:t xml:space="preserve">21.3 Application-access axis</w:t>
        </w:r>
      </w:hyperlink>
      <w:r>
        <w:rPr>
          <w:b w:val="0"/>
          <w:sz w:val="17"/>
        </w:rPr>
        <w:tab/>
        <w:t>162</w:t>
      </w:r>
    </w:p>
    <w:p>
      <w:pPr>
        <w:keepLines/>
        <w:tabs>
          <w:tab w:pos="9504" w:val="right" w:leader="dot"/>
        </w:tabs>
        <w:spacing w:after="0" w:before="0"/>
        <w:ind w:left="360"/>
      </w:pPr>
      <w:hyperlink w:anchor="_Toc1266">
        <w:r>
          <w:rPr>
            <w:color w:val="333333"/>
          </w:rPr>
          <w:t xml:space="preserve">21.4 Input validation, uploads and secrets</w:t>
        </w:r>
      </w:hyperlink>
      <w:r>
        <w:rPr>
          <w:b w:val="0"/>
          <w:sz w:val="17"/>
        </w:rPr>
        <w:tab/>
        <w:t>163</w:t>
      </w:r>
    </w:p>
    <w:p>
      <w:pPr>
        <w:keepLines/>
        <w:tabs>
          <w:tab w:pos="9504" w:val="right" w:leader="dot"/>
        </w:tabs>
        <w:spacing w:after="0" w:before="50"/>
        <w:ind w:left="0"/>
      </w:pPr>
      <w:hyperlink w:anchor="_Toc1267">
        <w:r>
          <w:rPr>
            <w:b/>
            <w:color w:val="1F3A5F"/>
          </w:rPr>
          <w:t xml:space="preserve">22. User roles and permission matrix</w:t>
        </w:r>
      </w:hyperlink>
      <w:r>
        <w:rPr>
          <w:b/>
          <w:sz w:val="18"/>
        </w:rPr>
        <w:tab/>
        <w:t>164</w:t>
      </w:r>
    </w:p>
    <w:p>
      <w:pPr>
        <w:keepLines/>
        <w:tabs>
          <w:tab w:pos="9504" w:val="right" w:leader="dot"/>
        </w:tabs>
        <w:spacing w:after="0" w:before="0"/>
        <w:ind w:left="360"/>
      </w:pPr>
      <w:hyperlink w:anchor="_Toc1268">
        <w:r>
          <w:rPr>
            <w:color w:val="333333"/>
          </w:rPr>
          <w:t xml:space="preserve">22.1 Permission catalogue</w:t>
        </w:r>
      </w:hyperlink>
      <w:r>
        <w:rPr>
          <w:b w:val="0"/>
          <w:sz w:val="17"/>
        </w:rPr>
        <w:tab/>
        <w:t>164</w:t>
      </w:r>
    </w:p>
    <w:p>
      <w:pPr>
        <w:keepLines/>
        <w:tabs>
          <w:tab w:pos="9504" w:val="right" w:leader="dot"/>
        </w:tabs>
        <w:spacing w:after="0" w:before="0"/>
        <w:ind w:left="360"/>
      </w:pPr>
      <w:hyperlink w:anchor="_Toc1269">
        <w:r>
          <w:rPr>
            <w:color w:val="333333"/>
          </w:rPr>
          <w:t xml:space="preserve">22.2 Roles</w:t>
        </w:r>
      </w:hyperlink>
      <w:r>
        <w:rPr>
          <w:b w:val="0"/>
          <w:sz w:val="17"/>
        </w:rPr>
        <w:tab/>
        <w:t>164</w:t>
      </w:r>
    </w:p>
    <w:p>
      <w:pPr>
        <w:keepLines/>
        <w:tabs>
          <w:tab w:pos="9504" w:val="right" w:leader="dot"/>
        </w:tabs>
        <w:spacing w:after="0" w:before="0"/>
        <w:ind w:left="360"/>
      </w:pPr>
      <w:hyperlink w:anchor="_Toc1270">
        <w:r>
          <w:rPr>
            <w:color w:val="333333"/>
          </w:rPr>
          <w:t xml:space="preserve">22.3 Role × capability matrix (measured)</w:t>
        </w:r>
      </w:hyperlink>
      <w:r>
        <w:rPr>
          <w:b w:val="0"/>
          <w:sz w:val="17"/>
        </w:rPr>
        <w:tab/>
        <w:t>165</w:t>
      </w:r>
    </w:p>
    <w:p>
      <w:pPr>
        <w:keepLines/>
        <w:tabs>
          <w:tab w:pos="9504" w:val="right" w:leader="dot"/>
        </w:tabs>
        <w:spacing w:after="0" w:before="0"/>
        <w:ind w:left="360"/>
      </w:pPr>
      <w:hyperlink w:anchor="_Toc1271">
        <w:r>
          <w:rPr>
            <w:color w:val="333333"/>
          </w:rPr>
          <w:t xml:space="preserve">22.4 UI visibility vs backend enforcement</w:t>
        </w:r>
      </w:hyperlink>
      <w:r>
        <w:rPr>
          <w:b w:val="0"/>
          <w:sz w:val="17"/>
        </w:rPr>
        <w:tab/>
        <w:t>169</w:t>
      </w:r>
    </w:p>
    <w:p>
      <w:pPr>
        <w:keepLines/>
        <w:tabs>
          <w:tab w:pos="9504" w:val="right" w:leader="dot"/>
        </w:tabs>
        <w:spacing w:after="0" w:before="50"/>
        <w:ind w:left="0"/>
      </w:pPr>
      <w:hyperlink w:anchor="_Toc1272">
        <w:r>
          <w:rPr>
            <w:b/>
            <w:color w:val="1F3A5F"/>
          </w:rPr>
          <w:t xml:space="preserve">23. Configuration and environment variables</w:t>
        </w:r>
      </w:hyperlink>
      <w:r>
        <w:rPr>
          <w:b/>
          <w:sz w:val="18"/>
        </w:rPr>
        <w:tab/>
        <w:t>169</w:t>
      </w:r>
    </w:p>
    <w:p>
      <w:pPr>
        <w:keepLines/>
        <w:tabs>
          <w:tab w:pos="9504" w:val="right" w:leader="dot"/>
        </w:tabs>
        <w:spacing w:after="0" w:before="0"/>
        <w:ind w:left="360"/>
      </w:pPr>
      <w:hyperlink w:anchor="_Toc1273">
        <w:r>
          <w:rPr>
            <w:color w:val="333333"/>
          </w:rPr>
          <w:t xml:space="preserve">23.1 Backend variables</w:t>
        </w:r>
      </w:hyperlink>
      <w:r>
        <w:rPr>
          <w:b w:val="0"/>
          <w:sz w:val="17"/>
        </w:rPr>
        <w:tab/>
        <w:t>169</w:t>
      </w:r>
    </w:p>
    <w:p>
      <w:pPr>
        <w:keepLines/>
        <w:tabs>
          <w:tab w:pos="9504" w:val="right" w:leader="dot"/>
        </w:tabs>
        <w:spacing w:after="0" w:before="0"/>
        <w:ind w:left="360"/>
      </w:pPr>
      <w:hyperlink w:anchor="_Toc1274">
        <w:r>
          <w:rPr>
            <w:color w:val="333333"/>
          </w:rPr>
          <w:t xml:space="preserve">23.2 Frontend variables</w:t>
        </w:r>
      </w:hyperlink>
      <w:r>
        <w:rPr>
          <w:b w:val="0"/>
          <w:sz w:val="17"/>
        </w:rPr>
        <w:tab/>
        <w:t>172</w:t>
      </w:r>
    </w:p>
    <w:p>
      <w:pPr>
        <w:keepLines/>
        <w:tabs>
          <w:tab w:pos="9504" w:val="right" w:leader="dot"/>
        </w:tabs>
        <w:spacing w:after="0" w:before="0"/>
        <w:ind w:left="360"/>
      </w:pPr>
      <w:hyperlink w:anchor="_Toc1275">
        <w:r>
          <w:rPr>
            <w:color w:val="333333"/>
          </w:rPr>
          <w:t xml:space="preserve">23.3 Configuration findings</w:t>
        </w:r>
      </w:hyperlink>
      <w:r>
        <w:rPr>
          <w:b w:val="0"/>
          <w:sz w:val="17"/>
        </w:rPr>
        <w:tab/>
        <w:t>172</w:t>
      </w:r>
    </w:p>
    <w:p>
      <w:pPr>
        <w:keepLines/>
        <w:tabs>
          <w:tab w:pos="9504" w:val="right" w:leader="dot"/>
        </w:tabs>
        <w:spacing w:after="0" w:before="50"/>
        <w:ind w:left="0"/>
      </w:pPr>
      <w:hyperlink w:anchor="_Toc1276">
        <w:r>
          <w:rPr>
            <w:b/>
            <w:color w:val="1F3A5F"/>
          </w:rPr>
          <w:t xml:space="preserve">24. User manual and practical examples</w:t>
        </w:r>
      </w:hyperlink>
      <w:r>
        <w:rPr>
          <w:b/>
          <w:sz w:val="18"/>
        </w:rPr>
        <w:tab/>
        <w:t>173</w:t>
      </w:r>
    </w:p>
    <w:p>
      <w:pPr>
        <w:keepLines/>
        <w:tabs>
          <w:tab w:pos="9504" w:val="right" w:leader="dot"/>
        </w:tabs>
        <w:spacing w:after="0" w:before="0"/>
        <w:ind w:left="360"/>
      </w:pPr>
      <w:hyperlink w:anchor="_Toc1277">
        <w:r>
          <w:rPr>
            <w:color w:val="333333"/>
          </w:rPr>
          <w:t xml:space="preserve">24.1 Signing in (all applications)</w:t>
        </w:r>
      </w:hyperlink>
      <w:r>
        <w:rPr>
          <w:b w:val="0"/>
          <w:sz w:val="17"/>
        </w:rPr>
        <w:tab/>
        <w:t>173</w:t>
      </w:r>
    </w:p>
    <w:p>
      <w:pPr>
        <w:keepLines/>
        <w:tabs>
          <w:tab w:pos="9504" w:val="right" w:leader="dot"/>
        </w:tabs>
        <w:spacing w:after="0" w:before="0"/>
        <w:ind w:left="360"/>
      </w:pPr>
      <w:hyperlink w:anchor="_Toc1278">
        <w:r>
          <w:rPr>
            <w:color w:val="333333"/>
          </w:rPr>
          <w:t xml:space="preserve">24.2 Managing products (ERP)</w:t>
        </w:r>
      </w:hyperlink>
      <w:r>
        <w:rPr>
          <w:b w:val="0"/>
          <w:sz w:val="17"/>
        </w:rPr>
        <w:tab/>
        <w:t>173</w:t>
      </w:r>
    </w:p>
    <w:p>
      <w:pPr>
        <w:keepLines/>
        <w:tabs>
          <w:tab w:pos="9504" w:val="right" w:leader="dot"/>
        </w:tabs>
        <w:spacing w:after="0" w:before="0"/>
        <w:ind w:left="360"/>
      </w:pPr>
      <w:hyperlink w:anchor="_Toc1279">
        <w:r>
          <w:rPr>
            <w:color w:val="333333"/>
          </w:rPr>
          <w:t xml:space="preserve">24.3 Stock operations (ERP)</w:t>
        </w:r>
      </w:hyperlink>
      <w:r>
        <w:rPr>
          <w:b w:val="0"/>
          <w:sz w:val="17"/>
        </w:rPr>
        <w:tab/>
        <w:t>174</w:t>
      </w:r>
    </w:p>
    <w:p>
      <w:pPr>
        <w:keepLines/>
        <w:tabs>
          <w:tab w:pos="9504" w:val="right" w:leader="dot"/>
        </w:tabs>
        <w:spacing w:after="0" w:before="0"/>
        <w:ind w:left="360"/>
      </w:pPr>
      <w:hyperlink w:anchor="_Toc1280">
        <w:r>
          <w:rPr>
            <w:color w:val="333333"/>
          </w:rPr>
          <w:t xml:space="preserve">24.4 Selling at the till (POS)</w:t>
        </w:r>
      </w:hyperlink>
      <w:r>
        <w:rPr>
          <w:b w:val="0"/>
          <w:sz w:val="17"/>
        </w:rPr>
        <w:tab/>
        <w:t>174</w:t>
      </w:r>
    </w:p>
    <w:p>
      <w:pPr>
        <w:keepLines/>
        <w:tabs>
          <w:tab w:pos="9504" w:val="right" w:leader="dot"/>
        </w:tabs>
        <w:spacing w:after="0" w:before="0"/>
        <w:ind w:left="360"/>
      </w:pPr>
      <w:hyperlink w:anchor="_Toc1281">
        <w:r>
          <w:rPr>
            <w:color w:val="333333"/>
          </w:rPr>
          <w:t xml:space="preserve">24.5 Returning a sale (POS or ERP)</w:t>
        </w:r>
      </w:hyperlink>
      <w:r>
        <w:rPr>
          <w:b w:val="0"/>
          <w:sz w:val="17"/>
        </w:rPr>
        <w:tab/>
        <w:t>174</w:t>
      </w:r>
    </w:p>
    <w:p>
      <w:pPr>
        <w:keepLines/>
        <w:tabs>
          <w:tab w:pos="9504" w:val="right" w:leader="dot"/>
        </w:tabs>
        <w:spacing w:after="0" w:before="0"/>
        <w:ind w:left="360"/>
      </w:pPr>
      <w:hyperlink w:anchor="_Toc1282">
        <w:r>
          <w:rPr>
            <w:color w:val="333333"/>
          </w:rPr>
          <w:t xml:space="preserve">24.6 Buying on the storefront (B2B)</w:t>
        </w:r>
      </w:hyperlink>
      <w:r>
        <w:rPr>
          <w:b w:val="0"/>
          <w:sz w:val="17"/>
        </w:rPr>
        <w:tab/>
        <w:t>174</w:t>
      </w:r>
    </w:p>
    <w:p>
      <w:pPr>
        <w:keepLines/>
        <w:tabs>
          <w:tab w:pos="9504" w:val="right" w:leader="dot"/>
        </w:tabs>
        <w:spacing w:after="0" w:before="0"/>
        <w:ind w:left="360"/>
      </w:pPr>
      <w:hyperlink w:anchor="_Toc1283">
        <w:r>
          <w:rPr>
            <w:color w:val="333333"/>
          </w:rPr>
          <w:t xml:space="preserve">24.7 Generating a report (ERP)</w:t>
        </w:r>
      </w:hyperlink>
      <w:r>
        <w:rPr>
          <w:b w:val="0"/>
          <w:sz w:val="17"/>
        </w:rPr>
        <w:tab/>
        <w:t>174</w:t>
      </w:r>
    </w:p>
    <w:p>
      <w:pPr>
        <w:keepLines/>
        <w:tabs>
          <w:tab w:pos="9504" w:val="right" w:leader="dot"/>
        </w:tabs>
        <w:spacing w:after="0" w:before="0"/>
        <w:ind w:left="360"/>
      </w:pPr>
      <w:hyperlink w:anchor="_Toc1284">
        <w:r>
          <w:rPr>
            <w:color w:val="333333"/>
          </w:rPr>
          <w:t xml:space="preserve">24.8 Managing users and permissions (ERP)</w:t>
        </w:r>
      </w:hyperlink>
      <w:r>
        <w:rPr>
          <w:b w:val="0"/>
          <w:sz w:val="17"/>
        </w:rPr>
        <w:tab/>
        <w:t>175</w:t>
      </w:r>
    </w:p>
    <w:p>
      <w:pPr>
        <w:keepLines/>
        <w:tabs>
          <w:tab w:pos="9504" w:val="right" w:leader="dot"/>
        </w:tabs>
        <w:spacing w:after="0" w:before="0"/>
        <w:ind w:left="360"/>
      </w:pPr>
      <w:hyperlink w:anchor="_Toc1285">
        <w:r>
          <w:rPr>
            <w:color w:val="333333"/>
          </w:rPr>
          <w:t xml:space="preserve">24.9 Recovering from a failed operation</w:t>
        </w:r>
      </w:hyperlink>
      <w:r>
        <w:rPr>
          <w:b w:val="0"/>
          <w:sz w:val="17"/>
        </w:rPr>
        <w:tab/>
        <w:t>175</w:t>
      </w:r>
    </w:p>
    <w:p>
      <w:pPr>
        <w:keepLines/>
        <w:tabs>
          <w:tab w:pos="9504" w:val="right" w:leader="dot"/>
        </w:tabs>
        <w:spacing w:after="0" w:before="0"/>
        <w:ind w:left="360"/>
      </w:pPr>
      <w:hyperlink w:anchor="_Toc1286">
        <w:r>
          <w:rPr>
            <w:color w:val="333333"/>
          </w:rPr>
          <w:t xml:space="preserve">24.10 When to contact support</w:t>
        </w:r>
      </w:hyperlink>
      <w:r>
        <w:rPr>
          <w:b w:val="0"/>
          <w:sz w:val="17"/>
        </w:rPr>
        <w:tab/>
        <w:t>175</w:t>
      </w:r>
    </w:p>
    <w:p>
      <w:pPr>
        <w:keepLines/>
        <w:tabs>
          <w:tab w:pos="9504" w:val="right" w:leader="dot"/>
        </w:tabs>
        <w:spacing w:after="0" w:before="50"/>
        <w:ind w:left="0"/>
      </w:pPr>
      <w:hyperlink w:anchor="_Toc1287">
        <w:r>
          <w:rPr>
            <w:b/>
            <w:color w:val="1F3A5F"/>
          </w:rPr>
          <w:t xml:space="preserve">25. Developer setup and contributor manual</w:t>
        </w:r>
      </w:hyperlink>
      <w:r>
        <w:rPr>
          <w:b/>
          <w:sz w:val="18"/>
        </w:rPr>
        <w:tab/>
        <w:t>176</w:t>
      </w:r>
    </w:p>
    <w:p>
      <w:pPr>
        <w:keepLines/>
        <w:tabs>
          <w:tab w:pos="9504" w:val="right" w:leader="dot"/>
        </w:tabs>
        <w:spacing w:after="0" w:before="0"/>
        <w:ind w:left="360"/>
      </w:pPr>
      <w:hyperlink w:anchor="_Toc1288">
        <w:r>
          <w:rPr>
            <w:color w:val="333333"/>
          </w:rPr>
          <w:t xml:space="preserve">25.1 Prerequisites (verified against the manifests)</w:t>
        </w:r>
      </w:hyperlink>
      <w:r>
        <w:rPr>
          <w:b w:val="0"/>
          <w:sz w:val="17"/>
        </w:rPr>
        <w:tab/>
        <w:t>176</w:t>
      </w:r>
    </w:p>
    <w:p>
      <w:pPr>
        <w:keepLines/>
        <w:tabs>
          <w:tab w:pos="9504" w:val="right" w:leader="dot"/>
        </w:tabs>
        <w:spacing w:after="0" w:before="0"/>
        <w:ind w:left="360"/>
      </w:pPr>
      <w:hyperlink w:anchor="_Toc1289">
        <w:r>
          <w:rPr>
            <w:color w:val="333333"/>
          </w:rPr>
          <w:t xml:space="preserve">25.2 First run</w:t>
        </w:r>
      </w:hyperlink>
      <w:r>
        <w:rPr>
          <w:b w:val="0"/>
          <w:sz w:val="17"/>
        </w:rPr>
        <w:tab/>
        <w:t>176</w:t>
      </w:r>
    </w:p>
    <w:p>
      <w:pPr>
        <w:keepLines/>
        <w:tabs>
          <w:tab w:pos="9504" w:val="right" w:leader="dot"/>
        </w:tabs>
        <w:spacing w:after="0" w:before="0"/>
        <w:ind w:left="360"/>
      </w:pPr>
      <w:hyperlink w:anchor="_Toc1290">
        <w:r>
          <w:rPr>
            <w:color w:val="333333"/>
          </w:rPr>
          <w:t xml:space="preserve">25.3 Seed data</w:t>
        </w:r>
      </w:hyperlink>
      <w:r>
        <w:rPr>
          <w:b w:val="0"/>
          <w:sz w:val="17"/>
        </w:rPr>
        <w:tab/>
        <w:t>177</w:t>
      </w:r>
    </w:p>
    <w:p>
      <w:pPr>
        <w:keepLines/>
        <w:tabs>
          <w:tab w:pos="9504" w:val="right" w:leader="dot"/>
        </w:tabs>
        <w:spacing w:after="0" w:before="0"/>
        <w:ind w:left="360"/>
      </w:pPr>
      <w:hyperlink w:anchor="_Toc1291">
        <w:r>
          <w:rPr>
            <w:color w:val="333333"/>
          </w:rPr>
          <w:t xml:space="preserve">25.4 Testing</w:t>
        </w:r>
      </w:hyperlink>
      <w:r>
        <w:rPr>
          <w:b w:val="0"/>
          <w:sz w:val="17"/>
        </w:rPr>
        <w:tab/>
        <w:t>177</w:t>
      </w:r>
    </w:p>
    <w:p>
      <w:pPr>
        <w:keepLines/>
        <w:tabs>
          <w:tab w:pos="9504" w:val="right" w:leader="dot"/>
        </w:tabs>
        <w:spacing w:after="0" w:before="0"/>
        <w:ind w:left="360"/>
      </w:pPr>
      <w:hyperlink w:anchor="_Toc1292">
        <w:r>
          <w:rPr>
            <w:color w:val="333333"/>
          </w:rPr>
          <w:t xml:space="preserve">25.5 Adding a feature</w:t>
        </w:r>
      </w:hyperlink>
      <w:r>
        <w:rPr>
          <w:b w:val="0"/>
          <w:sz w:val="17"/>
        </w:rPr>
        <w:tab/>
        <w:t>177</w:t>
      </w:r>
    </w:p>
    <w:p>
      <w:pPr>
        <w:keepLines/>
        <w:tabs>
          <w:tab w:pos="9504" w:val="right" w:leader="dot"/>
        </w:tabs>
        <w:spacing w:after="0" w:before="0"/>
        <w:ind w:left="360"/>
      </w:pPr>
      <w:hyperlink w:anchor="_Toc1293">
        <w:r>
          <w:rPr>
            <w:color w:val="333333"/>
          </w:rPr>
          <w:t xml:space="preserve">25.6 Conventions observed in the code</w:t>
        </w:r>
      </w:hyperlink>
      <w:r>
        <w:rPr>
          <w:b w:val="0"/>
          <w:sz w:val="17"/>
        </w:rPr>
        <w:tab/>
        <w:t>178</w:t>
      </w:r>
    </w:p>
    <w:p>
      <w:pPr>
        <w:keepLines/>
        <w:tabs>
          <w:tab w:pos="9504" w:val="right" w:leader="dot"/>
        </w:tabs>
        <w:spacing w:after="0" w:before="50"/>
        <w:ind w:left="0"/>
      </w:pPr>
      <w:hyperlink w:anchor="_Toc1294">
        <w:r>
          <w:rPr>
            <w:b/>
            <w:color w:val="1F3A5F"/>
          </w:rPr>
          <w:t xml:space="preserve">26. Development and testing workflow</w:t>
        </w:r>
      </w:hyperlink>
      <w:r>
        <w:rPr>
          <w:b/>
          <w:sz w:val="18"/>
        </w:rPr>
        <w:tab/>
        <w:t>179</w:t>
      </w:r>
    </w:p>
    <w:p>
      <w:pPr>
        <w:keepLines/>
        <w:tabs>
          <w:tab w:pos="9504" w:val="right" w:leader="dot"/>
        </w:tabs>
        <w:spacing w:after="0" w:before="0"/>
        <w:ind w:left="360"/>
      </w:pPr>
      <w:hyperlink w:anchor="_Toc1295">
        <w:r>
          <w:rPr>
            <w:color w:val="333333"/>
          </w:rPr>
          <w:t xml:space="preserve">26.1 Test inventory</w:t>
        </w:r>
      </w:hyperlink>
      <w:r>
        <w:rPr>
          <w:b w:val="0"/>
          <w:sz w:val="17"/>
        </w:rPr>
        <w:tab/>
        <w:t>179</w:t>
      </w:r>
    </w:p>
    <w:p>
      <w:pPr>
        <w:keepLines/>
        <w:tabs>
          <w:tab w:pos="9504" w:val="right" w:leader="dot"/>
        </w:tabs>
        <w:spacing w:after="0" w:before="0"/>
        <w:ind w:left="360"/>
      </w:pPr>
      <w:hyperlink w:anchor="_Toc1296">
        <w:r>
          <w:rPr>
            <w:color w:val="333333"/>
          </w:rPr>
          <w:t xml:space="preserve">26.2 What the suites actually cover</w:t>
        </w:r>
      </w:hyperlink>
      <w:r>
        <w:rPr>
          <w:b w:val="0"/>
          <w:sz w:val="17"/>
        </w:rPr>
        <w:tab/>
        <w:t>179</w:t>
      </w:r>
    </w:p>
    <w:p>
      <w:pPr>
        <w:keepLines/>
        <w:tabs>
          <w:tab w:pos="9504" w:val="right" w:leader="dot"/>
        </w:tabs>
        <w:spacing w:after="0" w:before="0"/>
        <w:ind w:left="360"/>
      </w:pPr>
      <w:hyperlink w:anchor="_Toc1297">
        <w:r>
          <w:rPr>
            <w:color w:val="333333"/>
          </w:rPr>
          <w:t xml:space="preserve">26.3 CI order</w:t>
        </w:r>
      </w:hyperlink>
      <w:r>
        <w:rPr>
          <w:b w:val="0"/>
          <w:sz w:val="17"/>
        </w:rPr>
        <w:tab/>
        <w:t>180</w:t>
      </w:r>
    </w:p>
    <w:p>
      <w:pPr>
        <w:keepLines/>
        <w:tabs>
          <w:tab w:pos="9504" w:val="right" w:leader="dot"/>
        </w:tabs>
        <w:spacing w:after="0" w:before="50"/>
        <w:ind w:left="0"/>
      </w:pPr>
      <w:hyperlink w:anchor="_Toc1298">
        <w:r>
          <w:rPr>
            <w:b/>
            <w:color w:val="1F3A5F"/>
          </w:rPr>
          <w:t xml:space="preserve">27. CI/CD and release process</w:t>
        </w:r>
      </w:hyperlink>
      <w:r>
        <w:rPr>
          <w:b/>
          <w:sz w:val="18"/>
        </w:rPr>
        <w:tab/>
        <w:t>181</w:t>
      </w:r>
    </w:p>
    <w:p>
      <w:pPr>
        <w:keepLines/>
        <w:tabs>
          <w:tab w:pos="9504" w:val="right" w:leader="dot"/>
        </w:tabs>
        <w:spacing w:after="0" w:before="0"/>
        <w:ind w:left="360"/>
      </w:pPr>
      <w:hyperlink w:anchor="_Toc1299">
        <w:r>
          <w:rPr>
            <w:color w:val="333333"/>
          </w:rPr>
          <w:t xml:space="preserve">27.1 Triggers and permissions</w:t>
        </w:r>
      </w:hyperlink>
      <w:r>
        <w:rPr>
          <w:b w:val="0"/>
          <w:sz w:val="17"/>
        </w:rPr>
        <w:tab/>
        <w:t>181</w:t>
      </w:r>
    </w:p>
    <w:p>
      <w:pPr>
        <w:keepLines/>
        <w:tabs>
          <w:tab w:pos="9504" w:val="right" w:leader="dot"/>
        </w:tabs>
        <w:spacing w:after="0" w:before="0"/>
        <w:ind w:left="360"/>
      </w:pPr>
      <w:hyperlink w:anchor="_Toc1300">
        <w:r>
          <w:rPr>
            <w:color w:val="333333"/>
          </w:rPr>
          <w:t xml:space="preserve">27.2 Image build matrix</w:t>
        </w:r>
      </w:hyperlink>
      <w:r>
        <w:rPr>
          <w:b w:val="0"/>
          <w:sz w:val="17"/>
        </w:rPr>
        <w:tab/>
        <w:t>181</w:t>
      </w:r>
    </w:p>
    <w:p>
      <w:pPr>
        <w:keepLines/>
        <w:tabs>
          <w:tab w:pos="9504" w:val="right" w:leader="dot"/>
        </w:tabs>
        <w:spacing w:after="0" w:before="0"/>
        <w:ind w:left="360"/>
      </w:pPr>
      <w:hyperlink w:anchor="_Toc1301">
        <w:r>
          <w:rPr>
            <w:color w:val="333333"/>
          </w:rPr>
          <w:t xml:space="preserve">27.3 Release and rollback</w:t>
        </w:r>
      </w:hyperlink>
      <w:r>
        <w:rPr>
          <w:b w:val="0"/>
          <w:sz w:val="17"/>
        </w:rPr>
        <w:tab/>
        <w:t>181</w:t>
      </w:r>
    </w:p>
    <w:p>
      <w:pPr>
        <w:keepLines/>
        <w:tabs>
          <w:tab w:pos="9504" w:val="right" w:leader="dot"/>
        </w:tabs>
        <w:spacing w:after="0" w:before="50"/>
        <w:ind w:left="0"/>
      </w:pPr>
      <w:hyperlink w:anchor="_Toc1302">
        <w:r>
          <w:rPr>
            <w:b/>
            <w:color w:val="1F3A5F"/>
          </w:rPr>
          <w:t xml:space="preserve">28. Deployment and infrastructure</w:t>
        </w:r>
      </w:hyperlink>
      <w:r>
        <w:rPr>
          <w:b/>
          <w:sz w:val="18"/>
        </w:rPr>
        <w:tab/>
        <w:t>182</w:t>
      </w:r>
    </w:p>
    <w:p>
      <w:pPr>
        <w:keepLines/>
        <w:tabs>
          <w:tab w:pos="9504" w:val="right" w:leader="dot"/>
        </w:tabs>
        <w:spacing w:after="0" w:before="0"/>
        <w:ind w:left="360"/>
      </w:pPr>
      <w:hyperlink w:anchor="_Toc1303">
        <w:r>
          <w:rPr>
            <w:color w:val="333333"/>
          </w:rPr>
          <w:t xml:space="preserve">28.1 Topology</w:t>
        </w:r>
      </w:hyperlink>
      <w:r>
        <w:rPr>
          <w:b w:val="0"/>
          <w:sz w:val="17"/>
        </w:rPr>
        <w:tab/>
        <w:t>182</w:t>
      </w:r>
    </w:p>
    <w:p>
      <w:pPr>
        <w:keepLines/>
        <w:tabs>
          <w:tab w:pos="9504" w:val="right" w:leader="dot"/>
        </w:tabs>
        <w:spacing w:after="0" w:before="0"/>
        <w:ind w:left="360"/>
      </w:pPr>
      <w:hyperlink w:anchor="_Toc1304">
        <w:r>
          <w:rPr>
            <w:color w:val="333333"/>
          </w:rPr>
          <w:t xml:space="preserve">28.2 Services</w:t>
        </w:r>
      </w:hyperlink>
      <w:r>
        <w:rPr>
          <w:b w:val="0"/>
          <w:sz w:val="17"/>
        </w:rPr>
        <w:tab/>
        <w:t>183</w:t>
      </w:r>
    </w:p>
    <w:p>
      <w:pPr>
        <w:keepLines/>
        <w:tabs>
          <w:tab w:pos="9504" w:val="right" w:leader="dot"/>
        </w:tabs>
        <w:spacing w:after="0" w:before="0"/>
        <w:ind w:left="360"/>
      </w:pPr>
      <w:hyperlink w:anchor="_Toc1305">
        <w:r>
          <w:rPr>
            <w:color w:val="333333"/>
          </w:rPr>
          <w:t xml:space="preserve">28.3 Container images</w:t>
        </w:r>
      </w:hyperlink>
      <w:r>
        <w:rPr>
          <w:b w:val="0"/>
          <w:sz w:val="17"/>
        </w:rPr>
        <w:tab/>
        <w:t>183</w:t>
      </w:r>
    </w:p>
    <w:p>
      <w:pPr>
        <w:keepLines/>
        <w:tabs>
          <w:tab w:pos="9504" w:val="right" w:leader="dot"/>
        </w:tabs>
        <w:spacing w:after="0" w:before="0"/>
        <w:ind w:left="360"/>
      </w:pPr>
      <w:hyperlink w:anchor="_Toc1306">
        <w:r>
          <w:rPr>
            <w:color w:val="333333"/>
          </w:rPr>
          <w:t xml:space="preserve">28.4 Resource allocation</w:t>
        </w:r>
      </w:hyperlink>
      <w:r>
        <w:rPr>
          <w:b w:val="0"/>
          <w:sz w:val="17"/>
        </w:rPr>
        <w:tab/>
        <w:t>183</w:t>
      </w:r>
    </w:p>
    <w:p>
      <w:pPr>
        <w:keepLines/>
        <w:tabs>
          <w:tab w:pos="9504" w:val="right" w:leader="dot"/>
        </w:tabs>
        <w:spacing w:after="0" w:before="0"/>
        <w:ind w:left="360"/>
      </w:pPr>
      <w:hyperlink w:anchor="_Toc1307">
        <w:r>
          <w:rPr>
            <w:color w:val="333333"/>
          </w:rPr>
          <w:t xml:space="preserve">28.5 Reverse proxy</w:t>
        </w:r>
      </w:hyperlink>
      <w:r>
        <w:rPr>
          <w:b w:val="0"/>
          <w:sz w:val="17"/>
        </w:rPr>
        <w:tab/>
        <w:t>184</w:t>
      </w:r>
    </w:p>
    <w:p>
      <w:pPr>
        <w:keepLines/>
        <w:tabs>
          <w:tab w:pos="9504" w:val="right" w:leader="dot"/>
        </w:tabs>
        <w:spacing w:after="0" w:before="50"/>
        <w:ind w:left="0"/>
      </w:pPr>
      <w:hyperlink w:anchor="_Toc1308">
        <w:r>
          <w:rPr>
            <w:b/>
            <w:color w:val="1F3A5F"/>
          </w:rPr>
          <w:t xml:space="preserve">29. Cloudflare Tunnel and routing</w:t>
        </w:r>
      </w:hyperlink>
      <w:r>
        <w:rPr>
          <w:b/>
          <w:sz w:val="18"/>
        </w:rPr>
        <w:tab/>
        <w:t>185</w:t>
      </w:r>
    </w:p>
    <w:p>
      <w:pPr>
        <w:keepLines/>
        <w:tabs>
          <w:tab w:pos="9504" w:val="right" w:leader="dot"/>
        </w:tabs>
        <w:spacing w:after="0" w:before="50"/>
        <w:ind w:left="0"/>
      </w:pPr>
      <w:hyperlink w:anchor="_Toc1309">
        <w:r>
          <w:rPr>
            <w:b/>
            <w:color w:val="1F3A5F"/>
          </w:rPr>
          <w:t xml:space="preserve">30. Logging, monitoring and diagnostics</w:t>
        </w:r>
      </w:hyperlink>
      <w:r>
        <w:rPr>
          <w:b/>
          <w:sz w:val="18"/>
        </w:rPr>
        <w:tab/>
        <w:t>186</w:t>
      </w:r>
    </w:p>
    <w:p>
      <w:pPr>
        <w:keepLines/>
        <w:tabs>
          <w:tab w:pos="9504" w:val="right" w:leader="dot"/>
        </w:tabs>
        <w:spacing w:after="0" w:before="0"/>
        <w:ind w:left="360"/>
      </w:pPr>
      <w:hyperlink w:anchor="_Toc1310">
        <w:r>
          <w:rPr>
            <w:color w:val="333333"/>
          </w:rPr>
          <w:t xml:space="preserve">30.1 Reading a failure</w:t>
        </w:r>
      </w:hyperlink>
      <w:r>
        <w:rPr>
          <w:b w:val="0"/>
          <w:sz w:val="17"/>
        </w:rPr>
        <w:tab/>
        <w:t>187</w:t>
      </w:r>
    </w:p>
    <w:p>
      <w:pPr>
        <w:keepLines/>
        <w:tabs>
          <w:tab w:pos="9504" w:val="right" w:leader="dot"/>
        </w:tabs>
        <w:spacing w:after="0" w:before="50"/>
        <w:ind w:left="0"/>
      </w:pPr>
      <w:hyperlink w:anchor="_Toc1311">
        <w:r>
          <w:rPr>
            <w:b/>
            <w:color w:val="1F3A5F"/>
          </w:rPr>
          <w:t xml:space="preserve">31. Backup, recovery and data retention</w:t>
        </w:r>
      </w:hyperlink>
      <w:r>
        <w:rPr>
          <w:b/>
          <w:sz w:val="18"/>
        </w:rPr>
        <w:tab/>
        <w:t>188</w:t>
      </w:r>
    </w:p>
    <w:p>
      <w:pPr>
        <w:keepLines/>
        <w:tabs>
          <w:tab w:pos="9504" w:val="right" w:leader="dot"/>
        </w:tabs>
        <w:spacing w:after="0" w:before="0"/>
        <w:ind w:left="360"/>
      </w:pPr>
      <w:hyperlink w:anchor="_Toc1312">
        <w:r>
          <w:rPr>
            <w:color w:val="333333"/>
          </w:rPr>
          <w:t xml:space="preserve">31.1 Restore procedure (safe order)</w:t>
        </w:r>
      </w:hyperlink>
      <w:r>
        <w:rPr>
          <w:b w:val="0"/>
          <w:sz w:val="17"/>
        </w:rPr>
        <w:tab/>
        <w:t>189</w:t>
      </w:r>
    </w:p>
    <w:p>
      <w:pPr>
        <w:keepLines/>
        <w:tabs>
          <w:tab w:pos="9504" w:val="right" w:leader="dot"/>
        </w:tabs>
        <w:spacing w:after="0" w:before="0"/>
        <w:ind w:left="360"/>
      </w:pPr>
      <w:hyperlink w:anchor="_Toc1313">
        <w:r>
          <w:rPr>
            <w:color w:val="333333"/>
          </w:rPr>
          <w:t xml:space="preserve">31.2 Retention and deletion</w:t>
        </w:r>
      </w:hyperlink>
      <w:r>
        <w:rPr>
          <w:b w:val="0"/>
          <w:sz w:val="17"/>
        </w:rPr>
        <w:tab/>
        <w:t>189</w:t>
      </w:r>
    </w:p>
    <w:p>
      <w:pPr>
        <w:keepLines/>
        <w:tabs>
          <w:tab w:pos="9504" w:val="right" w:leader="dot"/>
        </w:tabs>
        <w:spacing w:after="0" w:before="50"/>
        <w:ind w:left="0"/>
      </w:pPr>
      <w:hyperlink w:anchor="_Toc1314">
        <w:r>
          <w:rPr>
            <w:b/>
            <w:color w:val="1F3A5F"/>
          </w:rPr>
          <w:t xml:space="preserve">32. Error handling and troubleshooting</w:t>
        </w:r>
      </w:hyperlink>
      <w:r>
        <w:rPr>
          <w:b/>
          <w:sz w:val="18"/>
        </w:rPr>
        <w:tab/>
        <w:t>190</w:t>
      </w:r>
    </w:p>
    <w:p>
      <w:pPr>
        <w:keepLines/>
        <w:tabs>
          <w:tab w:pos="9504" w:val="right" w:leader="dot"/>
        </w:tabs>
        <w:spacing w:after="0" w:before="0"/>
        <w:ind w:left="360"/>
      </w:pPr>
      <w:hyperlink w:anchor="_Toc1315">
        <w:r>
          <w:rPr>
            <w:color w:val="333333"/>
          </w:rPr>
          <w:t xml:space="preserve">32.1 Error codes</w:t>
        </w:r>
      </w:hyperlink>
      <w:r>
        <w:rPr>
          <w:b w:val="0"/>
          <w:sz w:val="17"/>
        </w:rPr>
        <w:tab/>
        <w:t>190</w:t>
      </w:r>
    </w:p>
    <w:p>
      <w:pPr>
        <w:keepLines/>
        <w:tabs>
          <w:tab w:pos="9504" w:val="right" w:leader="dot"/>
        </w:tabs>
        <w:spacing w:after="0" w:before="0"/>
        <w:ind w:left="360"/>
      </w:pPr>
      <w:hyperlink w:anchor="_Toc1316">
        <w:r>
          <w:rPr>
            <w:color w:val="333333"/>
          </w:rPr>
          <w:t xml:space="preserve">32.2 Diagnostic scenarios</w:t>
        </w:r>
      </w:hyperlink>
      <w:r>
        <w:rPr>
          <w:b w:val="0"/>
          <w:sz w:val="17"/>
        </w:rPr>
        <w:tab/>
        <w:t>191</w:t>
      </w:r>
    </w:p>
    <w:p>
      <w:pPr>
        <w:keepLines/>
        <w:tabs>
          <w:tab w:pos="9504" w:val="right" w:leader="dot"/>
        </w:tabs>
        <w:spacing w:after="0" w:before="50"/>
        <w:ind w:left="0"/>
      </w:pPr>
      <w:hyperlink w:anchor="_Toc1317">
        <w:r>
          <w:rPr>
            <w:b/>
            <w:color w:val="1F3A5F"/>
          </w:rPr>
          <w:t xml:space="preserve">33. Business rules and data integrity</w:t>
        </w:r>
      </w:hyperlink>
      <w:r>
        <w:rPr>
          <w:b/>
          <w:sz w:val="18"/>
        </w:rPr>
        <w:tab/>
        <w:t>192</w:t>
      </w:r>
    </w:p>
    <w:p>
      <w:pPr>
        <w:keepLines/>
        <w:tabs>
          <w:tab w:pos="9504" w:val="right" w:leader="dot"/>
        </w:tabs>
        <w:spacing w:after="0" w:before="0"/>
        <w:ind w:left="360"/>
      </w:pPr>
      <w:hyperlink w:anchor="_Toc1318">
        <w:r>
          <w:rPr>
            <w:color w:val="333333"/>
          </w:rPr>
          <w:t xml:space="preserve">33.1 Document numbering</w:t>
        </w:r>
      </w:hyperlink>
      <w:r>
        <w:rPr>
          <w:b w:val="0"/>
          <w:sz w:val="17"/>
        </w:rPr>
        <w:tab/>
        <w:t>192</w:t>
      </w:r>
    </w:p>
    <w:p>
      <w:pPr>
        <w:keepLines/>
        <w:tabs>
          <w:tab w:pos="9504" w:val="right" w:leader="dot"/>
        </w:tabs>
        <w:spacing w:after="0" w:before="0"/>
        <w:ind w:left="360"/>
      </w:pPr>
      <w:hyperlink w:anchor="_Toc1319">
        <w:r>
          <w:rPr>
            <w:color w:val="333333"/>
          </w:rPr>
          <w:t xml:space="preserve">33.2 Money and rounding</w:t>
        </w:r>
      </w:hyperlink>
      <w:r>
        <w:rPr>
          <w:b w:val="0"/>
          <w:sz w:val="17"/>
        </w:rPr>
        <w:tab/>
        <w:t>192</w:t>
      </w:r>
    </w:p>
    <w:p>
      <w:pPr>
        <w:keepLines/>
        <w:tabs>
          <w:tab w:pos="9504" w:val="right" w:leader="dot"/>
        </w:tabs>
        <w:spacing w:after="0" w:before="0"/>
        <w:ind w:left="360"/>
      </w:pPr>
      <w:hyperlink w:anchor="_Toc1320">
        <w:r>
          <w:rPr>
            <w:color w:val="333333"/>
          </w:rPr>
          <w:t xml:space="preserve">33.3 Stock rules</w:t>
        </w:r>
      </w:hyperlink>
      <w:r>
        <w:rPr>
          <w:b w:val="0"/>
          <w:sz w:val="17"/>
        </w:rPr>
        <w:tab/>
        <w:t>192</w:t>
      </w:r>
    </w:p>
    <w:p>
      <w:pPr>
        <w:keepLines/>
        <w:tabs>
          <w:tab w:pos="9504" w:val="right" w:leader="dot"/>
        </w:tabs>
        <w:spacing w:after="0" w:before="0"/>
        <w:ind w:left="360"/>
      </w:pPr>
      <w:hyperlink w:anchor="_Toc1321">
        <w:r>
          <w:rPr>
            <w:color w:val="333333"/>
          </w:rPr>
          <w:t xml:space="preserve">33.4 Financial immutability</w:t>
        </w:r>
      </w:hyperlink>
      <w:r>
        <w:rPr>
          <w:b w:val="0"/>
          <w:sz w:val="17"/>
        </w:rPr>
        <w:tab/>
        <w:t>192</w:t>
      </w:r>
    </w:p>
    <w:p>
      <w:pPr>
        <w:keepLines/>
        <w:tabs>
          <w:tab w:pos="9504" w:val="right" w:leader="dot"/>
        </w:tabs>
        <w:spacing w:after="0" w:before="0"/>
        <w:ind w:left="360"/>
      </w:pPr>
      <w:hyperlink w:anchor="_Toc1322">
        <w:r>
          <w:rPr>
            <w:color w:val="333333"/>
          </w:rPr>
          <w:t xml:space="preserve">33.5 Pricing precedence</w:t>
        </w:r>
      </w:hyperlink>
      <w:r>
        <w:rPr>
          <w:b w:val="0"/>
          <w:sz w:val="17"/>
        </w:rPr>
        <w:tab/>
        <w:t>193</w:t>
      </w:r>
    </w:p>
    <w:p>
      <w:pPr>
        <w:keepLines/>
        <w:tabs>
          <w:tab w:pos="9504" w:val="right" w:leader="dot"/>
        </w:tabs>
        <w:spacing w:after="0" w:before="0"/>
        <w:ind w:left="360"/>
      </w:pPr>
      <w:hyperlink w:anchor="_Toc1323">
        <w:r>
          <w:rPr>
            <w:color w:val="333333"/>
          </w:rPr>
          <w:t xml:space="preserve">33.6 Idempotency and concurrency</w:t>
        </w:r>
      </w:hyperlink>
      <w:r>
        <w:rPr>
          <w:b w:val="0"/>
          <w:sz w:val="17"/>
        </w:rPr>
        <w:tab/>
        <w:t>193</w:t>
      </w:r>
    </w:p>
    <w:p>
      <w:pPr>
        <w:keepLines/>
        <w:tabs>
          <w:tab w:pos="9504" w:val="right" w:leader="dot"/>
        </w:tabs>
        <w:spacing w:after="0" w:before="0"/>
        <w:ind w:left="360"/>
      </w:pPr>
      <w:hyperlink w:anchor="_Toc1324">
        <w:r>
          <w:rPr>
            <w:color w:val="333333"/>
          </w:rPr>
          <w:t xml:space="preserve">33.7 Frontend/backend discrepancies</w:t>
        </w:r>
      </w:hyperlink>
      <w:r>
        <w:rPr>
          <w:b w:val="0"/>
          <w:sz w:val="17"/>
        </w:rPr>
        <w:tab/>
        <w:t>193</w:t>
      </w:r>
    </w:p>
    <w:p>
      <w:pPr>
        <w:keepLines/>
        <w:tabs>
          <w:tab w:pos="9504" w:val="right" w:leader="dot"/>
        </w:tabs>
        <w:spacing w:after="0" w:before="50"/>
        <w:ind w:left="0"/>
      </w:pPr>
      <w:hyperlink w:anchor="_Toc1325">
        <w:r>
          <w:rPr>
            <w:b/>
            <w:color w:val="1F3A5F"/>
          </w:rPr>
          <w:t xml:space="preserve">34. Third-party dependencies and integrations</w:t>
        </w:r>
      </w:hyperlink>
      <w:r>
        <w:rPr>
          <w:b/>
          <w:sz w:val="18"/>
        </w:rPr>
        <w:tab/>
        <w:t>194</w:t>
      </w:r>
    </w:p>
    <w:p>
      <w:pPr>
        <w:keepLines/>
        <w:tabs>
          <w:tab w:pos="9504" w:val="right" w:leader="dot"/>
        </w:tabs>
        <w:spacing w:after="0" w:before="50"/>
        <w:ind w:left="0"/>
      </w:pPr>
      <w:hyperlink w:anchor="_Toc1326">
        <w:r>
          <w:rPr>
            <w:b/>
            <w:color w:val="1F3A5F"/>
          </w:rPr>
          <w:t xml:space="preserve">35. Security and privacy review</w:t>
        </w:r>
      </w:hyperlink>
      <w:r>
        <w:rPr>
          <w:b/>
          <w:sz w:val="18"/>
        </w:rPr>
        <w:tab/>
        <w:t>195</w:t>
      </w:r>
    </w:p>
    <w:p>
      <w:pPr>
        <w:keepLines/>
        <w:tabs>
          <w:tab w:pos="9504" w:val="right" w:leader="dot"/>
        </w:tabs>
        <w:spacing w:after="0" w:before="0"/>
        <w:ind w:left="360"/>
      </w:pPr>
      <w:hyperlink w:anchor="_Toc1327">
        <w:r>
          <w:rPr>
            <w:color w:val="333333"/>
          </w:rPr>
          <w:t xml:space="preserve">35.1 Controls that are present</w:t>
        </w:r>
      </w:hyperlink>
      <w:r>
        <w:rPr>
          <w:b w:val="0"/>
          <w:sz w:val="17"/>
        </w:rPr>
        <w:tab/>
        <w:t>195</w:t>
      </w:r>
    </w:p>
    <w:p>
      <w:pPr>
        <w:keepLines/>
        <w:tabs>
          <w:tab w:pos="9504" w:val="right" w:leader="dot"/>
        </w:tabs>
        <w:spacing w:after="0" w:before="0"/>
        <w:ind w:left="360"/>
      </w:pPr>
      <w:hyperlink w:anchor="_Toc1328">
        <w:r>
          <w:rPr>
            <w:color w:val="333333"/>
          </w:rPr>
          <w:t xml:space="preserve">35.2 Weaknesses and residual risk</w:t>
        </w:r>
      </w:hyperlink>
      <w:r>
        <w:rPr>
          <w:b w:val="0"/>
          <w:sz w:val="17"/>
        </w:rPr>
        <w:tab/>
        <w:t>195</w:t>
      </w:r>
    </w:p>
    <w:p>
      <w:pPr>
        <w:keepLines/>
        <w:tabs>
          <w:tab w:pos="9504" w:val="right" w:leader="dot"/>
        </w:tabs>
        <w:spacing w:after="0" w:before="0"/>
        <w:ind w:left="360"/>
      </w:pPr>
      <w:hyperlink w:anchor="_Toc1329">
        <w:r>
          <w:rPr>
            <w:color w:val="333333"/>
          </w:rPr>
          <w:t xml:space="preserve">35.3 Privacy</w:t>
        </w:r>
      </w:hyperlink>
      <w:r>
        <w:rPr>
          <w:b w:val="0"/>
          <w:sz w:val="17"/>
        </w:rPr>
        <w:tab/>
        <w:t>196</w:t>
      </w:r>
    </w:p>
    <w:p>
      <w:pPr>
        <w:keepLines/>
        <w:tabs>
          <w:tab w:pos="9504" w:val="right" w:leader="dot"/>
        </w:tabs>
        <w:spacing w:after="0" w:before="50"/>
        <w:ind w:left="0"/>
      </w:pPr>
      <w:hyperlink w:anchor="_Toc1330">
        <w:r>
          <w:rPr>
            <w:b/>
            <w:color w:val="1F3A5F"/>
          </w:rPr>
          <w:t xml:space="preserve">36. Performance and resource constraints</w:t>
        </w:r>
      </w:hyperlink>
      <w:r>
        <w:rPr>
          <w:b/>
          <w:sz w:val="18"/>
        </w:rPr>
        <w:tab/>
        <w:t>197</w:t>
      </w:r>
    </w:p>
    <w:p>
      <w:pPr>
        <w:keepLines/>
        <w:tabs>
          <w:tab w:pos="9504" w:val="right" w:leader="dot"/>
        </w:tabs>
        <w:spacing w:after="0" w:before="0"/>
        <w:ind w:left="360"/>
      </w:pPr>
      <w:hyperlink w:anchor="_Toc1331">
        <w:r>
          <w:rPr>
            <w:color w:val="333333"/>
          </w:rPr>
          <w:t xml:space="preserve">36.1 Scalability notes</w:t>
        </w:r>
      </w:hyperlink>
      <w:r>
        <w:rPr>
          <w:b w:val="0"/>
          <w:sz w:val="17"/>
        </w:rPr>
        <w:tab/>
        <w:t>197</w:t>
      </w:r>
    </w:p>
    <w:p>
      <w:pPr>
        <w:keepLines/>
        <w:tabs>
          <w:tab w:pos="9504" w:val="right" w:leader="dot"/>
        </w:tabs>
        <w:spacing w:after="0" w:before="50"/>
        <w:ind w:left="0"/>
      </w:pPr>
      <w:hyperlink w:anchor="_Toc1332">
        <w:r>
          <w:rPr>
            <w:b/>
            <w:color w:val="1F3A5F"/>
          </w:rPr>
          <w:t xml:space="preserve">37. Testing strategy and test coverage</w:t>
        </w:r>
      </w:hyperlink>
      <w:r>
        <w:rPr>
          <w:b/>
          <w:sz w:val="18"/>
        </w:rPr>
        <w:tab/>
        <w:t>198</w:t>
      </w:r>
    </w:p>
    <w:p>
      <w:pPr>
        <w:keepLines/>
        <w:tabs>
          <w:tab w:pos="9504" w:val="right" w:leader="dot"/>
        </w:tabs>
        <w:spacing w:after="0" w:before="0"/>
        <w:ind w:left="360"/>
      </w:pPr>
      <w:hyperlink w:anchor="_Toc1333">
        <w:r>
          <w:rPr>
            <w:color w:val="333333"/>
          </w:rPr>
          <w:t xml:space="preserve">37.1 Execution results</w:t>
        </w:r>
      </w:hyperlink>
      <w:r>
        <w:rPr>
          <w:b w:val="0"/>
          <w:sz w:val="17"/>
        </w:rPr>
        <w:tab/>
        <w:t>198</w:t>
      </w:r>
    </w:p>
    <w:p>
      <w:pPr>
        <w:keepLines/>
        <w:tabs>
          <w:tab w:pos="9504" w:val="right" w:leader="dot"/>
        </w:tabs>
        <w:spacing w:after="0" w:before="0"/>
        <w:ind w:left="360"/>
      </w:pPr>
      <w:hyperlink w:anchor="_Toc1334">
        <w:r>
          <w:rPr>
            <w:color w:val="333333"/>
          </w:rPr>
          <w:t xml:space="preserve">37.2 Gaps</w:t>
        </w:r>
      </w:hyperlink>
      <w:r>
        <w:rPr>
          <w:b w:val="0"/>
          <w:sz w:val="17"/>
        </w:rPr>
        <w:tab/>
        <w:t>198</w:t>
      </w:r>
    </w:p>
    <w:p>
      <w:pPr>
        <w:keepLines/>
        <w:tabs>
          <w:tab w:pos="9504" w:val="right" w:leader="dot"/>
        </w:tabs>
        <w:spacing w:after="0" w:before="50"/>
        <w:ind w:left="0"/>
      </w:pPr>
      <w:hyperlink w:anchor="_Toc1335">
        <w:r>
          <w:rPr>
            <w:b/>
            <w:color w:val="1F3A5F"/>
          </w:rPr>
          <w:t xml:space="preserve">38. Audit findings and known limitations</w:t>
        </w:r>
      </w:hyperlink>
      <w:r>
        <w:rPr>
          <w:b/>
          <w:sz w:val="18"/>
        </w:rPr>
        <w:tab/>
        <w:t>199</w:t>
      </w:r>
    </w:p>
    <w:p>
      <w:pPr>
        <w:keepLines/>
        <w:tabs>
          <w:tab w:pos="9504" w:val="right" w:leader="dot"/>
        </w:tabs>
        <w:spacing w:after="0" w:before="0"/>
        <w:ind w:left="360"/>
      </w:pPr>
      <w:hyperlink w:anchor="_Toc1336">
        <w:r>
          <w:rPr>
            <w:color w:val="333333"/>
          </w:rPr>
          <w:t xml:space="preserve">38.1 Limitations of this audit</w:t>
        </w:r>
      </w:hyperlink>
      <w:r>
        <w:rPr>
          <w:b w:val="0"/>
          <w:sz w:val="17"/>
        </w:rPr>
        <w:tab/>
        <w:t>205</w:t>
      </w:r>
    </w:p>
    <w:p>
      <w:pPr>
        <w:keepLines/>
        <w:tabs>
          <w:tab w:pos="9504" w:val="right" w:leader="dot"/>
        </w:tabs>
        <w:spacing w:after="0" w:before="50"/>
        <w:ind w:left="0"/>
      </w:pPr>
      <w:hyperlink w:anchor="_Toc1337">
        <w:r>
          <w:rPr>
            <w:b/>
            <w:color w:val="1F3A5F"/>
          </w:rPr>
          <w:t xml:space="preserve">39. Recommended improvements and prioritized roadmap</w:t>
        </w:r>
      </w:hyperlink>
      <w:r>
        <w:rPr>
          <w:b/>
          <w:sz w:val="18"/>
        </w:rPr>
        <w:tab/>
        <w:t>205</w:t>
      </w:r>
    </w:p>
    <w:p>
      <w:pPr>
        <w:keepLines/>
        <w:tabs>
          <w:tab w:pos="9504" w:val="right" w:leader="dot"/>
        </w:tabs>
        <w:spacing w:after="0" w:before="0"/>
        <w:ind w:left="360"/>
      </w:pPr>
      <w:hyperlink w:anchor="_Toc1338">
        <w:r>
          <w:rPr>
            <w:color w:val="333333"/>
          </w:rPr>
          <w:t xml:space="preserve">39.1 Priority 1 — correctness and safety (do first)</w:t>
        </w:r>
      </w:hyperlink>
      <w:r>
        <w:rPr>
          <w:b w:val="0"/>
          <w:sz w:val="17"/>
        </w:rPr>
        <w:tab/>
        <w:t>205</w:t>
      </w:r>
    </w:p>
    <w:p>
      <w:pPr>
        <w:keepLines/>
        <w:tabs>
          <w:tab w:pos="9504" w:val="right" w:leader="dot"/>
        </w:tabs>
        <w:spacing w:after="0" w:before="0"/>
        <w:ind w:left="360"/>
      </w:pPr>
      <w:hyperlink w:anchor="_Toc1339">
        <w:r>
          <w:rPr>
            <w:color w:val="333333"/>
          </w:rPr>
          <w:t xml:space="preserve">39.2 Priority 2 — structural integrity</w:t>
        </w:r>
      </w:hyperlink>
      <w:r>
        <w:rPr>
          <w:b w:val="0"/>
          <w:sz w:val="17"/>
        </w:rPr>
        <w:tab/>
        <w:t>205</w:t>
      </w:r>
    </w:p>
    <w:p>
      <w:pPr>
        <w:keepLines/>
        <w:tabs>
          <w:tab w:pos="9504" w:val="right" w:leader="dot"/>
        </w:tabs>
        <w:spacing w:after="0" w:before="0"/>
        <w:ind w:left="360"/>
      </w:pPr>
      <w:hyperlink w:anchor="_Toc1340">
        <w:r>
          <w:rPr>
            <w:color w:val="333333"/>
          </w:rPr>
          <w:t xml:space="preserve">39.3 Priority 3 — hardening and operability</w:t>
        </w:r>
      </w:hyperlink>
      <w:r>
        <w:rPr>
          <w:b w:val="0"/>
          <w:sz w:val="17"/>
        </w:rPr>
        <w:tab/>
        <w:t>206</w:t>
      </w:r>
    </w:p>
    <w:p>
      <w:pPr>
        <w:keepLines/>
        <w:tabs>
          <w:tab w:pos="9504" w:val="right" w:leader="dot"/>
        </w:tabs>
        <w:spacing w:after="0" w:before="0"/>
        <w:ind w:left="360"/>
      </w:pPr>
      <w:hyperlink w:anchor="_Toc1341">
        <w:r>
          <w:rPr>
            <w:color w:val="333333"/>
          </w:rPr>
          <w:t xml:space="preserve">39.4 Explicitly not recommended</w:t>
        </w:r>
      </w:hyperlink>
      <w:r>
        <w:rPr>
          <w:b w:val="0"/>
          <w:sz w:val="17"/>
        </w:rPr>
        <w:tab/>
        <w:t>206</w:t>
      </w:r>
    </w:p>
    <w:p>
      <w:pPr>
        <w:keepLines/>
        <w:tabs>
          <w:tab w:pos="9504" w:val="right" w:leader="dot"/>
        </w:tabs>
        <w:spacing w:after="0" w:before="50"/>
        <w:ind w:left="0"/>
      </w:pPr>
      <w:hyperlink w:anchor="_Toc1342">
        <w:r>
          <w:rPr>
            <w:b/>
            <w:color w:val="1F3A5F"/>
          </w:rPr>
          <w:t xml:space="preserve">40. Documentation maintenance guide</w:t>
        </w:r>
      </w:hyperlink>
      <w:r>
        <w:rPr>
          <w:b/>
          <w:sz w:val="18"/>
        </w:rPr>
        <w:tab/>
        <w:t>207</w:t>
      </w:r>
    </w:p>
    <w:p>
      <w:pPr>
        <w:keepLines/>
        <w:tabs>
          <w:tab w:pos="9504" w:val="right" w:leader="dot"/>
        </w:tabs>
        <w:spacing w:after="0" w:before="0"/>
        <w:ind w:left="360"/>
      </w:pPr>
      <w:hyperlink w:anchor="_Toc1343">
        <w:r>
          <w:rPr>
            <w:color w:val="333333"/>
          </w:rPr>
          <w:t xml:space="preserve">40.1 What regenerates what</w:t>
        </w:r>
      </w:hyperlink>
      <w:r>
        <w:rPr>
          <w:b w:val="0"/>
          <w:sz w:val="17"/>
        </w:rPr>
        <w:tab/>
        <w:t>207</w:t>
      </w:r>
    </w:p>
    <w:p>
      <w:pPr>
        <w:keepLines/>
        <w:tabs>
          <w:tab w:pos="9504" w:val="right" w:leader="dot"/>
        </w:tabs>
        <w:spacing w:after="0" w:before="0"/>
        <w:ind w:left="360"/>
      </w:pPr>
      <w:hyperlink w:anchor="_Toc1344">
        <w:r>
          <w:rPr>
            <w:color w:val="333333"/>
          </w:rPr>
          <w:t xml:space="preserve">40.2 Refresh procedure</w:t>
        </w:r>
      </w:hyperlink>
      <w:r>
        <w:rPr>
          <w:b w:val="0"/>
          <w:sz w:val="17"/>
        </w:rPr>
        <w:tab/>
        <w:t>207</w:t>
      </w:r>
    </w:p>
    <w:p>
      <w:pPr>
        <w:keepLines/>
        <w:tabs>
          <w:tab w:pos="9504" w:val="right" w:leader="dot"/>
        </w:tabs>
        <w:spacing w:after="0" w:before="0"/>
        <w:ind w:left="360"/>
      </w:pPr>
      <w:hyperlink w:anchor="_Toc1345">
        <w:r>
          <w:rPr>
            <w:color w:val="333333"/>
          </w:rPr>
          <w:t xml:space="preserve">40.3 Rules for future edits</w:t>
        </w:r>
      </w:hyperlink>
      <w:r>
        <w:rPr>
          <w:b w:val="0"/>
          <w:sz w:val="17"/>
        </w:rPr>
        <w:tab/>
        <w:t>207</w:t>
      </w:r>
    </w:p>
    <w:p>
      <w:pPr>
        <w:keepLines/>
        <w:tabs>
          <w:tab w:pos="9504" w:val="right" w:leader="dot"/>
        </w:tabs>
        <w:spacing w:after="0" w:before="0"/>
        <w:ind w:left="360"/>
      </w:pPr>
      <w:hyperlink w:anchor="_Toc1346">
        <w:r>
          <w:rPr>
            <w:color w:val="333333"/>
          </w:rPr>
          <w:t xml:space="preserve">40.4 Ownership</w:t>
        </w:r>
      </w:hyperlink>
      <w:r>
        <w:rPr>
          <w:b w:val="0"/>
          <w:sz w:val="17"/>
        </w:rPr>
        <w:tab/>
        <w:t>207</w:t>
      </w:r>
    </w:p>
    <w:p>
      <w:pPr>
        <w:keepLines/>
        <w:tabs>
          <w:tab w:pos="9504" w:val="right" w:leader="dot"/>
        </w:tabs>
        <w:spacing w:after="0" w:before="50"/>
        <w:ind w:left="0"/>
      </w:pPr>
      <w:hyperlink w:anchor="_Toc1347">
        <w:r>
          <w:rPr>
            <w:b/>
            <w:color w:val="1F3A5F"/>
          </w:rPr>
          <w:t xml:space="preserve">Appendix A. Complete directory inventory</w:t>
        </w:r>
      </w:hyperlink>
      <w:r>
        <w:rPr>
          <w:b/>
          <w:sz w:val="18"/>
        </w:rPr>
        <w:tab/>
        <w:t>208</w:t>
      </w:r>
    </w:p>
    <w:p>
      <w:pPr>
        <w:keepLines/>
        <w:tabs>
          <w:tab w:pos="9504" w:val="right" w:leader="dot"/>
        </w:tabs>
        <w:spacing w:after="0" w:before="50"/>
        <w:ind w:left="0"/>
      </w:pPr>
      <w:hyperlink w:anchor="_Toc1348">
        <w:r>
          <w:rPr>
            <w:b/>
            <w:color w:val="1F3A5F"/>
          </w:rPr>
          <w:t xml:space="preserve">Appendix B. Complete table and column inventory</w:t>
        </w:r>
      </w:hyperlink>
      <w:r>
        <w:rPr>
          <w:b/>
          <w:sz w:val="18"/>
        </w:rPr>
        <w:tab/>
        <w:t>209</w:t>
      </w:r>
    </w:p>
    <w:p>
      <w:pPr>
        <w:keepLines/>
        <w:tabs>
          <w:tab w:pos="9504" w:val="right" w:leader="dot"/>
        </w:tabs>
        <w:spacing w:after="0" w:before="50"/>
        <w:ind w:left="0"/>
      </w:pPr>
      <w:hyperlink w:anchor="_Toc1349">
        <w:r>
          <w:rPr>
            <w:b/>
            <w:color w:val="1F3A5F"/>
          </w:rPr>
          <w:t xml:space="preserve">Appendix C. Database constraints, indexes, triggers, functions, views, enums, policies</w:t>
        </w:r>
      </w:hyperlink>
      <w:r>
        <w:rPr>
          <w:b/>
          <w:sz w:val="18"/>
        </w:rPr>
        <w:tab/>
        <w:t>210</w:t>
      </w:r>
    </w:p>
    <w:p>
      <w:pPr>
        <w:keepLines/>
        <w:tabs>
          <w:tab w:pos="9504" w:val="right" w:leader="dot"/>
        </w:tabs>
        <w:spacing w:after="0" w:before="50"/>
        <w:ind w:left="0"/>
      </w:pPr>
      <w:hyperlink w:anchor="_Toc1350">
        <w:r>
          <w:rPr>
            <w:b/>
            <w:color w:val="1F3A5F"/>
          </w:rPr>
          <w:t xml:space="preserve">Appendix D. Complete API endpoint index</w:t>
        </w:r>
      </w:hyperlink>
      <w:r>
        <w:rPr>
          <w:b/>
          <w:sz w:val="18"/>
        </w:rPr>
        <w:tab/>
        <w:t>211</w:t>
      </w:r>
    </w:p>
    <w:p>
      <w:pPr>
        <w:keepLines/>
        <w:tabs>
          <w:tab w:pos="9504" w:val="right" w:leader="dot"/>
        </w:tabs>
        <w:spacing w:after="0" w:before="50"/>
        <w:ind w:left="0"/>
      </w:pPr>
      <w:hyperlink w:anchor="_Toc1351">
        <w:r>
          <w:rPr>
            <w:b/>
            <w:color w:val="1F3A5F"/>
          </w:rPr>
          <w:t xml:space="preserve">Appendix E. Complete environment-variable reference</w:t>
        </w:r>
      </w:hyperlink>
      <w:r>
        <w:rPr>
          <w:b/>
          <w:sz w:val="18"/>
        </w:rPr>
        <w:tab/>
        <w:t>212</w:t>
      </w:r>
    </w:p>
    <w:p>
      <w:pPr>
        <w:keepLines/>
        <w:tabs>
          <w:tab w:pos="9504" w:val="right" w:leader="dot"/>
        </w:tabs>
        <w:spacing w:after="0" w:before="50"/>
        <w:ind w:left="0"/>
      </w:pPr>
      <w:hyperlink w:anchor="_Toc1352">
        <w:r>
          <w:rPr>
            <w:b/>
            <w:color w:val="1F3A5F"/>
          </w:rPr>
          <w:t xml:space="preserve">Appendix F. Permission and role index</w:t>
        </w:r>
      </w:hyperlink>
      <w:r>
        <w:rPr>
          <w:b/>
          <w:sz w:val="18"/>
        </w:rPr>
        <w:tab/>
        <w:t>213</w:t>
      </w:r>
    </w:p>
    <w:p>
      <w:pPr>
        <w:keepLines/>
        <w:tabs>
          <w:tab w:pos="9504" w:val="right" w:leader="dot"/>
        </w:tabs>
        <w:spacing w:after="0" w:before="50"/>
        <w:ind w:left="0"/>
      </w:pPr>
      <w:hyperlink w:anchor="_Toc1353">
        <w:r>
          <w:rPr>
            <w:b/>
            <w:color w:val="1F3A5F"/>
          </w:rPr>
          <w:t xml:space="preserve">Appendix G. Application route index</w:t>
        </w:r>
      </w:hyperlink>
      <w:r>
        <w:rPr>
          <w:b/>
          <w:sz w:val="18"/>
        </w:rPr>
        <w:tab/>
        <w:t>214</w:t>
      </w:r>
    </w:p>
    <w:p>
      <w:pPr>
        <w:keepLines/>
        <w:tabs>
          <w:tab w:pos="9504" w:val="right" w:leader="dot"/>
        </w:tabs>
        <w:spacing w:after="0" w:before="50"/>
        <w:ind w:left="0"/>
      </w:pPr>
      <w:hyperlink w:anchor="_Toc1354">
        <w:r>
          <w:rPr>
            <w:b/>
            <w:color w:val="1F3A5F"/>
          </w:rPr>
          <w:t xml:space="preserve">Appendix H. Business workflow index</w:t>
        </w:r>
      </w:hyperlink>
      <w:r>
        <w:rPr>
          <w:b/>
          <w:sz w:val="18"/>
        </w:rPr>
        <w:tab/>
        <w:t>215</w:t>
      </w:r>
    </w:p>
    <w:p>
      <w:pPr>
        <w:keepLines/>
        <w:tabs>
          <w:tab w:pos="9504" w:val="right" w:leader="dot"/>
        </w:tabs>
        <w:spacing w:after="0" w:before="50"/>
        <w:ind w:left="0"/>
      </w:pPr>
      <w:hyperlink w:anchor="_Toc1355">
        <w:r>
          <w:rPr>
            <w:b/>
            <w:color w:val="1F3A5F"/>
          </w:rPr>
          <w:t xml:space="preserve">Appendix I. Migration history</w:t>
        </w:r>
      </w:hyperlink>
      <w:r>
        <w:rPr>
          <w:b/>
          <w:sz w:val="18"/>
        </w:rPr>
        <w:tab/>
        <w:t>216</w:t>
      </w:r>
    </w:p>
    <w:p>
      <w:pPr>
        <w:keepLines/>
        <w:tabs>
          <w:tab w:pos="9504" w:val="right" w:leader="dot"/>
        </w:tabs>
        <w:spacing w:after="0" w:before="50"/>
        <w:ind w:left="0"/>
      </w:pPr>
      <w:hyperlink w:anchor="_Toc1356">
        <w:r>
          <w:rPr>
            <w:b/>
            <w:color w:val="1F3A5F"/>
          </w:rPr>
          <w:t xml:space="preserve">Appendix J. Test inventory and verification results</w:t>
        </w:r>
      </w:hyperlink>
      <w:r>
        <w:rPr>
          <w:b/>
          <w:sz w:val="18"/>
        </w:rPr>
        <w:tab/>
        <w:t>217</w:t>
      </w:r>
    </w:p>
    <w:p>
      <w:pPr>
        <w:keepLines/>
        <w:tabs>
          <w:tab w:pos="9504" w:val="right" w:leader="dot"/>
        </w:tabs>
        <w:spacing w:after="0" w:before="50"/>
        <w:ind w:left="0"/>
      </w:pPr>
      <w:hyperlink w:anchor="_Toc1357">
        <w:r>
          <w:rPr>
            <w:b/>
            <w:color w:val="1F3A5F"/>
          </w:rPr>
          <w:t xml:space="preserve">Appendix K. Glossary</w:t>
        </w:r>
      </w:hyperlink>
      <w:r>
        <w:rPr>
          <w:b/>
          <w:sz w:val="18"/>
        </w:rPr>
        <w:tab/>
        <w:t>218</w:t>
      </w:r>
    </w:p>
    <w:p>
      <w:pPr>
        <w:keepLines/>
        <w:tabs>
          <w:tab w:pos="9504" w:val="right" w:leader="dot"/>
        </w:tabs>
        <w:spacing w:after="0" w:before="50"/>
        <w:ind w:left="0"/>
      </w:pPr>
      <w:hyperlink w:anchor="_Toc1358">
        <w:r>
          <w:rPr>
            <w:b/>
            <w:color w:val="1F3A5F"/>
          </w:rPr>
          <w:t xml:space="preserve">Appendix L. References to source files and evidence</w:t>
        </w:r>
      </w:hyperlink>
      <w:r>
        <w:rPr>
          <w:b/>
          <w:sz w:val="18"/>
        </w:rPr>
        <w:tab/>
        <w:t>219</w:t>
      </w:r>
    </w:p>
    <w:p>
      <w:pPr>
        <w:keepLines/>
        <w:tabs>
          <w:tab w:pos="9504" w:val="right" w:leader="dot"/>
        </w:tabs>
        <w:spacing w:after="0" w:before="50"/>
        <w:ind w:left="0"/>
      </w:pPr>
      <w:hyperlink w:anchor="_Toc1359">
        <w:r>
          <w:rPr>
            <w:b/>
            <w:color w:val="1F3A5F"/>
          </w:rPr>
          <w:t xml:space="preserve">Appendix M. Coverage and traceability matrix</w:t>
        </w:r>
      </w:hyperlink>
      <w:r>
        <w:rPr>
          <w:b/>
          <w:sz w:val="18"/>
        </w:rPr>
        <w:tab/>
        <w:t>220</w:t>
      </w:r>
    </w:p>
    <w:p>
      <w:pPr>
        <w:keepLines/>
        <w:tabs>
          <w:tab w:pos="9504" w:val="right" w:leader="dot"/>
        </w:tabs>
        <w:spacing w:after="0" w:before="50"/>
        <w:ind w:left="0"/>
      </w:pPr>
      <w:hyperlink w:anchor="_Toc1360">
        <w:r>
          <w:rPr>
            <w:b/>
            <w:color w:val="1F3A5F"/>
          </w:rPr>
          <w:t xml:space="preserve">Appendix N. Unverified components and access limitations</w:t>
        </w:r>
      </w:hyperlink>
      <w:r>
        <w:rPr>
          <w:b/>
          <w:sz w:val="18"/>
        </w:rPr>
        <w:tab/>
        <w:t>222</w:t>
      </w:r>
    </w:p>
    <w:p>
      <w:bookmarkStart w:id="1004" w:name="_Toc1004"/>
      <w:pPr>
        <w:pStyle w:val="Heading1"/>
        <w:pageBreakBefore/>
      </w:pPr>
      <w:r>
        <w:t>List of figures</w:t>
      </w:r>
      <w:bookmarkEnd w:id="1004"/>
    </w:p>
    <w:p>
      <w:r>
        <w:rPr>
          <w:i/>
          <w:color w:val="555F6D"/>
          <w:sz w:val="18"/>
        </w:rPr>
        <w:t>Figure numbers are sequential in document order. Captions are also embedded under each figure, so this list stays usable if pagination changes.</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1152"/>
            <w:shd w:val="clear" w:color="auto" w:fill="1F3A5F"/>
          </w:tcPr>
          <w:p>
            <w:pPr>
              <w:spacing w:after="0"/>
            </w:pPr>
            <w:r/>
            <w:r>
              <w:rPr>
                <w:b/>
                <w:color w:val="FFFFFF"/>
                <w:sz w:val="15"/>
              </w:rPr>
              <w:t>Figure</w:t>
            </w:r>
          </w:p>
        </w:tc>
        <w:tc>
          <w:tcPr>
            <w:tcW w:type="dxa" w:w="8208"/>
            <w:shd w:val="clear" w:color="auto" w:fill="1F3A5F"/>
          </w:tcPr>
          <w:p>
            <w:pPr>
              <w:spacing w:after="0"/>
            </w:pPr>
            <w:r/>
            <w:r>
              <w:rPr>
                <w:b/>
                <w:color w:val="FFFFFF"/>
                <w:sz w:val="15"/>
              </w:rPr>
              <w:t>Title</w:t>
            </w:r>
          </w:p>
        </w:tc>
      </w:tr>
      <w:tr>
        <w:trPr>
          <w:cantSplit/>
        </w:trPr>
        <w:tc>
          <w:tcPr>
            <w:tcW w:type="dxa" w:w="1152"/>
          </w:tcPr>
          <w:p>
            <w:pPr>
              <w:spacing w:after="0"/>
            </w:pPr>
            <w:r/>
            <w:r>
              <w:rPr>
                <w:sz w:val="15"/>
              </w:rPr>
              <w:t>Figure 1</w:t>
            </w:r>
          </w:p>
        </w:tc>
        <w:tc>
          <w:tcPr>
            <w:tcW w:type="dxa" w:w="8208"/>
          </w:tcPr>
          <w:p>
            <w:pPr>
              <w:spacing w:after="0"/>
            </w:pPr>
            <w:r/>
            <w:r>
              <w:rPr>
                <w:sz w:val="15"/>
              </w:rPr>
              <w:t>System context. Solid arrows are verified request paths; the optional integrations on the right are inert unless their keys are configured.</w:t>
            </w:r>
          </w:p>
        </w:tc>
      </w:tr>
      <w:tr>
        <w:trPr>
          <w:cantSplit/>
        </w:trPr>
        <w:tc>
          <w:tcPr>
            <w:tcW w:type="dxa" w:w="1152"/>
          </w:tcPr>
          <w:p>
            <w:pPr>
              <w:spacing w:after="0"/>
            </w:pPr>
            <w:r/>
            <w:r>
              <w:rPr>
                <w:sz w:val="15"/>
              </w:rPr>
              <w:t>Figure 2</w:t>
            </w:r>
          </w:p>
        </w:tc>
        <w:tc>
          <w:tcPr>
            <w:tcW w:type="dxa" w:w="8208"/>
          </w:tcPr>
          <w:p>
            <w:pPr>
              <w:spacing w:after="0"/>
            </w:pPr>
            <w:r/>
            <w:r>
              <w:rPr>
                <w:sz w:val="15"/>
              </w:rPr>
              <w:t>Package dependency graph. Dashed edges are declared in package.json but have no import in the source (verified by searching for the package specifier).</w:t>
            </w:r>
          </w:p>
        </w:tc>
      </w:tr>
      <w:tr>
        <w:trPr>
          <w:cantSplit/>
        </w:trPr>
        <w:tc>
          <w:tcPr>
            <w:tcW w:type="dxa" w:w="1152"/>
          </w:tcPr>
          <w:p>
            <w:pPr>
              <w:spacing w:after="0"/>
            </w:pPr>
            <w:r/>
            <w:r>
              <w:rPr>
                <w:sz w:val="15"/>
              </w:rPr>
              <w:t>Figure 3</w:t>
            </w:r>
          </w:p>
        </w:tc>
        <w:tc>
          <w:tcPr>
            <w:tcW w:type="dxa" w:w="8208"/>
          </w:tcPr>
          <w:p>
            <w:pPr>
              <w:spacing w:after="0"/>
            </w:pPr>
            <w:r/>
            <w:r>
              <w:rPr>
                <w:sz w:val="15"/>
              </w:rPr>
              <w:t>Application and package architecture. Dashed edges are declared dependencies with no import in the source; everything else is a verified request path or a real import.</w:t>
            </w:r>
          </w:p>
        </w:tc>
      </w:tr>
      <w:tr>
        <w:trPr>
          <w:cantSplit/>
        </w:trPr>
        <w:tc>
          <w:tcPr>
            <w:tcW w:type="dxa" w:w="1152"/>
          </w:tcPr>
          <w:p>
            <w:pPr>
              <w:spacing w:after="0"/>
            </w:pPr>
            <w:r/>
            <w:r>
              <w:rPr>
                <w:sz w:val="15"/>
              </w:rPr>
              <w:t>Figure 4</w:t>
            </w:r>
          </w:p>
        </w:tc>
        <w:tc>
          <w:tcPr>
            <w:tcW w:type="dxa" w:w="8208"/>
          </w:tcPr>
          <w:p>
            <w:pPr>
              <w:spacing w:after="0"/>
            </w:pPr>
            <w:r/>
            <w:r>
              <w:rPr>
                <w:sz w:val="15"/>
              </w:rPr>
              <w:t>Request lifecycle for a representative authenticated write. The 401 and 403 branches are the two points where authorisation fails; both return the standard error envelope with the request id.</w:t>
            </w:r>
          </w:p>
        </w:tc>
      </w:tr>
      <w:tr>
        <w:trPr>
          <w:cantSplit/>
        </w:trPr>
        <w:tc>
          <w:tcPr>
            <w:tcW w:type="dxa" w:w="1152"/>
          </w:tcPr>
          <w:p>
            <w:pPr>
              <w:spacing w:after="0"/>
            </w:pPr>
            <w:r/>
            <w:r>
              <w:rPr>
                <w:sz w:val="15"/>
              </w:rPr>
              <w:t>Figure 5</w:t>
            </w:r>
          </w:p>
        </w:tc>
        <w:tc>
          <w:tcPr>
            <w:tcW w:type="dxa" w:w="8208"/>
          </w:tcPr>
          <w:p>
            <w:pPr>
              <w:spacing w:after="0"/>
            </w:pPr>
            <w:r/>
            <w:r>
              <w:rPr>
                <w:sz w:val="15"/>
              </w:rPr>
              <w:t>Database access paths: sqlc-generated queries, the sequence allocator, and the Redis-backed idempotency store.</w:t>
            </w:r>
          </w:p>
        </w:tc>
      </w:tr>
      <w:tr>
        <w:trPr>
          <w:cantSplit/>
        </w:trPr>
        <w:tc>
          <w:tcPr>
            <w:tcW w:type="dxa" w:w="1152"/>
          </w:tcPr>
          <w:p>
            <w:pPr>
              <w:spacing w:after="0"/>
            </w:pPr>
            <w:r/>
            <w:r>
              <w:rPr>
                <w:sz w:val="15"/>
              </w:rPr>
              <w:t>Figure 6</w:t>
            </w:r>
          </w:p>
        </w:tc>
        <w:tc>
          <w:tcPr>
            <w:tcW w:type="dxa" w:w="8208"/>
          </w:tcPr>
          <w:p>
            <w:pPr>
              <w:spacing w:after="0"/>
            </w:pPr>
            <w:r/>
            <w:r>
              <w:rPr>
                <w:sz w:val="15"/>
              </w:rPr>
              <w:t>POS checkout: the order, its lines, stock deduction, invoice, payment and cashflow are written in one transaction; the deferred-QRIS branch leaves the invoice open until the provider confirms.</w:t>
            </w:r>
          </w:p>
        </w:tc>
      </w:tr>
      <w:tr>
        <w:trPr>
          <w:cantSplit/>
        </w:trPr>
        <w:tc>
          <w:tcPr>
            <w:tcW w:type="dxa" w:w="1152"/>
          </w:tcPr>
          <w:p>
            <w:pPr>
              <w:spacing w:after="0"/>
            </w:pPr>
            <w:r/>
            <w:r>
              <w:rPr>
                <w:sz w:val="15"/>
              </w:rPr>
              <w:t>Figure 7</w:t>
            </w:r>
          </w:p>
        </w:tc>
        <w:tc>
          <w:tcPr>
            <w:tcW w:type="dxa" w:w="8208"/>
          </w:tcPr>
          <w:p>
            <w:pPr>
              <w:spacing w:after="0"/>
            </w:pPr>
            <w:r/>
            <w:r>
              <w:rPr>
                <w:sz w:val="15"/>
              </w:rPr>
              <w:t>B2B order lifecycle from catalogue to payment confirmation, including the deferred Midtrans branch and the return path.</w:t>
            </w:r>
          </w:p>
        </w:tc>
      </w:tr>
      <w:tr>
        <w:trPr>
          <w:cantSplit/>
        </w:trPr>
        <w:tc>
          <w:tcPr>
            <w:tcW w:type="dxa" w:w="1152"/>
          </w:tcPr>
          <w:p>
            <w:pPr>
              <w:spacing w:after="0"/>
            </w:pPr>
            <w:r/>
            <w:r>
              <w:rPr>
                <w:sz w:val="15"/>
              </w:rPr>
              <w:t>Figure 8</w:t>
            </w:r>
          </w:p>
        </w:tc>
        <w:tc>
          <w:tcPr>
            <w:tcW w:type="dxa" w:w="8208"/>
          </w:tcPr>
          <w:p>
            <w:pPr>
              <w:spacing w:after="0"/>
            </w:pPr>
            <w:r/>
            <w:r>
              <w:rPr>
                <w:sz w:val="15"/>
              </w:rPr>
              <w:t>POS checkout, verified flow. The three bands correspond to capture, the single transaction, and post-commit work.</w:t>
            </w:r>
          </w:p>
        </w:tc>
      </w:tr>
      <w:tr>
        <w:trPr>
          <w:cantSplit/>
        </w:trPr>
        <w:tc>
          <w:tcPr>
            <w:tcW w:type="dxa" w:w="1152"/>
          </w:tcPr>
          <w:p>
            <w:pPr>
              <w:spacing w:after="0"/>
            </w:pPr>
            <w:r/>
            <w:r>
              <w:rPr>
                <w:sz w:val="15"/>
              </w:rPr>
              <w:t>Figure 9</w:t>
            </w:r>
          </w:p>
        </w:tc>
        <w:tc>
          <w:tcPr>
            <w:tcW w:type="dxa" w:w="8208"/>
          </w:tcPr>
          <w:p>
            <w:pPr>
              <w:spacing w:after="0"/>
            </w:pPr>
            <w:r/>
            <w:r>
              <w:rPr>
                <w:sz w:val="15"/>
              </w:rPr>
              <w:t>Payment-method branch inside POST /api/v1/pos.</w:t>
            </w:r>
          </w:p>
        </w:tc>
      </w:tr>
      <w:tr>
        <w:trPr>
          <w:cantSplit/>
        </w:trPr>
        <w:tc>
          <w:tcPr>
            <w:tcW w:type="dxa" w:w="1152"/>
          </w:tcPr>
          <w:p>
            <w:pPr>
              <w:spacing w:after="0"/>
            </w:pPr>
            <w:r/>
            <w:r>
              <w:rPr>
                <w:sz w:val="15"/>
              </w:rPr>
              <w:t>Figure 10</w:t>
            </w:r>
          </w:p>
        </w:tc>
        <w:tc>
          <w:tcPr>
            <w:tcW w:type="dxa" w:w="8208"/>
          </w:tcPr>
          <w:p>
            <w:pPr>
              <w:spacing w:after="0"/>
            </w:pPr>
            <w:r/>
            <w:r>
              <w:rPr>
                <w:sz w:val="15"/>
              </w:rPr>
              <w:t>Order lifecycle as implemented. Draft → confirmed reserves stock for regular orders; POS and e-commerce orders deduct stock at checkout instead.</w:t>
            </w:r>
          </w:p>
        </w:tc>
      </w:tr>
      <w:tr>
        <w:trPr>
          <w:cantSplit/>
        </w:trPr>
        <w:tc>
          <w:tcPr>
            <w:tcW w:type="dxa" w:w="1152"/>
          </w:tcPr>
          <w:p>
            <w:pPr>
              <w:spacing w:after="0"/>
            </w:pPr>
            <w:r/>
            <w:r>
              <w:rPr>
                <w:sz w:val="15"/>
              </w:rPr>
              <w:t>Figure 11</w:t>
            </w:r>
          </w:p>
        </w:tc>
        <w:tc>
          <w:tcPr>
            <w:tcW w:type="dxa" w:w="8208"/>
          </w:tcPr>
          <w:p>
            <w:pPr>
              <w:spacing w:after="0"/>
            </w:pPr>
            <w:r/>
            <w:r>
              <w:rPr>
                <w:sz w:val="15"/>
              </w:rPr>
              <w:t>Report rendering travels the same authenticated path as any other read: the backend resolves the template and its permission, shapes the data, then calls the internal NextReport service.</w:t>
            </w:r>
          </w:p>
        </w:tc>
      </w:tr>
      <w:tr>
        <w:trPr>
          <w:cantSplit/>
        </w:trPr>
        <w:tc>
          <w:tcPr>
            <w:tcW w:type="dxa" w:w="1152"/>
          </w:tcPr>
          <w:p>
            <w:pPr>
              <w:spacing w:after="0"/>
            </w:pPr>
            <w:r/>
            <w:r>
              <w:rPr>
                <w:sz w:val="15"/>
              </w:rPr>
              <w:t>Figure 12</w:t>
            </w:r>
          </w:p>
        </w:tc>
        <w:tc>
          <w:tcPr>
            <w:tcW w:type="dxa" w:w="8208"/>
          </w:tcPr>
          <w:p>
            <w:pPr>
              <w:spacing w:after="0"/>
            </w:pPr>
            <w:r/>
            <w:r>
              <w:rPr>
                <w:sz w:val="15"/>
              </w:rPr>
              <w:t>Full schema overview: all 92 tables, primary and foreign keys only. At this scale the diagram is an index; use the domain ERDs for readable detail.</w:t>
            </w:r>
          </w:p>
        </w:tc>
      </w:tr>
      <w:tr>
        <w:trPr>
          <w:cantSplit/>
        </w:trPr>
        <w:tc>
          <w:tcPr>
            <w:tcW w:type="dxa" w:w="1152"/>
          </w:tcPr>
          <w:p>
            <w:pPr>
              <w:spacing w:after="0"/>
            </w:pPr>
            <w:r/>
            <w:r>
              <w:rPr>
                <w:sz w:val="15"/>
              </w:rPr>
              <w:t>Figure 13</w:t>
            </w:r>
          </w:p>
        </w:tc>
        <w:tc>
          <w:tcPr>
            <w:tcW w:type="dxa" w:w="8208"/>
          </w:tcPr>
          <w:p>
            <w:pPr>
              <w:spacing w:after="0"/>
            </w:pPr>
            <w:r/>
            <w:r>
              <w:rPr>
                <w:sz w:val="15"/>
              </w:rPr>
              <w:t>Identity, tenancy and platform tables</w:t>
            </w:r>
          </w:p>
        </w:tc>
      </w:tr>
      <w:tr>
        <w:trPr>
          <w:cantSplit/>
        </w:trPr>
        <w:tc>
          <w:tcPr>
            <w:tcW w:type="dxa" w:w="1152"/>
          </w:tcPr>
          <w:p>
            <w:pPr>
              <w:spacing w:after="0"/>
            </w:pPr>
            <w:r/>
            <w:r>
              <w:rPr>
                <w:sz w:val="15"/>
              </w:rPr>
              <w:t>Figure 14</w:t>
            </w:r>
          </w:p>
        </w:tc>
        <w:tc>
          <w:tcPr>
            <w:tcW w:type="dxa" w:w="8208"/>
          </w:tcPr>
          <w:p>
            <w:pPr>
              <w:spacing w:after="0"/>
            </w:pPr>
            <w:r/>
            <w:r>
              <w:rPr>
                <w:sz w:val="15"/>
              </w:rPr>
              <w:t>Catalogue, partners and membership</w:t>
            </w:r>
          </w:p>
        </w:tc>
      </w:tr>
      <w:tr>
        <w:trPr>
          <w:cantSplit/>
        </w:trPr>
        <w:tc>
          <w:tcPr>
            <w:tcW w:type="dxa" w:w="1152"/>
          </w:tcPr>
          <w:p>
            <w:pPr>
              <w:spacing w:after="0"/>
            </w:pPr>
            <w:r/>
            <w:r>
              <w:rPr>
                <w:sz w:val="15"/>
              </w:rPr>
              <w:t>Figure 15</w:t>
            </w:r>
          </w:p>
        </w:tc>
        <w:tc>
          <w:tcPr>
            <w:tcW w:type="dxa" w:w="8208"/>
          </w:tcPr>
          <w:p>
            <w:pPr>
              <w:spacing w:after="0"/>
            </w:pPr>
            <w:r/>
            <w:r>
              <w:rPr>
                <w:sz w:val="15"/>
              </w:rPr>
              <w:t>Warehouses, stock and movements</w:t>
            </w:r>
          </w:p>
        </w:tc>
      </w:tr>
      <w:tr>
        <w:trPr>
          <w:cantSplit/>
        </w:trPr>
        <w:tc>
          <w:tcPr>
            <w:tcW w:type="dxa" w:w="1152"/>
          </w:tcPr>
          <w:p>
            <w:pPr>
              <w:spacing w:after="0"/>
            </w:pPr>
            <w:r/>
            <w:r>
              <w:rPr>
                <w:sz w:val="15"/>
              </w:rPr>
              <w:t>Figure 16</w:t>
            </w:r>
          </w:p>
        </w:tc>
        <w:tc>
          <w:tcPr>
            <w:tcW w:type="dxa" w:w="8208"/>
          </w:tcPr>
          <w:p>
            <w:pPr>
              <w:spacing w:after="0"/>
            </w:pPr>
            <w:r/>
            <w:r>
              <w:rPr>
                <w:sz w:val="15"/>
              </w:rPr>
              <w:t>Sales orders, returns, vouchers, cart</w:t>
            </w:r>
          </w:p>
        </w:tc>
      </w:tr>
      <w:tr>
        <w:trPr>
          <w:cantSplit/>
        </w:trPr>
        <w:tc>
          <w:tcPr>
            <w:tcW w:type="dxa" w:w="1152"/>
          </w:tcPr>
          <w:p>
            <w:pPr>
              <w:spacing w:after="0"/>
            </w:pPr>
            <w:r/>
            <w:r>
              <w:rPr>
                <w:sz w:val="15"/>
              </w:rPr>
              <w:t>Figure 17</w:t>
            </w:r>
          </w:p>
        </w:tc>
        <w:tc>
          <w:tcPr>
            <w:tcW w:type="dxa" w:w="8208"/>
          </w:tcPr>
          <w:p>
            <w:pPr>
              <w:spacing w:after="0"/>
            </w:pPr>
            <w:r/>
            <w:r>
              <w:rPr>
                <w:sz w:val="15"/>
              </w:rPr>
              <w:t>Purchasing, goods receipts and vouchers</w:t>
            </w:r>
          </w:p>
        </w:tc>
      </w:tr>
      <w:tr>
        <w:trPr>
          <w:cantSplit/>
        </w:trPr>
        <w:tc>
          <w:tcPr>
            <w:tcW w:type="dxa" w:w="1152"/>
          </w:tcPr>
          <w:p>
            <w:pPr>
              <w:spacing w:after="0"/>
            </w:pPr>
            <w:r/>
            <w:r>
              <w:rPr>
                <w:sz w:val="15"/>
              </w:rPr>
              <w:t>Figure 18</w:t>
            </w:r>
          </w:p>
        </w:tc>
        <w:tc>
          <w:tcPr>
            <w:tcW w:type="dxa" w:w="8208"/>
          </w:tcPr>
          <w:p>
            <w:pPr>
              <w:spacing w:after="0"/>
            </w:pPr>
            <w:r/>
            <w:r>
              <w:rPr>
                <w:sz w:val="15"/>
              </w:rPr>
              <w:t>Invoices, payments, cashflows, advances</w:t>
            </w:r>
          </w:p>
        </w:tc>
      </w:tr>
      <w:tr>
        <w:trPr>
          <w:cantSplit/>
        </w:trPr>
        <w:tc>
          <w:tcPr>
            <w:tcW w:type="dxa" w:w="1152"/>
          </w:tcPr>
          <w:p>
            <w:pPr>
              <w:spacing w:after="0"/>
            </w:pPr>
            <w:r/>
            <w:r>
              <w:rPr>
                <w:sz w:val="15"/>
              </w:rPr>
              <w:t>Figure 19</w:t>
            </w:r>
          </w:p>
        </w:tc>
        <w:tc>
          <w:tcPr>
            <w:tcW w:type="dxa" w:w="8208"/>
          </w:tcPr>
          <w:p>
            <w:pPr>
              <w:spacing w:after="0"/>
            </w:pPr>
            <w:r/>
            <w:r>
              <w:rPr>
                <w:sz w:val="15"/>
              </w:rPr>
              <w:t>Chart of accounts and journals</w:t>
            </w:r>
          </w:p>
        </w:tc>
      </w:tr>
      <w:tr>
        <w:trPr>
          <w:cantSplit/>
        </w:trPr>
        <w:tc>
          <w:tcPr>
            <w:tcW w:type="dxa" w:w="1152"/>
          </w:tcPr>
          <w:p>
            <w:pPr>
              <w:spacing w:after="0"/>
            </w:pPr>
            <w:r/>
            <w:r>
              <w:rPr>
                <w:sz w:val="15"/>
              </w:rPr>
              <w:t>Figure 20</w:t>
            </w:r>
          </w:p>
        </w:tc>
        <w:tc>
          <w:tcPr>
            <w:tcW w:type="dxa" w:w="8208"/>
          </w:tcPr>
          <w:p>
            <w:pPr>
              <w:spacing w:after="0"/>
            </w:pPr>
            <w:r/>
            <w:r>
              <w:rPr>
                <w:sz w:val="15"/>
              </w:rPr>
              <w:t>Cashier shifts and drawer</w:t>
            </w:r>
          </w:p>
        </w:tc>
      </w:tr>
      <w:tr>
        <w:trPr>
          <w:cantSplit/>
        </w:trPr>
        <w:tc>
          <w:tcPr>
            <w:tcW w:type="dxa" w:w="1152"/>
          </w:tcPr>
          <w:p>
            <w:pPr>
              <w:spacing w:after="0"/>
            </w:pPr>
            <w:r/>
            <w:r>
              <w:rPr>
                <w:sz w:val="15"/>
              </w:rPr>
              <w:t>Figure 21</w:t>
            </w:r>
          </w:p>
        </w:tc>
        <w:tc>
          <w:tcPr>
            <w:tcW w:type="dxa" w:w="8208"/>
          </w:tcPr>
          <w:p>
            <w:pPr>
              <w:spacing w:after="0"/>
            </w:pPr>
            <w:r/>
            <w:r>
              <w:rPr>
                <w:sz w:val="15"/>
              </w:rPr>
              <w:t>Delivery, shipments, fleet, LHPP</w:t>
            </w:r>
          </w:p>
        </w:tc>
      </w:tr>
      <w:tr>
        <w:trPr>
          <w:cantSplit/>
        </w:trPr>
        <w:tc>
          <w:tcPr>
            <w:tcW w:type="dxa" w:w="1152"/>
          </w:tcPr>
          <w:p>
            <w:pPr>
              <w:spacing w:after="0"/>
            </w:pPr>
            <w:r/>
            <w:r>
              <w:rPr>
                <w:sz w:val="15"/>
              </w:rPr>
              <w:t>Figure 22</w:t>
            </w:r>
          </w:p>
        </w:tc>
        <w:tc>
          <w:tcPr>
            <w:tcW w:type="dxa" w:w="8208"/>
          </w:tcPr>
          <w:p>
            <w:pPr>
              <w:spacing w:after="0"/>
            </w:pPr>
            <w:r/>
            <w:r>
              <w:rPr>
                <w:sz w:val="15"/>
              </w:rPr>
              <w:t>Employees, attendance, leave, payroll</w:t>
            </w:r>
          </w:p>
        </w:tc>
      </w:tr>
      <w:tr>
        <w:trPr>
          <w:cantSplit/>
        </w:trPr>
        <w:tc>
          <w:tcPr>
            <w:tcW w:type="dxa" w:w="1152"/>
          </w:tcPr>
          <w:p>
            <w:pPr>
              <w:spacing w:after="0"/>
            </w:pPr>
            <w:r/>
            <w:r>
              <w:rPr>
                <w:sz w:val="15"/>
              </w:rPr>
              <w:t>Figure 23</w:t>
            </w:r>
          </w:p>
        </w:tc>
        <w:tc>
          <w:tcPr>
            <w:tcW w:type="dxa" w:w="8208"/>
          </w:tcPr>
          <w:p>
            <w:pPr>
              <w:spacing w:after="0"/>
            </w:pPr>
            <w:r/>
            <w:r>
              <w:rPr>
                <w:sz w:val="15"/>
              </w:rPr>
              <w:t>Visits, activities, routes, GPS</w:t>
            </w:r>
          </w:p>
        </w:tc>
      </w:tr>
      <w:tr>
        <w:trPr>
          <w:cantSplit/>
        </w:trPr>
        <w:tc>
          <w:tcPr>
            <w:tcW w:type="dxa" w:w="1152"/>
          </w:tcPr>
          <w:p>
            <w:pPr>
              <w:spacing w:after="0"/>
            </w:pPr>
            <w:r/>
            <w:r>
              <w:rPr>
                <w:sz w:val="15"/>
              </w:rPr>
              <w:t>Figure 24</w:t>
            </w:r>
          </w:p>
        </w:tc>
        <w:tc>
          <w:tcPr>
            <w:tcW w:type="dxa" w:w="8208"/>
          </w:tcPr>
          <w:p>
            <w:pPr>
              <w:spacing w:after="0"/>
            </w:pPr>
            <w:r/>
            <w:r>
              <w:rPr>
                <w:sz w:val="15"/>
              </w:rPr>
              <w:t>Tickets and report templates</w:t>
            </w:r>
          </w:p>
        </w:tc>
      </w:tr>
      <w:tr>
        <w:trPr>
          <w:cantSplit/>
        </w:trPr>
        <w:tc>
          <w:tcPr>
            <w:tcW w:type="dxa" w:w="1152"/>
          </w:tcPr>
          <w:p>
            <w:pPr>
              <w:spacing w:after="0"/>
            </w:pPr>
            <w:r/>
            <w:r>
              <w:rPr>
                <w:sz w:val="15"/>
              </w:rPr>
              <w:t>Figure 25</w:t>
            </w:r>
          </w:p>
        </w:tc>
        <w:tc>
          <w:tcPr>
            <w:tcW w:type="dxa" w:w="8208"/>
          </w:tcPr>
          <w:p>
            <w:pPr>
              <w:spacing w:after="0"/>
            </w:pPr>
            <w:r/>
            <w:r>
              <w:rPr>
                <w:sz w:val="15"/>
              </w:rPr>
              <w:t>Laravel framework tables retained for parity</w:t>
            </w:r>
          </w:p>
        </w:tc>
      </w:tr>
      <w:tr>
        <w:trPr>
          <w:cantSplit/>
        </w:trPr>
        <w:tc>
          <w:tcPr>
            <w:tcW w:type="dxa" w:w="1152"/>
          </w:tcPr>
          <w:p>
            <w:pPr>
              <w:spacing w:after="0"/>
            </w:pPr>
            <w:r/>
            <w:r>
              <w:rPr>
                <w:sz w:val="15"/>
              </w:rPr>
              <w:t>Figure 26</w:t>
            </w:r>
          </w:p>
        </w:tc>
        <w:tc>
          <w:tcPr>
            <w:tcW w:type="dxa" w:w="8208"/>
          </w:tcPr>
          <w:p>
            <w:pPr>
              <w:spacing w:after="0"/>
            </w:pPr>
            <w:r/>
            <w:r>
              <w:rPr>
                <w:sz w:val="15"/>
              </w:rPr>
              <w:t>Login, session hydration and logout. The bcrypt comparison is equalised on the not-found path with a dummy hash to avoid a timing oracle.</w:t>
            </w:r>
          </w:p>
        </w:tc>
      </w:tr>
      <w:tr>
        <w:trPr>
          <w:cantSplit/>
        </w:trPr>
        <w:tc>
          <w:tcPr>
            <w:tcW w:type="dxa" w:w="1152"/>
          </w:tcPr>
          <w:p>
            <w:pPr>
              <w:spacing w:after="0"/>
            </w:pPr>
            <w:r/>
            <w:r>
              <w:rPr>
                <w:sz w:val="15"/>
              </w:rPr>
              <w:t>Figure 27</w:t>
            </w:r>
          </w:p>
        </w:tc>
        <w:tc>
          <w:tcPr>
            <w:tcW w:type="dxa" w:w="8208"/>
          </w:tcPr>
          <w:p>
            <w:pPr>
              <w:spacing w:after="0"/>
            </w:pPr>
            <w:r/>
            <w:r>
              <w:rPr>
                <w:sz w:val="15"/>
              </w:rPr>
              <w:t>Permission evaluation: application scope, then admin bypass, then per-user override (exact or glob deny), then role globs.</w:t>
            </w:r>
          </w:p>
        </w:tc>
      </w:tr>
      <w:tr>
        <w:trPr>
          <w:cantSplit/>
        </w:trPr>
        <w:tc>
          <w:tcPr>
            <w:tcW w:type="dxa" w:w="1152"/>
          </w:tcPr>
          <w:p>
            <w:pPr>
              <w:spacing w:after="0"/>
            </w:pPr>
            <w:r/>
            <w:r>
              <w:rPr>
                <w:sz w:val="15"/>
              </w:rPr>
              <w:t>Figure 28</w:t>
            </w:r>
          </w:p>
        </w:tc>
        <w:tc>
          <w:tcPr>
            <w:tcW w:type="dxa" w:w="8208"/>
          </w:tcPr>
          <w:p>
            <w:pPr>
              <w:spacing w:after="0"/>
            </w:pPr>
            <w:r/>
            <w:r>
              <w:rPr>
                <w:sz w:val="15"/>
              </w:rPr>
              <w:t>CI and image pipeline as configured. The dashed self-loop marks the job that cannot currently satisfy its own toolchain requirement.</w:t>
            </w:r>
          </w:p>
        </w:tc>
      </w:tr>
      <w:tr>
        <w:trPr>
          <w:cantSplit/>
        </w:trPr>
        <w:tc>
          <w:tcPr>
            <w:tcW w:type="dxa" w:w="1152"/>
          </w:tcPr>
          <w:p>
            <w:pPr>
              <w:spacing w:after="0"/>
            </w:pPr>
            <w:r/>
            <w:r>
              <w:rPr>
                <w:sz w:val="15"/>
              </w:rPr>
              <w:t>Figure 29</w:t>
            </w:r>
          </w:p>
        </w:tc>
        <w:tc>
          <w:tcPr>
            <w:tcW w:type="dxa" w:w="8208"/>
          </w:tcPr>
          <w:p>
            <w:pPr>
              <w:spacing w:after="0"/>
            </w:pPr>
            <w:r/>
            <w:r>
              <w:rPr>
                <w:sz w:val="15"/>
              </w:rPr>
              <w:t>Deployment topology as configured. Loopback bindings and the container network are from infra/containers/compose.prod.yml; the tunnel agent is a host service.</w:t>
            </w:r>
          </w:p>
        </w:tc>
      </w:tr>
      <w:tr>
        <w:trPr>
          <w:cantSplit/>
        </w:trPr>
        <w:tc>
          <w:tcPr>
            <w:tcW w:type="dxa" w:w="1152"/>
          </w:tcPr>
          <w:p>
            <w:pPr>
              <w:spacing w:after="0"/>
            </w:pPr>
            <w:r/>
            <w:r>
              <w:rPr>
                <w:sz w:val="15"/>
              </w:rPr>
              <w:t>Figure 30</w:t>
            </w:r>
          </w:p>
        </w:tc>
        <w:tc>
          <w:tcPr>
            <w:tcW w:type="dxa" w:w="8208"/>
          </w:tcPr>
          <w:p>
            <w:pPr>
              <w:spacing w:after="0"/>
            </w:pPr>
            <w:r/>
            <w:r>
              <w:rPr>
                <w:sz w:val="15"/>
              </w:rPr>
              <w:t>Observability paths: request logs, audit log, health probes and the report engine health endpoint.</w:t>
            </w:r>
          </w:p>
        </w:tc>
      </w:tr>
      <w:tr>
        <w:trPr>
          <w:cantSplit/>
        </w:trPr>
        <w:tc>
          <w:tcPr>
            <w:tcW w:type="dxa" w:w="1152"/>
          </w:tcPr>
          <w:p>
            <w:pPr>
              <w:spacing w:after="0"/>
            </w:pPr>
            <w:r/>
            <w:r>
              <w:rPr>
                <w:sz w:val="15"/>
              </w:rPr>
              <w:t>Figure 31</w:t>
            </w:r>
          </w:p>
        </w:tc>
        <w:tc>
          <w:tcPr>
            <w:tcW w:type="dxa" w:w="8208"/>
          </w:tcPr>
          <w:p>
            <w:pPr>
              <w:spacing w:after="0"/>
            </w:pPr>
            <w:r/>
            <w:r>
              <w:rPr>
                <w:sz w:val="15"/>
              </w:rPr>
              <w:t>Documented backup and restore procedure. Nothing in this diagram is automated by the repository; the cron entry and offsite copy are runbook steps.</w:t>
            </w:r>
          </w:p>
        </w:tc>
      </w:tr>
      <w:tr>
        <w:trPr>
          <w:cantSplit/>
        </w:trPr>
        <w:tc>
          <w:tcPr>
            <w:tcW w:type="dxa" w:w="1152"/>
          </w:tcPr>
          <w:p>
            <w:pPr>
              <w:spacing w:after="0"/>
            </w:pPr>
            <w:r/>
            <w:r>
              <w:rPr>
                <w:sz w:val="15"/>
              </w:rPr>
              <w:t>Figure 32</w:t>
            </w:r>
          </w:p>
        </w:tc>
        <w:tc>
          <w:tcPr>
            <w:tcW w:type="dxa" w:w="8208"/>
          </w:tcPr>
          <w:p>
            <w:pPr>
              <w:spacing w:after="0"/>
            </w:pPr>
            <w:r/>
            <w:r>
              <w:rPr>
                <w:sz w:val="15"/>
              </w:rPr>
              <w:t>Error taxonomy and the client's recovery decision.</w:t>
            </w:r>
          </w:p>
        </w:tc>
      </w:tr>
    </w:tbl>
    <w:p>
      <w:pPr>
        <w:spacing w:after="200"/>
      </w:pPr>
      <w:r>
        <w:rPr>
          <w:i/>
          <w:color w:val="555F6D"/>
          <w:sz w:val="17"/>
        </w:rPr>
        <w:t>Table 4. Figures in this document</w:t>
      </w:r>
    </w:p>
    <w:p>
      <w:bookmarkStart w:id="1005" w:name="_Toc1005"/>
      <w:pPr>
        <w:pStyle w:val="Heading1"/>
        <w:pageBreakBefore/>
      </w:pPr>
      <w:r>
        <w:t>List of tables</w:t>
      </w:r>
      <w:bookmarkEnd w:id="1005"/>
    </w:p>
    <w:p>
      <w:r>
        <w:rPr>
          <w:i/>
          <w:color w:val="555F6D"/>
          <w:sz w:val="18"/>
        </w:rPr>
        <w:t>Tables include inventories, matrices and configuration references. Wide inventories (data dictionary, API index, route index) are set in landscape sections and split by domain so no row is clipped.</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1152"/>
            <w:shd w:val="clear" w:color="auto" w:fill="1F3A5F"/>
          </w:tcPr>
          <w:p>
            <w:pPr>
              <w:spacing w:after="0"/>
            </w:pPr>
            <w:r/>
            <w:r>
              <w:rPr>
                <w:b/>
                <w:color w:val="FFFFFF"/>
                <w:sz w:val="14"/>
              </w:rPr>
              <w:t>Table</w:t>
            </w:r>
          </w:p>
        </w:tc>
        <w:tc>
          <w:tcPr>
            <w:tcW w:type="dxa" w:w="8208"/>
            <w:shd w:val="clear" w:color="auto" w:fill="1F3A5F"/>
          </w:tcPr>
          <w:p>
            <w:pPr>
              <w:spacing w:after="0"/>
            </w:pPr>
            <w:r/>
            <w:r>
              <w:rPr>
                <w:b/>
                <w:color w:val="FFFFFF"/>
                <w:sz w:val="14"/>
              </w:rPr>
              <w:t>Caption</w:t>
            </w:r>
          </w:p>
        </w:tc>
      </w:tr>
      <w:tr>
        <w:trPr>
          <w:cantSplit/>
        </w:trPr>
        <w:tc>
          <w:tcPr>
            <w:tcW w:type="dxa" w:w="1152"/>
          </w:tcPr>
          <w:p>
            <w:pPr>
              <w:spacing w:after="0"/>
            </w:pPr>
            <w:r/>
            <w:r>
              <w:rPr>
                <w:sz w:val="14"/>
              </w:rPr>
              <w:t>Table 1</w:t>
            </w:r>
          </w:p>
        </w:tc>
        <w:tc>
          <w:tcPr>
            <w:tcW w:type="dxa" w:w="8208"/>
          </w:tcPr>
          <w:p>
            <w:pPr>
              <w:spacing w:after="0"/>
            </w:pPr>
            <w:r/>
            <w:r>
              <w:rPr>
                <w:sz w:val="14"/>
              </w:rPr>
              <w:t>Document control block</w:t>
            </w:r>
          </w:p>
        </w:tc>
      </w:tr>
      <w:tr>
        <w:trPr>
          <w:cantSplit/>
        </w:trPr>
        <w:tc>
          <w:tcPr>
            <w:tcW w:type="dxa" w:w="1152"/>
          </w:tcPr>
          <w:p>
            <w:pPr>
              <w:spacing w:after="0"/>
            </w:pPr>
            <w:r/>
            <w:r>
              <w:rPr>
                <w:sz w:val="14"/>
              </w:rPr>
              <w:t>Table 2</w:t>
            </w:r>
          </w:p>
        </w:tc>
        <w:tc>
          <w:tcPr>
            <w:tcW w:type="dxa" w:w="8208"/>
          </w:tcPr>
          <w:p>
            <w:pPr>
              <w:spacing w:after="0"/>
            </w:pPr>
            <w:r/>
            <w:r>
              <w:rPr>
                <w:sz w:val="14"/>
              </w:rPr>
              <w:t>Revision history</w:t>
            </w:r>
          </w:p>
        </w:tc>
      </w:tr>
      <w:tr>
        <w:trPr>
          <w:cantSplit/>
        </w:trPr>
        <w:tc>
          <w:tcPr>
            <w:tcW w:type="dxa" w:w="1152"/>
          </w:tcPr>
          <w:p>
            <w:pPr>
              <w:spacing w:after="0"/>
            </w:pPr>
            <w:r/>
            <w:r>
              <w:rPr>
                <w:sz w:val="14"/>
              </w:rPr>
              <w:t>Table 3</w:t>
            </w:r>
          </w:p>
        </w:tc>
        <w:tc>
          <w:tcPr>
            <w:tcW w:type="dxa" w:w="8208"/>
          </w:tcPr>
          <w:p>
            <w:pPr>
              <w:spacing w:after="0"/>
            </w:pPr>
            <w:r/>
            <w:r>
              <w:rPr>
                <w:sz w:val="14"/>
              </w:rPr>
              <w:t>Evidence classes used in this document</w:t>
            </w:r>
          </w:p>
        </w:tc>
      </w:tr>
      <w:tr>
        <w:trPr>
          <w:cantSplit/>
        </w:trPr>
        <w:tc>
          <w:tcPr>
            <w:tcW w:type="dxa" w:w="1152"/>
          </w:tcPr>
          <w:p>
            <w:pPr>
              <w:spacing w:after="0"/>
            </w:pPr>
            <w:r/>
            <w:r>
              <w:rPr>
                <w:sz w:val="14"/>
              </w:rPr>
              <w:t>Table 4</w:t>
            </w:r>
          </w:p>
        </w:tc>
        <w:tc>
          <w:tcPr>
            <w:tcW w:type="dxa" w:w="8208"/>
          </w:tcPr>
          <w:p>
            <w:pPr>
              <w:spacing w:after="0"/>
            </w:pPr>
            <w:r/>
            <w:r>
              <w:rPr>
                <w:sz w:val="14"/>
              </w:rPr>
              <w:t>Abbreviations</w:t>
            </w:r>
          </w:p>
        </w:tc>
      </w:tr>
      <w:tr>
        <w:trPr>
          <w:cantSplit/>
        </w:trPr>
        <w:tc>
          <w:tcPr>
            <w:tcW w:type="dxa" w:w="1152"/>
          </w:tcPr>
          <w:p>
            <w:pPr>
              <w:spacing w:after="0"/>
            </w:pPr>
            <w:r/>
            <w:r>
              <w:rPr>
                <w:sz w:val="14"/>
              </w:rPr>
              <w:t>Table 5</w:t>
            </w:r>
          </w:p>
        </w:tc>
        <w:tc>
          <w:tcPr>
            <w:tcW w:type="dxa" w:w="8208"/>
          </w:tcPr>
          <w:p>
            <w:pPr>
              <w:spacing w:after="0"/>
            </w:pPr>
            <w:r/>
            <w:r>
              <w:rPr>
                <w:sz w:val="14"/>
              </w:rPr>
              <w:t>Highest-severity findings (full register in chapter 38)</w:t>
            </w:r>
          </w:p>
        </w:tc>
      </w:tr>
      <w:tr>
        <w:trPr>
          <w:cantSplit/>
        </w:trPr>
        <w:tc>
          <w:tcPr>
            <w:tcW w:type="dxa" w:w="1152"/>
          </w:tcPr>
          <w:p>
            <w:pPr>
              <w:spacing w:after="0"/>
            </w:pPr>
            <w:r/>
            <w:r>
              <w:rPr>
                <w:sz w:val="14"/>
              </w:rPr>
              <w:t>Table 6</w:t>
            </w:r>
          </w:p>
        </w:tc>
        <w:tc>
          <w:tcPr>
            <w:tcW w:type="dxa" w:w="8208"/>
          </w:tcPr>
          <w:p>
            <w:pPr>
              <w:spacing w:after="0"/>
            </w:pPr>
            <w:r/>
            <w:r>
              <w:rPr>
                <w:sz w:val="14"/>
              </w:rPr>
              <w:t>Audit environment reproduction</w:t>
            </w:r>
          </w:p>
        </w:tc>
      </w:tr>
      <w:tr>
        <w:trPr>
          <w:cantSplit/>
        </w:trPr>
        <w:tc>
          <w:tcPr>
            <w:tcW w:type="dxa" w:w="1152"/>
          </w:tcPr>
          <w:p>
            <w:pPr>
              <w:spacing w:after="0"/>
            </w:pPr>
            <w:r/>
            <w:r>
              <w:rPr>
                <w:sz w:val="14"/>
              </w:rPr>
              <w:t>Table 7</w:t>
            </w:r>
          </w:p>
        </w:tc>
        <w:tc>
          <w:tcPr>
            <w:tcW w:type="dxa" w:w="8208"/>
          </w:tcPr>
          <w:p>
            <w:pPr>
              <w:spacing w:after="0"/>
            </w:pPr>
            <w:r/>
            <w:r>
              <w:rPr>
                <w:sz w:val="14"/>
              </w:rPr>
              <w:t>Unverified areas and how they are handled</w:t>
            </w:r>
          </w:p>
        </w:tc>
      </w:tr>
      <w:tr>
        <w:trPr>
          <w:cantSplit/>
        </w:trPr>
        <w:tc>
          <w:tcPr>
            <w:tcW w:type="dxa" w:w="1152"/>
          </w:tcPr>
          <w:p>
            <w:pPr>
              <w:spacing w:after="0"/>
            </w:pPr>
            <w:r/>
            <w:r>
              <w:rPr>
                <w:sz w:val="14"/>
              </w:rPr>
              <w:t>Table 8</w:t>
            </w:r>
          </w:p>
        </w:tc>
        <w:tc>
          <w:tcPr>
            <w:tcW w:type="dxa" w:w="8208"/>
          </w:tcPr>
          <w:p>
            <w:pPr>
              <w:spacing w:after="0"/>
            </w:pPr>
            <w:r/>
            <w:r>
              <w:rPr>
                <w:sz w:val="14"/>
              </w:rPr>
              <w:t>Roles and their verified boundaries</w:t>
            </w:r>
          </w:p>
        </w:tc>
      </w:tr>
      <w:tr>
        <w:trPr>
          <w:cantSplit/>
        </w:trPr>
        <w:tc>
          <w:tcPr>
            <w:tcW w:type="dxa" w:w="1152"/>
          </w:tcPr>
          <w:p>
            <w:pPr>
              <w:spacing w:after="0"/>
            </w:pPr>
            <w:r/>
            <w:r>
              <w:rPr>
                <w:sz w:val="14"/>
              </w:rPr>
              <w:t>Table 9</w:t>
            </w:r>
          </w:p>
        </w:tc>
        <w:tc>
          <w:tcPr>
            <w:tcW w:type="dxa" w:w="8208"/>
          </w:tcPr>
          <w:p>
            <w:pPr>
              <w:spacing w:after="0"/>
            </w:pPr>
            <w:r/>
            <w:r>
              <w:rPr>
                <w:sz w:val="14"/>
              </w:rPr>
              <w:t>Applications and runtime identity</w:t>
            </w:r>
          </w:p>
        </w:tc>
      </w:tr>
      <w:tr>
        <w:trPr>
          <w:cantSplit/>
        </w:trPr>
        <w:tc>
          <w:tcPr>
            <w:tcW w:type="dxa" w:w="1152"/>
          </w:tcPr>
          <w:p>
            <w:pPr>
              <w:spacing w:after="0"/>
            </w:pPr>
            <w:r/>
            <w:r>
              <w:rPr>
                <w:sz w:val="14"/>
              </w:rPr>
              <w:t>Table 10</w:t>
            </w:r>
          </w:p>
        </w:tc>
        <w:tc>
          <w:tcPr>
            <w:tcW w:type="dxa" w:w="8208"/>
          </w:tcPr>
          <w:p>
            <w:pPr>
              <w:spacing w:after="0"/>
            </w:pPr>
            <w:r/>
            <w:r>
              <w:rPr>
                <w:sz w:val="14"/>
              </w:rPr>
              <w:t>Repository top level</w:t>
            </w:r>
          </w:p>
        </w:tc>
      </w:tr>
      <w:tr>
        <w:trPr>
          <w:cantSplit/>
        </w:trPr>
        <w:tc>
          <w:tcPr>
            <w:tcW w:type="dxa" w:w="1152"/>
          </w:tcPr>
          <w:p>
            <w:pPr>
              <w:spacing w:after="0"/>
            </w:pPr>
            <w:r/>
            <w:r>
              <w:rPr>
                <w:sz w:val="14"/>
              </w:rPr>
              <w:t>Table 11</w:t>
            </w:r>
          </w:p>
        </w:tc>
        <w:tc>
          <w:tcPr>
            <w:tcW w:type="dxa" w:w="8208"/>
          </w:tcPr>
          <w:p>
            <w:pPr>
              <w:spacing w:after="0"/>
            </w:pPr>
            <w:r/>
            <w:r>
              <w:rPr>
                <w:sz w:val="14"/>
              </w:rPr>
              <w:t>File composition at the audited commit</w:t>
            </w:r>
          </w:p>
        </w:tc>
      </w:tr>
      <w:tr>
        <w:trPr>
          <w:cantSplit/>
        </w:trPr>
        <w:tc>
          <w:tcPr>
            <w:tcW w:type="dxa" w:w="1152"/>
          </w:tcPr>
          <w:p>
            <w:pPr>
              <w:spacing w:after="0"/>
            </w:pPr>
            <w:r/>
            <w:r>
              <w:rPr>
                <w:sz w:val="14"/>
              </w:rPr>
              <w:t>Table 12</w:t>
            </w:r>
          </w:p>
        </w:tc>
        <w:tc>
          <w:tcPr>
            <w:tcW w:type="dxa" w:w="8208"/>
          </w:tcPr>
          <w:p>
            <w:pPr>
              <w:spacing w:after="0"/>
            </w:pPr>
            <w:r/>
            <w:r>
              <w:rPr>
                <w:sz w:val="14"/>
              </w:rPr>
              <w:t>Root scripts and their real effect</w:t>
            </w:r>
          </w:p>
        </w:tc>
      </w:tr>
      <w:tr>
        <w:trPr>
          <w:cantSplit/>
        </w:trPr>
        <w:tc>
          <w:tcPr>
            <w:tcW w:type="dxa" w:w="1152"/>
          </w:tcPr>
          <w:p>
            <w:pPr>
              <w:spacing w:after="0"/>
            </w:pPr>
            <w:r/>
            <w:r>
              <w:rPr>
                <w:sz w:val="14"/>
              </w:rPr>
              <w:t>Table 13</w:t>
            </w:r>
          </w:p>
        </w:tc>
        <w:tc>
          <w:tcPr>
            <w:tcW w:type="dxa" w:w="8208"/>
          </w:tcPr>
          <w:p>
            <w:pPr>
              <w:spacing w:after="0"/>
            </w:pPr>
            <w:r/>
            <w:r>
              <w:rPr>
                <w:sz w:val="14"/>
              </w:rPr>
              <w:t>Shared package consumption (verified by import search)</w:t>
            </w:r>
          </w:p>
        </w:tc>
      </w:tr>
      <w:tr>
        <w:trPr>
          <w:cantSplit/>
        </w:trPr>
        <w:tc>
          <w:tcPr>
            <w:tcW w:type="dxa" w:w="1152"/>
          </w:tcPr>
          <w:p>
            <w:pPr>
              <w:spacing w:after="0"/>
            </w:pPr>
            <w:r/>
            <w:r>
              <w:rPr>
                <w:sz w:val="14"/>
              </w:rPr>
              <w:t>Table 14</w:t>
            </w:r>
          </w:p>
        </w:tc>
        <w:tc>
          <w:tcPr>
            <w:tcW w:type="dxa" w:w="8208"/>
          </w:tcPr>
          <w:p>
            <w:pPr>
              <w:spacing w:after="0"/>
            </w:pPr>
            <w:r/>
            <w:r>
              <w:rPr>
                <w:sz w:val="14"/>
              </w:rPr>
              <w:t>Documentation accuracy assessment</w:t>
            </w:r>
          </w:p>
        </w:tc>
      </w:tr>
      <w:tr>
        <w:trPr>
          <w:cantSplit/>
        </w:trPr>
        <w:tc>
          <w:tcPr>
            <w:tcW w:type="dxa" w:w="1152"/>
          </w:tcPr>
          <w:p>
            <w:pPr>
              <w:spacing w:after="0"/>
            </w:pPr>
            <w:r/>
            <w:r>
              <w:rPr>
                <w:sz w:val="14"/>
              </w:rPr>
              <w:t>Table 15</w:t>
            </w:r>
          </w:p>
        </w:tc>
        <w:tc>
          <w:tcPr>
            <w:tcW w:type="dxa" w:w="8208"/>
          </w:tcPr>
          <w:p>
            <w:pPr>
              <w:spacing w:after="0"/>
            </w:pPr>
            <w:r/>
            <w:r>
              <w:rPr>
                <w:sz w:val="14"/>
              </w:rPr>
              <w:t>Git and release context</w:t>
            </w:r>
          </w:p>
        </w:tc>
      </w:tr>
      <w:tr>
        <w:trPr>
          <w:cantSplit/>
        </w:trPr>
        <w:tc>
          <w:tcPr>
            <w:tcW w:type="dxa" w:w="1152"/>
          </w:tcPr>
          <w:p>
            <w:pPr>
              <w:spacing w:after="0"/>
            </w:pPr>
            <w:r/>
            <w:r>
              <w:rPr>
                <w:sz w:val="14"/>
              </w:rPr>
              <w:t>Table 16</w:t>
            </w:r>
          </w:p>
        </w:tc>
        <w:tc>
          <w:tcPr>
            <w:tcW w:type="dxa" w:w="8208"/>
          </w:tcPr>
          <w:p>
            <w:pPr>
              <w:spacing w:after="0"/>
            </w:pPr>
            <w:r/>
            <w:r>
              <w:rPr>
                <w:sz w:val="14"/>
              </w:rPr>
              <w:t>Backend dependencies</w:t>
            </w:r>
          </w:p>
        </w:tc>
      </w:tr>
      <w:tr>
        <w:trPr>
          <w:cantSplit/>
        </w:trPr>
        <w:tc>
          <w:tcPr>
            <w:tcW w:type="dxa" w:w="1152"/>
          </w:tcPr>
          <w:p>
            <w:pPr>
              <w:spacing w:after="0"/>
            </w:pPr>
            <w:r/>
            <w:r>
              <w:rPr>
                <w:sz w:val="14"/>
              </w:rPr>
              <w:t>Table 17</w:t>
            </w:r>
          </w:p>
        </w:tc>
        <w:tc>
          <w:tcPr>
            <w:tcW w:type="dxa" w:w="8208"/>
          </w:tcPr>
          <w:p>
            <w:pPr>
              <w:spacing w:after="0"/>
            </w:pPr>
            <w:r/>
            <w:r>
              <w:rPr>
                <w:sz w:val="14"/>
              </w:rPr>
              <w:t>Frontend dependency matrix (declared versions)</w:t>
            </w:r>
          </w:p>
        </w:tc>
      </w:tr>
      <w:tr>
        <w:trPr>
          <w:cantSplit/>
        </w:trPr>
        <w:tc>
          <w:tcPr>
            <w:tcW w:type="dxa" w:w="1152"/>
          </w:tcPr>
          <w:p>
            <w:pPr>
              <w:spacing w:after="0"/>
            </w:pPr>
            <w:r/>
            <w:r>
              <w:rPr>
                <w:sz w:val="14"/>
              </w:rPr>
              <w:t>Table 18</w:t>
            </w:r>
          </w:p>
        </w:tc>
        <w:tc>
          <w:tcPr>
            <w:tcW w:type="dxa" w:w="8208"/>
          </w:tcPr>
          <w:p>
            <w:pPr>
              <w:spacing w:after="0"/>
            </w:pPr>
            <w:r/>
            <w:r>
              <w:rPr>
                <w:sz w:val="14"/>
              </w:rPr>
              <w:t>Build-time tooling</w:t>
            </w:r>
          </w:p>
        </w:tc>
      </w:tr>
      <w:tr>
        <w:trPr>
          <w:cantSplit/>
        </w:trPr>
        <w:tc>
          <w:tcPr>
            <w:tcW w:type="dxa" w:w="1152"/>
          </w:tcPr>
          <w:p>
            <w:pPr>
              <w:spacing w:after="0"/>
            </w:pPr>
            <w:r/>
            <w:r>
              <w:rPr>
                <w:sz w:val="14"/>
              </w:rPr>
              <w:t>Table 19</w:t>
            </w:r>
          </w:p>
        </w:tc>
        <w:tc>
          <w:tcPr>
            <w:tcW w:type="dxa" w:w="8208"/>
          </w:tcPr>
          <w:p>
            <w:pPr>
              <w:spacing w:after="0"/>
            </w:pPr>
            <w:r/>
            <w:r>
              <w:rPr>
                <w:sz w:val="14"/>
              </w:rPr>
              <w:t>Application inventory</w:t>
            </w:r>
          </w:p>
        </w:tc>
      </w:tr>
      <w:tr>
        <w:trPr>
          <w:cantSplit/>
        </w:trPr>
        <w:tc>
          <w:tcPr>
            <w:tcW w:type="dxa" w:w="1152"/>
          </w:tcPr>
          <w:p>
            <w:pPr>
              <w:spacing w:after="0"/>
            </w:pPr>
            <w:r/>
            <w:r>
              <w:rPr>
                <w:sz w:val="14"/>
              </w:rPr>
              <w:t>Table 20</w:t>
            </w:r>
          </w:p>
        </w:tc>
        <w:tc>
          <w:tcPr>
            <w:tcW w:type="dxa" w:w="8208"/>
          </w:tcPr>
          <w:p>
            <w:pPr>
              <w:spacing w:after="0"/>
            </w:pPr>
            <w:r/>
            <w:r>
              <w:rPr>
                <w:sz w:val="14"/>
              </w:rPr>
              <w:t>Non-application code that looks like an application</w:t>
            </w:r>
          </w:p>
        </w:tc>
      </w:tr>
      <w:tr>
        <w:trPr>
          <w:cantSplit/>
        </w:trPr>
        <w:tc>
          <w:tcPr>
            <w:tcW w:type="dxa" w:w="1152"/>
          </w:tcPr>
          <w:p>
            <w:pPr>
              <w:spacing w:after="0"/>
            </w:pPr>
            <w:r/>
            <w:r>
              <w:rPr>
                <w:sz w:val="14"/>
              </w:rPr>
              <w:t>Table 21</w:t>
            </w:r>
          </w:p>
        </w:tc>
        <w:tc>
          <w:tcPr>
            <w:tcW w:type="dxa" w:w="8208"/>
          </w:tcPr>
          <w:p>
            <w:pPr>
              <w:spacing w:after="0"/>
            </w:pPr>
            <w:r/>
            <w:r>
              <w:rPr>
                <w:sz w:val="14"/>
              </w:rPr>
              <w:t>Middleware chain, in mount order</w:t>
            </w:r>
          </w:p>
        </w:tc>
      </w:tr>
      <w:tr>
        <w:trPr>
          <w:cantSplit/>
        </w:trPr>
        <w:tc>
          <w:tcPr>
            <w:tcW w:type="dxa" w:w="1152"/>
          </w:tcPr>
          <w:p>
            <w:pPr>
              <w:spacing w:after="0"/>
            </w:pPr>
            <w:r/>
            <w:r>
              <w:rPr>
                <w:sz w:val="14"/>
              </w:rPr>
              <w:t>Table 22</w:t>
            </w:r>
          </w:p>
        </w:tc>
        <w:tc>
          <w:tcPr>
            <w:tcW w:type="dxa" w:w="8208"/>
          </w:tcPr>
          <w:p>
            <w:pPr>
              <w:spacing w:after="0"/>
            </w:pPr>
            <w:r/>
            <w:r>
              <w:rPr>
                <w:sz w:val="14"/>
              </w:rPr>
              <w:t>Backend module inventory (handler counts from the handler.go files)</w:t>
            </w:r>
          </w:p>
        </w:tc>
      </w:tr>
      <w:tr>
        <w:trPr>
          <w:cantSplit/>
        </w:trPr>
        <w:tc>
          <w:tcPr>
            <w:tcW w:type="dxa" w:w="1152"/>
          </w:tcPr>
          <w:p>
            <w:pPr>
              <w:spacing w:after="0"/>
            </w:pPr>
            <w:r/>
            <w:r>
              <w:rPr>
                <w:sz w:val="14"/>
              </w:rPr>
              <w:t>Table 23</w:t>
            </w:r>
          </w:p>
        </w:tc>
        <w:tc>
          <w:tcPr>
            <w:tcW w:type="dxa" w:w="8208"/>
          </w:tcPr>
          <w:p>
            <w:pPr>
              <w:spacing w:after="0"/>
            </w:pPr>
            <w:r/>
            <w:r>
              <w:rPr>
                <w:sz w:val="14"/>
              </w:rPr>
              <w:t>ERP identity</w:t>
            </w:r>
          </w:p>
        </w:tc>
      </w:tr>
      <w:tr>
        <w:trPr>
          <w:cantSplit/>
        </w:trPr>
        <w:tc>
          <w:tcPr>
            <w:tcW w:type="dxa" w:w="1152"/>
          </w:tcPr>
          <w:p>
            <w:pPr>
              <w:spacing w:after="0"/>
            </w:pPr>
            <w:r/>
            <w:r>
              <w:rPr>
                <w:sz w:val="14"/>
              </w:rPr>
              <w:t>Table 24</w:t>
            </w:r>
          </w:p>
        </w:tc>
        <w:tc>
          <w:tcPr>
            <w:tcW w:type="dxa" w:w="8208"/>
          </w:tcPr>
          <w:p>
            <w:pPr>
              <w:spacing w:after="0"/>
            </w:pPr>
            <w:r/>
            <w:r>
              <w:rPr>
                <w:sz w:val="14"/>
              </w:rPr>
              <w:t>ERP page routes (78 records; 15 legacy redirects and 2 layout wrappers are omitted)</w:t>
            </w:r>
          </w:p>
        </w:tc>
      </w:tr>
      <w:tr>
        <w:trPr>
          <w:cantSplit/>
        </w:trPr>
        <w:tc>
          <w:tcPr>
            <w:tcW w:type="dxa" w:w="1152"/>
          </w:tcPr>
          <w:p>
            <w:pPr>
              <w:spacing w:after="0"/>
            </w:pPr>
            <w:r/>
            <w:r>
              <w:rPr>
                <w:sz w:val="14"/>
              </w:rPr>
              <w:t>Table 25</w:t>
            </w:r>
          </w:p>
        </w:tc>
        <w:tc>
          <w:tcPr>
            <w:tcW w:type="dxa" w:w="8208"/>
          </w:tcPr>
          <w:p>
            <w:pPr>
              <w:spacing w:after="0"/>
            </w:pPr>
            <w:r/>
            <w:r>
              <w:rPr>
                <w:sz w:val="14"/>
              </w:rPr>
              <w:t>ERP sidebar structure</w:t>
            </w:r>
          </w:p>
        </w:tc>
      </w:tr>
      <w:tr>
        <w:trPr>
          <w:cantSplit/>
        </w:trPr>
        <w:tc>
          <w:tcPr>
            <w:tcW w:type="dxa" w:w="1152"/>
          </w:tcPr>
          <w:p>
            <w:pPr>
              <w:spacing w:after="0"/>
            </w:pPr>
            <w:r/>
            <w:r>
              <w:rPr>
                <w:sz w:val="14"/>
              </w:rPr>
              <w:t>Table 26</w:t>
            </w:r>
          </w:p>
        </w:tc>
        <w:tc>
          <w:tcPr>
            <w:tcW w:type="dxa" w:w="8208"/>
          </w:tcPr>
          <w:p>
            <w:pPr>
              <w:spacing w:after="0"/>
            </w:pPr>
            <w:r/>
            <w:r>
              <w:rPr>
                <w:sz w:val="14"/>
              </w:rPr>
              <w:t>ERP component inventory (90 .vue files, grouped)</w:t>
            </w:r>
          </w:p>
        </w:tc>
      </w:tr>
      <w:tr>
        <w:trPr>
          <w:cantSplit/>
        </w:trPr>
        <w:tc>
          <w:tcPr>
            <w:tcW w:type="dxa" w:w="1152"/>
          </w:tcPr>
          <w:p>
            <w:pPr>
              <w:spacing w:after="0"/>
            </w:pPr>
            <w:r/>
            <w:r>
              <w:rPr>
                <w:sz w:val="14"/>
              </w:rPr>
              <w:t>Table 27</w:t>
            </w:r>
          </w:p>
        </w:tc>
        <w:tc>
          <w:tcPr>
            <w:tcW w:type="dxa" w:w="8208"/>
          </w:tcPr>
          <w:p>
            <w:pPr>
              <w:spacing w:after="0"/>
            </w:pPr>
            <w:r/>
            <w:r>
              <w:rPr>
                <w:sz w:val="14"/>
              </w:rPr>
              <w:t>POS identity</w:t>
            </w:r>
          </w:p>
        </w:tc>
      </w:tr>
      <w:tr>
        <w:trPr>
          <w:cantSplit/>
        </w:trPr>
        <w:tc>
          <w:tcPr>
            <w:tcW w:type="dxa" w:w="1152"/>
          </w:tcPr>
          <w:p>
            <w:pPr>
              <w:spacing w:after="0"/>
            </w:pPr>
            <w:r/>
            <w:r>
              <w:rPr>
                <w:sz w:val="14"/>
              </w:rPr>
              <w:t>Table 28</w:t>
            </w:r>
          </w:p>
        </w:tc>
        <w:tc>
          <w:tcPr>
            <w:tcW w:type="dxa" w:w="8208"/>
          </w:tcPr>
          <w:p>
            <w:pPr>
              <w:spacing w:after="0"/>
            </w:pPr>
            <w:r/>
            <w:r>
              <w:rPr>
                <w:sz w:val="14"/>
              </w:rPr>
              <w:t>POS routes</w:t>
            </w:r>
          </w:p>
        </w:tc>
      </w:tr>
      <w:tr>
        <w:trPr>
          <w:cantSplit/>
        </w:trPr>
        <w:tc>
          <w:tcPr>
            <w:tcW w:type="dxa" w:w="1152"/>
          </w:tcPr>
          <w:p>
            <w:pPr>
              <w:spacing w:after="0"/>
            </w:pPr>
            <w:r/>
            <w:r>
              <w:rPr>
                <w:sz w:val="14"/>
              </w:rPr>
              <w:t>Table 29</w:t>
            </w:r>
          </w:p>
        </w:tc>
        <w:tc>
          <w:tcPr>
            <w:tcW w:type="dxa" w:w="8208"/>
          </w:tcPr>
          <w:p>
            <w:pPr>
              <w:spacing w:after="0"/>
            </w:pPr>
            <w:r/>
            <w:r>
              <w:rPr>
                <w:sz w:val="14"/>
              </w:rPr>
              <w:t>POS checkout request and actual response (values from the audit run, one seeded product at 8 000)</w:t>
            </w:r>
          </w:p>
        </w:tc>
      </w:tr>
      <w:tr>
        <w:trPr>
          <w:cantSplit/>
        </w:trPr>
        <w:tc>
          <w:tcPr>
            <w:tcW w:type="dxa" w:w="1152"/>
          </w:tcPr>
          <w:p>
            <w:pPr>
              <w:spacing w:after="0"/>
            </w:pPr>
            <w:r/>
            <w:r>
              <w:rPr>
                <w:sz w:val="14"/>
              </w:rPr>
              <w:t>Table 30</w:t>
            </w:r>
          </w:p>
        </w:tc>
        <w:tc>
          <w:tcPr>
            <w:tcW w:type="dxa" w:w="8208"/>
          </w:tcPr>
          <w:p>
            <w:pPr>
              <w:spacing w:after="0"/>
            </w:pPr>
            <w:r/>
            <w:r>
              <w:rPr>
                <w:sz w:val="14"/>
              </w:rPr>
              <w:t>Shift endpoints</w:t>
            </w:r>
          </w:p>
        </w:tc>
      </w:tr>
      <w:tr>
        <w:trPr>
          <w:cantSplit/>
        </w:trPr>
        <w:tc>
          <w:tcPr>
            <w:tcW w:type="dxa" w:w="1152"/>
          </w:tcPr>
          <w:p>
            <w:pPr>
              <w:spacing w:after="0"/>
            </w:pPr>
            <w:r/>
            <w:r>
              <w:rPr>
                <w:sz w:val="14"/>
              </w:rPr>
              <w:t>Table 31</w:t>
            </w:r>
          </w:p>
        </w:tc>
        <w:tc>
          <w:tcPr>
            <w:tcW w:type="dxa" w:w="8208"/>
          </w:tcPr>
          <w:p>
            <w:pPr>
              <w:spacing w:after="0"/>
            </w:pPr>
            <w:r/>
            <w:r>
              <w:rPr>
                <w:sz w:val="14"/>
              </w:rPr>
              <w:t>POS hardware/browser integration</w:t>
            </w:r>
          </w:p>
        </w:tc>
      </w:tr>
      <w:tr>
        <w:trPr>
          <w:cantSplit/>
        </w:trPr>
        <w:tc>
          <w:tcPr>
            <w:tcW w:type="dxa" w:w="1152"/>
          </w:tcPr>
          <w:p>
            <w:pPr>
              <w:spacing w:after="0"/>
            </w:pPr>
            <w:r/>
            <w:r>
              <w:rPr>
                <w:sz w:val="14"/>
              </w:rPr>
              <w:t>Table 32</w:t>
            </w:r>
          </w:p>
        </w:tc>
        <w:tc>
          <w:tcPr>
            <w:tcW w:type="dxa" w:w="8208"/>
          </w:tcPr>
          <w:p>
            <w:pPr>
              <w:spacing w:after="0"/>
            </w:pPr>
            <w:r/>
            <w:r>
              <w:rPr>
                <w:sz w:val="14"/>
              </w:rPr>
              <w:t>B2B identity</w:t>
            </w:r>
          </w:p>
        </w:tc>
      </w:tr>
      <w:tr>
        <w:trPr>
          <w:cantSplit/>
        </w:trPr>
        <w:tc>
          <w:tcPr>
            <w:tcW w:type="dxa" w:w="1152"/>
          </w:tcPr>
          <w:p>
            <w:pPr>
              <w:spacing w:after="0"/>
            </w:pPr>
            <w:r/>
            <w:r>
              <w:rPr>
                <w:sz w:val="14"/>
              </w:rPr>
              <w:t>Table 33</w:t>
            </w:r>
          </w:p>
        </w:tc>
        <w:tc>
          <w:tcPr>
            <w:tcW w:type="dxa" w:w="8208"/>
          </w:tcPr>
          <w:p>
            <w:pPr>
              <w:spacing w:after="0"/>
            </w:pPr>
            <w:r/>
            <w:r>
              <w:rPr>
                <w:sz w:val="14"/>
              </w:rPr>
              <w:t>B2B pages grouped by area</w:t>
            </w:r>
          </w:p>
        </w:tc>
      </w:tr>
      <w:tr>
        <w:trPr>
          <w:cantSplit/>
        </w:trPr>
        <w:tc>
          <w:tcPr>
            <w:tcW w:type="dxa" w:w="1152"/>
          </w:tcPr>
          <w:p>
            <w:pPr>
              <w:spacing w:after="0"/>
            </w:pPr>
            <w:r/>
            <w:r>
              <w:rPr>
                <w:sz w:val="14"/>
              </w:rPr>
              <w:t>Table 34</w:t>
            </w:r>
          </w:p>
        </w:tc>
        <w:tc>
          <w:tcPr>
            <w:tcW w:type="dxa" w:w="8208"/>
          </w:tcPr>
          <w:p>
            <w:pPr>
              <w:spacing w:after="0"/>
            </w:pPr>
            <w:r/>
            <w:r>
              <w:rPr>
                <w:sz w:val="14"/>
              </w:rPr>
              <w:t>NextReport HTTP surface (apps/nextreport/server.mjs)</w:t>
            </w:r>
          </w:p>
        </w:tc>
      </w:tr>
      <w:tr>
        <w:trPr>
          <w:cantSplit/>
        </w:trPr>
        <w:tc>
          <w:tcPr>
            <w:tcW w:type="dxa" w:w="1152"/>
          </w:tcPr>
          <w:p>
            <w:pPr>
              <w:spacing w:after="0"/>
            </w:pPr>
            <w:r/>
            <w:r>
              <w:rPr>
                <w:sz w:val="14"/>
              </w:rPr>
              <w:t>Table 35</w:t>
            </w:r>
          </w:p>
        </w:tc>
        <w:tc>
          <w:tcPr>
            <w:tcW w:type="dxa" w:w="8208"/>
          </w:tcPr>
          <w:p>
            <w:pPr>
              <w:spacing w:after="0"/>
            </w:pPr>
            <w:r/>
            <w:r>
              <w:rPr>
                <w:sz w:val="14"/>
              </w:rPr>
              <w:t>Seeded report templates (from migration 000064-000088)</w:t>
            </w:r>
          </w:p>
        </w:tc>
      </w:tr>
      <w:tr>
        <w:trPr>
          <w:cantSplit/>
        </w:trPr>
        <w:tc>
          <w:tcPr>
            <w:tcW w:type="dxa" w:w="1152"/>
          </w:tcPr>
          <w:p>
            <w:pPr>
              <w:spacing w:after="0"/>
            </w:pPr>
            <w:r/>
            <w:r>
              <w:rPr>
                <w:sz w:val="14"/>
              </w:rPr>
              <w:t>Table 36</w:t>
            </w:r>
          </w:p>
        </w:tc>
        <w:tc>
          <w:tcPr>
            <w:tcW w:type="dxa" w:w="8208"/>
          </w:tcPr>
          <w:p>
            <w:pPr>
              <w:spacing w:after="0"/>
            </w:pPr>
            <w:r/>
            <w:r>
              <w:rPr>
                <w:sz w:val="14"/>
              </w:rPr>
              <w:t>Shared package inventory</w:t>
            </w:r>
          </w:p>
        </w:tc>
      </w:tr>
      <w:tr>
        <w:trPr>
          <w:cantSplit/>
        </w:trPr>
        <w:tc>
          <w:tcPr>
            <w:tcW w:type="dxa" w:w="1152"/>
          </w:tcPr>
          <w:p>
            <w:pPr>
              <w:spacing w:after="0"/>
            </w:pPr>
            <w:r/>
            <w:r>
              <w:rPr>
                <w:sz w:val="14"/>
              </w:rPr>
              <w:t>Table 37</w:t>
            </w:r>
          </w:p>
        </w:tc>
        <w:tc>
          <w:tcPr>
            <w:tcW w:type="dxa" w:w="8208"/>
          </w:tcPr>
          <w:p>
            <w:pPr>
              <w:spacing w:after="0"/>
            </w:pPr>
            <w:r/>
            <w:r>
              <w:rPr>
                <w:sz w:val="14"/>
              </w:rPr>
              <w:t>pnpm drift:check output at the audited commit</w:t>
            </w:r>
          </w:p>
        </w:tc>
      </w:tr>
      <w:tr>
        <w:trPr>
          <w:cantSplit/>
        </w:trPr>
        <w:tc>
          <w:tcPr>
            <w:tcW w:type="dxa" w:w="1152"/>
          </w:tcPr>
          <w:p>
            <w:pPr>
              <w:spacing w:after="0"/>
            </w:pPr>
            <w:r/>
            <w:r>
              <w:rPr>
                <w:sz w:val="14"/>
              </w:rPr>
              <w:t>Table 38</w:t>
            </w:r>
          </w:p>
        </w:tc>
        <w:tc>
          <w:tcPr>
            <w:tcW w:type="dxa" w:w="8208"/>
          </w:tcPr>
          <w:p>
            <w:pPr>
              <w:spacing w:after="0"/>
            </w:pPr>
            <w:r/>
            <w:r>
              <w:rPr>
                <w:sz w:val="14"/>
              </w:rPr>
              <w:t>Route classes per application</w:t>
            </w:r>
          </w:p>
        </w:tc>
      </w:tr>
      <w:tr>
        <w:trPr>
          <w:cantSplit/>
        </w:trPr>
        <w:tc>
          <w:tcPr>
            <w:tcW w:type="dxa" w:w="1152"/>
          </w:tcPr>
          <w:p>
            <w:pPr>
              <w:spacing w:after="0"/>
            </w:pPr>
            <w:r/>
            <w:r>
              <w:rPr>
                <w:sz w:val="14"/>
              </w:rPr>
              <w:t>Table 39</w:t>
            </w:r>
          </w:p>
        </w:tc>
        <w:tc>
          <w:tcPr>
            <w:tcW w:type="dxa" w:w="8208"/>
          </w:tcPr>
          <w:p>
            <w:pPr>
              <w:spacing w:after="0"/>
            </w:pPr>
            <w:r/>
            <w:r>
              <w:rPr>
                <w:sz w:val="14"/>
              </w:rPr>
              <w:t>B2B page tree (42 files under app/pages)</w:t>
            </w:r>
          </w:p>
        </w:tc>
      </w:tr>
      <w:tr>
        <w:trPr>
          <w:cantSplit/>
        </w:trPr>
        <w:tc>
          <w:tcPr>
            <w:tcW w:type="dxa" w:w="1152"/>
          </w:tcPr>
          <w:p>
            <w:pPr>
              <w:spacing w:after="0"/>
            </w:pPr>
            <w:r/>
            <w:r>
              <w:rPr>
                <w:sz w:val="14"/>
              </w:rPr>
              <w:t>Table 40</w:t>
            </w:r>
          </w:p>
        </w:tc>
        <w:tc>
          <w:tcPr>
            <w:tcW w:type="dxa" w:w="8208"/>
          </w:tcPr>
          <w:p>
            <w:pPr>
              <w:spacing w:after="0"/>
            </w:pPr>
            <w:r/>
            <w:r>
              <w:rPr>
                <w:sz w:val="14"/>
              </w:rPr>
              <w:t>Navigation/reachability reconciliation</w:t>
            </w:r>
          </w:p>
        </w:tc>
      </w:tr>
      <w:tr>
        <w:trPr>
          <w:cantSplit/>
        </w:trPr>
        <w:tc>
          <w:tcPr>
            <w:tcW w:type="dxa" w:w="1152"/>
          </w:tcPr>
          <w:p>
            <w:pPr>
              <w:spacing w:after="0"/>
            </w:pPr>
            <w:r/>
            <w:r>
              <w:rPr>
                <w:sz w:val="14"/>
              </w:rPr>
              <w:t>Table 41</w:t>
            </w:r>
          </w:p>
        </w:tc>
        <w:tc>
          <w:tcPr>
            <w:tcW w:type="dxa" w:w="8208"/>
          </w:tcPr>
          <w:p>
            <w:pPr>
              <w:spacing w:after="0"/>
            </w:pPr>
            <w:r/>
            <w:r>
              <w:rPr>
                <w:sz w:val="14"/>
              </w:rPr>
              <w:t>Domain → table → module map</w:t>
            </w:r>
          </w:p>
        </w:tc>
      </w:tr>
      <w:tr>
        <w:trPr>
          <w:cantSplit/>
        </w:trPr>
        <w:tc>
          <w:tcPr>
            <w:tcW w:type="dxa" w:w="1152"/>
          </w:tcPr>
          <w:p>
            <w:pPr>
              <w:spacing w:after="0"/>
            </w:pPr>
            <w:r/>
            <w:r>
              <w:rPr>
                <w:sz w:val="14"/>
              </w:rPr>
              <w:t>Table 42</w:t>
            </w:r>
          </w:p>
        </w:tc>
        <w:tc>
          <w:tcPr>
            <w:tcW w:type="dxa" w:w="8208"/>
          </w:tcPr>
          <w:p>
            <w:pPr>
              <w:spacing w:after="0"/>
            </w:pPr>
            <w:r/>
            <w:r>
              <w:rPr>
                <w:sz w:val="14"/>
              </w:rPr>
              <w:t>Aggregate invariants and where they live</w:t>
            </w:r>
          </w:p>
        </w:tc>
      </w:tr>
      <w:tr>
        <w:trPr>
          <w:cantSplit/>
        </w:trPr>
        <w:tc>
          <w:tcPr>
            <w:tcW w:type="dxa" w:w="1152"/>
          </w:tcPr>
          <w:p>
            <w:pPr>
              <w:spacing w:after="0"/>
            </w:pPr>
            <w:r/>
            <w:r>
              <w:rPr>
                <w:sz w:val="14"/>
              </w:rPr>
              <w:t>Table 43</w:t>
            </w:r>
          </w:p>
        </w:tc>
        <w:tc>
          <w:tcPr>
            <w:tcW w:type="dxa" w:w="8208"/>
          </w:tcPr>
          <w:p>
            <w:pPr>
              <w:spacing w:after="0"/>
            </w:pPr>
            <w:r/>
            <w:r>
              <w:rPr>
                <w:sz w:val="14"/>
              </w:rPr>
              <w:t>Workflow index (detail follows for the nine most operationally significant)</w:t>
            </w:r>
          </w:p>
        </w:tc>
      </w:tr>
      <w:tr>
        <w:trPr>
          <w:cantSplit/>
        </w:trPr>
        <w:tc>
          <w:tcPr>
            <w:tcW w:type="dxa" w:w="1152"/>
          </w:tcPr>
          <w:p>
            <w:pPr>
              <w:spacing w:after="0"/>
            </w:pPr>
            <w:r/>
            <w:r>
              <w:rPr>
                <w:sz w:val="14"/>
              </w:rPr>
              <w:t>Table 44</w:t>
            </w:r>
          </w:p>
        </w:tc>
        <w:tc>
          <w:tcPr>
            <w:tcW w:type="dxa" w:w="8208"/>
          </w:tcPr>
          <w:p>
            <w:pPr>
              <w:spacing w:after="0"/>
            </w:pPr>
            <w:r/>
            <w:r>
              <w:rPr>
                <w:sz w:val="14"/>
              </w:rPr>
              <w:t>POS checkout step trace</w:t>
            </w:r>
          </w:p>
        </w:tc>
      </w:tr>
      <w:tr>
        <w:trPr>
          <w:cantSplit/>
        </w:trPr>
        <w:tc>
          <w:tcPr>
            <w:tcW w:type="dxa" w:w="1152"/>
          </w:tcPr>
          <w:p>
            <w:pPr>
              <w:spacing w:after="0"/>
            </w:pPr>
            <w:r/>
            <w:r>
              <w:rPr>
                <w:sz w:val="14"/>
              </w:rPr>
              <w:t>Table 45</w:t>
            </w:r>
          </w:p>
        </w:tc>
        <w:tc>
          <w:tcPr>
            <w:tcW w:type="dxa" w:w="8208"/>
          </w:tcPr>
          <w:p>
            <w:pPr>
              <w:spacing w:after="0"/>
            </w:pPr>
            <w:r/>
            <w:r>
              <w:rPr>
                <w:sz w:val="14"/>
              </w:rPr>
              <w:t>Sales-order state transitions</w:t>
            </w:r>
          </w:p>
        </w:tc>
      </w:tr>
      <w:tr>
        <w:trPr>
          <w:cantSplit/>
        </w:trPr>
        <w:tc>
          <w:tcPr>
            <w:tcW w:type="dxa" w:w="1152"/>
          </w:tcPr>
          <w:p>
            <w:pPr>
              <w:spacing w:after="0"/>
            </w:pPr>
            <w:r/>
            <w:r>
              <w:rPr>
                <w:sz w:val="14"/>
              </w:rPr>
              <w:t>Table 46</w:t>
            </w:r>
          </w:p>
        </w:tc>
        <w:tc>
          <w:tcPr>
            <w:tcW w:type="dxa" w:w="8208"/>
          </w:tcPr>
          <w:p>
            <w:pPr>
              <w:spacing w:after="0"/>
            </w:pPr>
            <w:r/>
            <w:r>
              <w:rPr>
                <w:sz w:val="14"/>
              </w:rPr>
              <w:t>Purchasing workflow</w:t>
            </w:r>
          </w:p>
        </w:tc>
      </w:tr>
      <w:tr>
        <w:trPr>
          <w:cantSplit/>
        </w:trPr>
        <w:tc>
          <w:tcPr>
            <w:tcW w:type="dxa" w:w="1152"/>
          </w:tcPr>
          <w:p>
            <w:pPr>
              <w:spacing w:after="0"/>
            </w:pPr>
            <w:r/>
            <w:r>
              <w:rPr>
                <w:sz w:val="14"/>
              </w:rPr>
              <w:t>Table 47</w:t>
            </w:r>
          </w:p>
        </w:tc>
        <w:tc>
          <w:tcPr>
            <w:tcW w:type="dxa" w:w="8208"/>
          </w:tcPr>
          <w:p>
            <w:pPr>
              <w:spacing w:after="0"/>
            </w:pPr>
            <w:r/>
            <w:r>
              <w:rPr>
                <w:sz w:val="14"/>
              </w:rPr>
              <w:t>Database architecture facts</w:t>
            </w:r>
          </w:p>
        </w:tc>
      </w:tr>
      <w:tr>
        <w:trPr>
          <w:cantSplit/>
        </w:trPr>
        <w:tc>
          <w:tcPr>
            <w:tcW w:type="dxa" w:w="1152"/>
          </w:tcPr>
          <w:p>
            <w:pPr>
              <w:spacing w:after="0"/>
            </w:pPr>
            <w:r/>
            <w:r>
              <w:rPr>
                <w:sz w:val="14"/>
              </w:rPr>
              <w:t>Table 48</w:t>
            </w:r>
          </w:p>
        </w:tc>
        <w:tc>
          <w:tcPr>
            <w:tcW w:type="dxa" w:w="8208"/>
          </w:tcPr>
          <w:p>
            <w:pPr>
              <w:spacing w:after="0"/>
            </w:pPr>
            <w:r/>
            <w:r>
              <w:rPr>
                <w:sz w:val="14"/>
              </w:rPr>
              <w:t>Database object census (after applying all 123 migrations)</w:t>
            </w:r>
          </w:p>
        </w:tc>
      </w:tr>
      <w:tr>
        <w:trPr>
          <w:cantSplit/>
        </w:trPr>
        <w:tc>
          <w:tcPr>
            <w:tcW w:type="dxa" w:w="1152"/>
          </w:tcPr>
          <w:p>
            <w:pPr>
              <w:spacing w:after="0"/>
            </w:pPr>
            <w:r/>
            <w:r>
              <w:rPr>
                <w:sz w:val="14"/>
              </w:rPr>
              <w:t>Table 49</w:t>
            </w:r>
          </w:p>
        </w:tc>
        <w:tc>
          <w:tcPr>
            <w:tcW w:type="dxa" w:w="8208"/>
          </w:tcPr>
          <w:p>
            <w:pPr>
              <w:spacing w:after="0"/>
            </w:pPr>
            <w:r/>
            <w:r>
              <w:rPr>
                <w:sz w:val="14"/>
              </w:rPr>
              <w:t>Table inventory (92 tables; column counts from information_schema)</w:t>
            </w:r>
          </w:p>
        </w:tc>
      </w:tr>
      <w:tr>
        <w:trPr>
          <w:cantSplit/>
        </w:trPr>
        <w:tc>
          <w:tcPr>
            <w:tcW w:type="dxa" w:w="1152"/>
          </w:tcPr>
          <w:p>
            <w:pPr>
              <w:spacing w:after="0"/>
            </w:pPr>
            <w:r/>
            <w:r>
              <w:rPr>
                <w:sz w:val="14"/>
              </w:rPr>
              <w:t>Table 50</w:t>
            </w:r>
          </w:p>
        </w:tc>
        <w:tc>
          <w:tcPr>
            <w:tcW w:type="dxa" w:w="8208"/>
          </w:tcPr>
          <w:p>
            <w:pPr>
              <w:spacing w:after="0"/>
            </w:pPr>
            <w:r/>
            <w:r>
              <w:rPr>
                <w:sz w:val="14"/>
              </w:rPr>
              <w:t>Migration history in execution order (123 files)</w:t>
            </w:r>
          </w:p>
        </w:tc>
      </w:tr>
      <w:tr>
        <w:trPr>
          <w:cantSplit/>
        </w:trPr>
        <w:tc>
          <w:tcPr>
            <w:tcW w:type="dxa" w:w="1152"/>
          </w:tcPr>
          <w:p>
            <w:pPr>
              <w:spacing w:after="0"/>
            </w:pPr>
            <w:r/>
            <w:r>
              <w:rPr>
                <w:sz w:val="14"/>
              </w:rPr>
              <w:t>Table 51</w:t>
            </w:r>
          </w:p>
        </w:tc>
        <w:tc>
          <w:tcPr>
            <w:tcW w:type="dxa" w:w="8208"/>
          </w:tcPr>
          <w:p>
            <w:pPr>
              <w:spacing w:after="0"/>
            </w:pPr>
            <w:r/>
            <w:r>
              <w:rPr>
                <w:sz w:val="14"/>
              </w:rPr>
              <w:t>Database functions</w:t>
            </w:r>
          </w:p>
        </w:tc>
      </w:tr>
      <w:tr>
        <w:trPr>
          <w:cantSplit/>
        </w:trPr>
        <w:tc>
          <w:tcPr>
            <w:tcW w:type="dxa" w:w="1152"/>
          </w:tcPr>
          <w:p>
            <w:pPr>
              <w:spacing w:after="0"/>
            </w:pPr>
            <w:r/>
            <w:r>
              <w:rPr>
                <w:sz w:val="14"/>
              </w:rPr>
              <w:t>Table 52</w:t>
            </w:r>
          </w:p>
        </w:tc>
        <w:tc>
          <w:tcPr>
            <w:tcW w:type="dxa" w:w="8208"/>
          </w:tcPr>
          <w:p>
            <w:pPr>
              <w:spacing w:after="0"/>
            </w:pPr>
            <w:r/>
            <w:r>
              <w:rPr>
                <w:sz w:val="14"/>
              </w:rPr>
              <w:t>Triggers</w:t>
            </w:r>
          </w:p>
        </w:tc>
      </w:tr>
      <w:tr>
        <w:trPr>
          <w:cantSplit/>
        </w:trPr>
        <w:tc>
          <w:tcPr>
            <w:tcW w:type="dxa" w:w="1152"/>
          </w:tcPr>
          <w:p>
            <w:pPr>
              <w:spacing w:after="0"/>
            </w:pPr>
            <w:r/>
            <w:r>
              <w:rPr>
                <w:sz w:val="14"/>
              </w:rPr>
              <w:t>Table 53</w:t>
            </w:r>
          </w:p>
        </w:tc>
        <w:tc>
          <w:tcPr>
            <w:tcW w:type="dxa" w:w="8208"/>
          </w:tcPr>
          <w:p>
            <w:pPr>
              <w:spacing w:after="0"/>
            </w:pPr>
            <w:r/>
            <w:r>
              <w:rPr>
                <w:sz w:val="14"/>
              </w:rPr>
              <w:t>Indexes that carry business meaning</w:t>
            </w:r>
          </w:p>
        </w:tc>
      </w:tr>
      <w:tr>
        <w:trPr>
          <w:cantSplit/>
        </w:trPr>
        <w:tc>
          <w:tcPr>
            <w:tcW w:type="dxa" w:w="1152"/>
          </w:tcPr>
          <w:p>
            <w:pPr>
              <w:spacing w:after="0"/>
            </w:pPr>
            <w:r/>
            <w:r>
              <w:rPr>
                <w:sz w:val="14"/>
              </w:rPr>
              <w:t>Table 54</w:t>
            </w:r>
          </w:p>
        </w:tc>
        <w:tc>
          <w:tcPr>
            <w:tcW w:type="dxa" w:w="8208"/>
          </w:tcPr>
          <w:p>
            <w:pPr>
              <w:spacing w:after="0"/>
            </w:pPr>
            <w:r/>
            <w:r>
              <w:rPr>
                <w:sz w:val="14"/>
              </w:rPr>
              <w:t>State vocabularies enforced by CHECK constraints</w:t>
            </w:r>
          </w:p>
        </w:tc>
      </w:tr>
      <w:tr>
        <w:trPr>
          <w:cantSplit/>
        </w:trPr>
        <w:tc>
          <w:tcPr>
            <w:tcW w:type="dxa" w:w="1152"/>
          </w:tcPr>
          <w:p>
            <w:pPr>
              <w:spacing w:after="0"/>
            </w:pPr>
            <w:r/>
            <w:r>
              <w:rPr>
                <w:sz w:val="14"/>
              </w:rPr>
              <w:t>Table 55</w:t>
            </w:r>
          </w:p>
        </w:tc>
        <w:tc>
          <w:tcPr>
            <w:tcW w:type="dxa" w:w="8208"/>
          </w:tcPr>
          <w:p>
            <w:pPr>
              <w:spacing w:after="0"/>
            </w:pPr>
            <w:r/>
            <w:r>
              <w:rPr>
                <w:sz w:val="14"/>
              </w:rPr>
              <w:t>Relationship index, distinguishing declared FKs from logical links</w:t>
            </w:r>
          </w:p>
        </w:tc>
      </w:tr>
      <w:tr>
        <w:trPr>
          <w:cantSplit/>
        </w:trPr>
        <w:tc>
          <w:tcPr>
            <w:tcW w:type="dxa" w:w="1152"/>
          </w:tcPr>
          <w:p>
            <w:pPr>
              <w:spacing w:after="0"/>
            </w:pPr>
            <w:r/>
            <w:r>
              <w:rPr>
                <w:sz w:val="14"/>
              </w:rPr>
              <w:t>Table 56</w:t>
            </w:r>
          </w:p>
        </w:tc>
        <w:tc>
          <w:tcPr>
            <w:tcW w:type="dxa" w:w="8208"/>
          </w:tcPr>
          <w:p>
            <w:pPr>
              <w:spacing w:after="0"/>
            </w:pPr>
            <w:r/>
            <w:r>
              <w:rPr>
                <w:sz w:val="14"/>
              </w:rPr>
              <w:t>API conventions</w:t>
            </w:r>
          </w:p>
        </w:tc>
      </w:tr>
      <w:tr>
        <w:trPr>
          <w:cantSplit/>
        </w:trPr>
        <w:tc>
          <w:tcPr>
            <w:tcW w:type="dxa" w:w="1152"/>
          </w:tcPr>
          <w:p>
            <w:pPr>
              <w:spacing w:after="0"/>
            </w:pPr>
            <w:r/>
            <w:r>
              <w:rPr>
                <w:sz w:val="14"/>
              </w:rPr>
              <w:t>Table 57</w:t>
            </w:r>
          </w:p>
        </w:tc>
        <w:tc>
          <w:tcPr>
            <w:tcW w:type="dxa" w:w="8208"/>
          </w:tcPr>
          <w:p>
            <w:pPr>
              <w:spacing w:after="0"/>
            </w:pPr>
            <w:r/>
            <w:r>
              <w:rPr>
                <w:sz w:val="14"/>
              </w:rPr>
              <w:t>373 operations by OpenAPI tag</w:t>
            </w:r>
          </w:p>
        </w:tc>
      </w:tr>
      <w:tr>
        <w:trPr>
          <w:cantSplit/>
        </w:trPr>
        <w:tc>
          <w:tcPr>
            <w:tcW w:type="dxa" w:w="1152"/>
          </w:tcPr>
          <w:p>
            <w:pPr>
              <w:spacing w:after="0"/>
            </w:pPr>
            <w:r/>
            <w:r>
              <w:rPr>
                <w:sz w:val="14"/>
              </w:rPr>
              <w:t>Table 58</w:t>
            </w:r>
          </w:p>
        </w:tc>
        <w:tc>
          <w:tcPr>
            <w:tcW w:type="dxa" w:w="8208"/>
          </w:tcPr>
          <w:p>
            <w:pPr>
              <w:spacing w:after="0"/>
            </w:pPr>
            <w:r/>
            <w:r>
              <w:rPr>
                <w:sz w:val="14"/>
              </w:rPr>
              <w:t>Public catalogue read, actual response from the audit run (purchase_price is absent — it requires inventory.cost.view)</w:t>
            </w:r>
          </w:p>
        </w:tc>
      </w:tr>
      <w:tr>
        <w:trPr>
          <w:cantSplit/>
        </w:trPr>
        <w:tc>
          <w:tcPr>
            <w:tcW w:type="dxa" w:w="1152"/>
          </w:tcPr>
          <w:p>
            <w:pPr>
              <w:spacing w:after="0"/>
            </w:pPr>
            <w:r/>
            <w:r>
              <w:rPr>
                <w:sz w:val="14"/>
              </w:rPr>
              <w:t>Table 59</w:t>
            </w:r>
          </w:p>
        </w:tc>
        <w:tc>
          <w:tcPr>
            <w:tcW w:type="dxa" w:w="8208"/>
          </w:tcPr>
          <w:p>
            <w:pPr>
              <w:spacing w:after="0"/>
            </w:pPr>
            <w:r/>
            <w:r>
              <w:rPr>
                <w:sz w:val="14"/>
              </w:rPr>
              <w:t>Contract layers and their reconciliation result</w:t>
            </w:r>
          </w:p>
        </w:tc>
      </w:tr>
      <w:tr>
        <w:trPr>
          <w:cantSplit/>
        </w:trPr>
        <w:tc>
          <w:tcPr>
            <w:tcW w:type="dxa" w:w="1152"/>
          </w:tcPr>
          <w:p>
            <w:pPr>
              <w:spacing w:after="0"/>
            </w:pPr>
            <w:r/>
            <w:r>
              <w:rPr>
                <w:sz w:val="14"/>
              </w:rPr>
              <w:t>Table 60</w:t>
            </w:r>
          </w:p>
        </w:tc>
        <w:tc>
          <w:tcPr>
            <w:tcW w:type="dxa" w:w="8208"/>
          </w:tcPr>
          <w:p>
            <w:pPr>
              <w:spacing w:after="0"/>
            </w:pPr>
            <w:r/>
            <w:r>
              <w:rPr>
                <w:sz w:val="14"/>
              </w:rPr>
              <w:t>Authentication controls</w:t>
            </w:r>
          </w:p>
        </w:tc>
      </w:tr>
      <w:tr>
        <w:trPr>
          <w:cantSplit/>
        </w:trPr>
        <w:tc>
          <w:tcPr>
            <w:tcW w:type="dxa" w:w="1152"/>
          </w:tcPr>
          <w:p>
            <w:pPr>
              <w:spacing w:after="0"/>
            </w:pPr>
            <w:r/>
            <w:r>
              <w:rPr>
                <w:sz w:val="14"/>
              </w:rPr>
              <w:t>Table 61</w:t>
            </w:r>
          </w:p>
        </w:tc>
        <w:tc>
          <w:tcPr>
            <w:tcW w:type="dxa" w:w="8208"/>
          </w:tcPr>
          <w:p>
            <w:pPr>
              <w:spacing w:after="0"/>
            </w:pPr>
            <w:r/>
            <w:r>
              <w:rPr>
                <w:sz w:val="14"/>
              </w:rPr>
              <w:t>Authorisation rules and their consequences</w:t>
            </w:r>
          </w:p>
        </w:tc>
      </w:tr>
      <w:tr>
        <w:trPr>
          <w:cantSplit/>
        </w:trPr>
        <w:tc>
          <w:tcPr>
            <w:tcW w:type="dxa" w:w="1152"/>
          </w:tcPr>
          <w:p>
            <w:pPr>
              <w:spacing w:after="0"/>
            </w:pPr>
            <w:r/>
            <w:r>
              <w:rPr>
                <w:sz w:val="14"/>
              </w:rPr>
              <w:t>Table 62</w:t>
            </w:r>
          </w:p>
        </w:tc>
        <w:tc>
          <w:tcPr>
            <w:tcW w:type="dxa" w:w="8208"/>
          </w:tcPr>
          <w:p>
            <w:pPr>
              <w:spacing w:after="0"/>
            </w:pPr>
            <w:r/>
            <w:r>
              <w:rPr>
                <w:sz w:val="14"/>
              </w:rPr>
              <w:t>Application access values</w:t>
            </w:r>
          </w:p>
        </w:tc>
      </w:tr>
      <w:tr>
        <w:trPr>
          <w:cantSplit/>
        </w:trPr>
        <w:tc>
          <w:tcPr>
            <w:tcW w:type="dxa" w:w="1152"/>
          </w:tcPr>
          <w:p>
            <w:pPr>
              <w:spacing w:after="0"/>
            </w:pPr>
            <w:r/>
            <w:r>
              <w:rPr>
                <w:sz w:val="14"/>
              </w:rPr>
              <w:t>Table 63</w:t>
            </w:r>
          </w:p>
        </w:tc>
        <w:tc>
          <w:tcPr>
            <w:tcW w:type="dxa" w:w="8208"/>
          </w:tcPr>
          <w:p>
            <w:pPr>
              <w:spacing w:after="0"/>
            </w:pPr>
            <w:r/>
            <w:r>
              <w:rPr>
                <w:sz w:val="14"/>
              </w:rPr>
              <w:t>Input, upload and secret controls</w:t>
            </w:r>
          </w:p>
        </w:tc>
      </w:tr>
      <w:tr>
        <w:trPr>
          <w:cantSplit/>
        </w:trPr>
        <w:tc>
          <w:tcPr>
            <w:tcW w:type="dxa" w:w="1152"/>
          </w:tcPr>
          <w:p>
            <w:pPr>
              <w:spacing w:after="0"/>
            </w:pPr>
            <w:r/>
            <w:r>
              <w:rPr>
                <w:sz w:val="14"/>
              </w:rPr>
              <w:t>Table 64</w:t>
            </w:r>
          </w:p>
        </w:tc>
        <w:tc>
          <w:tcPr>
            <w:tcW w:type="dxa" w:w="8208"/>
          </w:tcPr>
          <w:p>
            <w:pPr>
              <w:spacing w:after="0"/>
            </w:pPr>
            <w:r/>
            <w:r>
              <w:rPr>
                <w:sz w:val="14"/>
              </w:rPr>
              <w:t>Permission catalogue groups</w:t>
            </w:r>
          </w:p>
        </w:tc>
      </w:tr>
      <w:tr>
        <w:trPr>
          <w:cantSplit/>
        </w:trPr>
        <w:tc>
          <w:tcPr>
            <w:tcW w:type="dxa" w:w="1152"/>
          </w:tcPr>
          <w:p>
            <w:pPr>
              <w:spacing w:after="0"/>
            </w:pPr>
            <w:r/>
            <w:r>
              <w:rPr>
                <w:sz w:val="14"/>
              </w:rPr>
              <w:t>Table 65</w:t>
            </w:r>
          </w:p>
        </w:tc>
        <w:tc>
          <w:tcPr>
            <w:tcW w:type="dxa" w:w="8208"/>
          </w:tcPr>
          <w:p>
            <w:pPr>
              <w:spacing w:after="0"/>
            </w:pPr>
            <w:r/>
            <w:r>
              <w:rPr>
                <w:sz w:val="14"/>
              </w:rPr>
              <w:t>Seeded roles and their row counts (from role_permissions after all migrations)</w:t>
            </w:r>
          </w:p>
        </w:tc>
      </w:tr>
      <w:tr>
        <w:trPr>
          <w:cantSplit/>
        </w:trPr>
        <w:tc>
          <w:tcPr>
            <w:tcW w:type="dxa" w:w="1152"/>
          </w:tcPr>
          <w:p>
            <w:pPr>
              <w:spacing w:after="0"/>
            </w:pPr>
            <w:r/>
            <w:r>
              <w:rPr>
                <w:sz w:val="14"/>
              </w:rPr>
              <w:t>Table 66</w:t>
            </w:r>
          </w:p>
        </w:tc>
        <w:tc>
          <w:tcPr>
            <w:tcW w:type="dxa" w:w="8208"/>
          </w:tcPr>
          <w:p>
            <w:pPr>
              <w:spacing w:after="0"/>
            </w:pPr>
            <w:r/>
            <w:r>
              <w:rPr>
                <w:sz w:val="14"/>
              </w:rPr>
              <w:t>Role × capability matrix, measured from role_permissions after all migrations</w:t>
            </w:r>
          </w:p>
        </w:tc>
      </w:tr>
      <w:tr>
        <w:trPr>
          <w:cantSplit/>
        </w:trPr>
        <w:tc>
          <w:tcPr>
            <w:tcW w:type="dxa" w:w="1152"/>
          </w:tcPr>
          <w:p>
            <w:pPr>
              <w:spacing w:after="0"/>
            </w:pPr>
            <w:r/>
            <w:r>
              <w:rPr>
                <w:sz w:val="14"/>
              </w:rPr>
              <w:t>Table 67</w:t>
            </w:r>
          </w:p>
        </w:tc>
        <w:tc>
          <w:tcPr>
            <w:tcW w:type="dxa" w:w="8208"/>
          </w:tcPr>
          <w:p>
            <w:pPr>
              <w:spacing w:after="0"/>
            </w:pPr>
            <w:r/>
            <w:r>
              <w:rPr>
                <w:sz w:val="14"/>
              </w:rPr>
              <w:t>Backend environment variables (36)</w:t>
            </w:r>
          </w:p>
        </w:tc>
      </w:tr>
      <w:tr>
        <w:trPr>
          <w:cantSplit/>
        </w:trPr>
        <w:tc>
          <w:tcPr>
            <w:tcW w:type="dxa" w:w="1152"/>
          </w:tcPr>
          <w:p>
            <w:pPr>
              <w:spacing w:after="0"/>
            </w:pPr>
            <w:r/>
            <w:r>
              <w:rPr>
                <w:sz w:val="14"/>
              </w:rPr>
              <w:t>Table 68</w:t>
            </w:r>
          </w:p>
        </w:tc>
        <w:tc>
          <w:tcPr>
            <w:tcW w:type="dxa" w:w="8208"/>
          </w:tcPr>
          <w:p>
            <w:pPr>
              <w:spacing w:after="0"/>
            </w:pPr>
            <w:r/>
            <w:r>
              <w:rPr>
                <w:sz w:val="14"/>
              </w:rPr>
              <w:t>Frontend environment variables (public build-time unless noted)</w:t>
            </w:r>
          </w:p>
        </w:tc>
      </w:tr>
      <w:tr>
        <w:trPr>
          <w:cantSplit/>
        </w:trPr>
        <w:tc>
          <w:tcPr>
            <w:tcW w:type="dxa" w:w="1152"/>
          </w:tcPr>
          <w:p>
            <w:pPr>
              <w:spacing w:after="0"/>
            </w:pPr>
            <w:r/>
            <w:r>
              <w:rPr>
                <w:sz w:val="14"/>
              </w:rPr>
              <w:t>Table 69</w:t>
            </w:r>
          </w:p>
        </w:tc>
        <w:tc>
          <w:tcPr>
            <w:tcW w:type="dxa" w:w="8208"/>
          </w:tcPr>
          <w:p>
            <w:pPr>
              <w:spacing w:after="0"/>
            </w:pPr>
            <w:r/>
            <w:r>
              <w:rPr>
                <w:sz w:val="14"/>
              </w:rPr>
              <w:t>Configuration issues</w:t>
            </w:r>
          </w:p>
        </w:tc>
      </w:tr>
      <w:tr>
        <w:trPr>
          <w:cantSplit/>
        </w:trPr>
        <w:tc>
          <w:tcPr>
            <w:tcW w:type="dxa" w:w="1152"/>
          </w:tcPr>
          <w:p>
            <w:pPr>
              <w:spacing w:after="0"/>
            </w:pPr>
            <w:r/>
            <w:r>
              <w:rPr>
                <w:sz w:val="14"/>
              </w:rPr>
              <w:t>Table 70</w:t>
            </w:r>
          </w:p>
        </w:tc>
        <w:tc>
          <w:tcPr>
            <w:tcW w:type="dxa" w:w="8208"/>
          </w:tcPr>
          <w:p>
            <w:pPr>
              <w:spacing w:after="0"/>
            </w:pPr>
            <w:r/>
            <w:r>
              <w:rPr>
                <w:sz w:val="14"/>
              </w:rPr>
              <w:t>Login troubleshooting</w:t>
            </w:r>
          </w:p>
        </w:tc>
      </w:tr>
      <w:tr>
        <w:trPr>
          <w:cantSplit/>
        </w:trPr>
        <w:tc>
          <w:tcPr>
            <w:tcW w:type="dxa" w:w="1152"/>
          </w:tcPr>
          <w:p>
            <w:pPr>
              <w:spacing w:after="0"/>
            </w:pPr>
            <w:r/>
            <w:r>
              <w:rPr>
                <w:sz w:val="14"/>
              </w:rPr>
              <w:t>Table 71</w:t>
            </w:r>
          </w:p>
        </w:tc>
        <w:tc>
          <w:tcPr>
            <w:tcW w:type="dxa" w:w="8208"/>
          </w:tcPr>
          <w:p>
            <w:pPr>
              <w:spacing w:after="0"/>
            </w:pPr>
            <w:r/>
            <w:r>
              <w:rPr>
                <w:sz w:val="14"/>
              </w:rPr>
              <w:t>Stock operations</w:t>
            </w:r>
          </w:p>
        </w:tc>
      </w:tr>
      <w:tr>
        <w:trPr>
          <w:cantSplit/>
        </w:trPr>
        <w:tc>
          <w:tcPr>
            <w:tcW w:type="dxa" w:w="1152"/>
          </w:tcPr>
          <w:p>
            <w:pPr>
              <w:spacing w:after="0"/>
            </w:pPr>
            <w:r/>
            <w:r>
              <w:rPr>
                <w:sz w:val="14"/>
              </w:rPr>
              <w:t>Table 72</w:t>
            </w:r>
          </w:p>
        </w:tc>
        <w:tc>
          <w:tcPr>
            <w:tcW w:type="dxa" w:w="8208"/>
          </w:tcPr>
          <w:p>
            <w:pPr>
              <w:spacing w:after="0"/>
            </w:pPr>
            <w:r/>
            <w:r>
              <w:rPr>
                <w:sz w:val="14"/>
              </w:rPr>
              <w:t>Recovery table for common failures</w:t>
            </w:r>
          </w:p>
        </w:tc>
      </w:tr>
      <w:tr>
        <w:trPr>
          <w:cantSplit/>
        </w:trPr>
        <w:tc>
          <w:tcPr>
            <w:tcW w:type="dxa" w:w="1152"/>
          </w:tcPr>
          <w:p>
            <w:pPr>
              <w:spacing w:after="0"/>
            </w:pPr>
            <w:r/>
            <w:r>
              <w:rPr>
                <w:sz w:val="14"/>
              </w:rPr>
              <w:t>Table 73</w:t>
            </w:r>
          </w:p>
        </w:tc>
        <w:tc>
          <w:tcPr>
            <w:tcW w:type="dxa" w:w="8208"/>
          </w:tcPr>
          <w:p>
            <w:pPr>
              <w:spacing w:after="0"/>
            </w:pPr>
            <w:r/>
            <w:r>
              <w:rPr>
                <w:sz w:val="14"/>
              </w:rPr>
              <w:t>Prerequisites</w:t>
            </w:r>
          </w:p>
        </w:tc>
      </w:tr>
      <w:tr>
        <w:trPr>
          <w:cantSplit/>
        </w:trPr>
        <w:tc>
          <w:tcPr>
            <w:tcW w:type="dxa" w:w="1152"/>
          </w:tcPr>
          <w:p>
            <w:pPr>
              <w:spacing w:after="0"/>
            </w:pPr>
            <w:r/>
            <w:r>
              <w:rPr>
                <w:sz w:val="14"/>
              </w:rPr>
              <w:t>Table 74</w:t>
            </w:r>
          </w:p>
        </w:tc>
        <w:tc>
          <w:tcPr>
            <w:tcW w:type="dxa" w:w="8208"/>
          </w:tcPr>
          <w:p>
            <w:pPr>
              <w:spacing w:after="0"/>
            </w:pPr>
            <w:r/>
            <w:r>
              <w:rPr>
                <w:sz w:val="14"/>
              </w:rPr>
              <w:t>Verified first-run sequence</w:t>
            </w:r>
          </w:p>
        </w:tc>
      </w:tr>
      <w:tr>
        <w:trPr>
          <w:cantSplit/>
        </w:trPr>
        <w:tc>
          <w:tcPr>
            <w:tcW w:type="dxa" w:w="1152"/>
          </w:tcPr>
          <w:p>
            <w:pPr>
              <w:spacing w:after="0"/>
            </w:pPr>
            <w:r/>
            <w:r>
              <w:rPr>
                <w:sz w:val="14"/>
              </w:rPr>
              <w:t>Table 75</w:t>
            </w:r>
          </w:p>
        </w:tc>
        <w:tc>
          <w:tcPr>
            <w:tcW w:type="dxa" w:w="8208"/>
          </w:tcPr>
          <w:p>
            <w:pPr>
              <w:spacing w:after="0"/>
            </w:pPr>
            <w:r/>
            <w:r>
              <w:rPr>
                <w:sz w:val="14"/>
              </w:rPr>
              <w:t>Seed layers</w:t>
            </w:r>
          </w:p>
        </w:tc>
      </w:tr>
      <w:tr>
        <w:trPr>
          <w:cantSplit/>
        </w:trPr>
        <w:tc>
          <w:tcPr>
            <w:tcW w:type="dxa" w:w="1152"/>
          </w:tcPr>
          <w:p>
            <w:pPr>
              <w:spacing w:after="0"/>
            </w:pPr>
            <w:r/>
            <w:r>
              <w:rPr>
                <w:sz w:val="14"/>
              </w:rPr>
              <w:t>Table 76</w:t>
            </w:r>
          </w:p>
        </w:tc>
        <w:tc>
          <w:tcPr>
            <w:tcW w:type="dxa" w:w="8208"/>
          </w:tcPr>
          <w:p>
            <w:pPr>
              <w:spacing w:after="0"/>
            </w:pPr>
            <w:r/>
            <w:r>
              <w:rPr>
                <w:sz w:val="14"/>
              </w:rPr>
              <w:t>Test commands</w:t>
            </w:r>
          </w:p>
        </w:tc>
      </w:tr>
      <w:tr>
        <w:trPr>
          <w:cantSplit/>
        </w:trPr>
        <w:tc>
          <w:tcPr>
            <w:tcW w:type="dxa" w:w="1152"/>
          </w:tcPr>
          <w:p>
            <w:pPr>
              <w:spacing w:after="0"/>
            </w:pPr>
            <w:r/>
            <w:r>
              <w:rPr>
                <w:sz w:val="14"/>
              </w:rPr>
              <w:t>Table 77</w:t>
            </w:r>
          </w:p>
        </w:tc>
        <w:tc>
          <w:tcPr>
            <w:tcW w:type="dxa" w:w="8208"/>
          </w:tcPr>
          <w:p>
            <w:pPr>
              <w:spacing w:after="0"/>
            </w:pPr>
            <w:r/>
            <w:r>
              <w:rPr>
                <w:sz w:val="14"/>
              </w:rPr>
              <w:t>Extension recipes</w:t>
            </w:r>
          </w:p>
        </w:tc>
      </w:tr>
      <w:tr>
        <w:trPr>
          <w:cantSplit/>
        </w:trPr>
        <w:tc>
          <w:tcPr>
            <w:tcW w:type="dxa" w:w="1152"/>
          </w:tcPr>
          <w:p>
            <w:pPr>
              <w:spacing w:after="0"/>
            </w:pPr>
            <w:r/>
            <w:r>
              <w:rPr>
                <w:sz w:val="14"/>
              </w:rPr>
              <w:t>Table 78</w:t>
            </w:r>
          </w:p>
        </w:tc>
        <w:tc>
          <w:tcPr>
            <w:tcW w:type="dxa" w:w="8208"/>
          </w:tcPr>
          <w:p>
            <w:pPr>
              <w:spacing w:after="0"/>
            </w:pPr>
            <w:r/>
            <w:r>
              <w:rPr>
                <w:sz w:val="14"/>
              </w:rPr>
              <w:t>Test inventory and execution status</w:t>
            </w:r>
          </w:p>
        </w:tc>
      </w:tr>
      <w:tr>
        <w:trPr>
          <w:cantSplit/>
        </w:trPr>
        <w:tc>
          <w:tcPr>
            <w:tcW w:type="dxa" w:w="1152"/>
          </w:tcPr>
          <w:p>
            <w:pPr>
              <w:spacing w:after="0"/>
            </w:pPr>
            <w:r/>
            <w:r>
              <w:rPr>
                <w:sz w:val="14"/>
              </w:rPr>
              <w:t>Table 79</w:t>
            </w:r>
          </w:p>
        </w:tc>
        <w:tc>
          <w:tcPr>
            <w:tcW w:type="dxa" w:w="8208"/>
          </w:tcPr>
          <w:p>
            <w:pPr>
              <w:spacing w:after="0"/>
            </w:pPr>
            <w:r/>
            <w:r>
              <w:rPr>
                <w:sz w:val="14"/>
              </w:rPr>
              <w:t>Workflow coverage assessment (based on test names and contents, not line coverage)</w:t>
            </w:r>
          </w:p>
        </w:tc>
      </w:tr>
      <w:tr>
        <w:trPr>
          <w:cantSplit/>
        </w:trPr>
        <w:tc>
          <w:tcPr>
            <w:tcW w:type="dxa" w:w="1152"/>
          </w:tcPr>
          <w:p>
            <w:pPr>
              <w:spacing w:after="0"/>
            </w:pPr>
            <w:r/>
            <w:r>
              <w:rPr>
                <w:sz w:val="14"/>
              </w:rPr>
              <w:t>Table 80</w:t>
            </w:r>
          </w:p>
        </w:tc>
        <w:tc>
          <w:tcPr>
            <w:tcW w:type="dxa" w:w="8208"/>
          </w:tcPr>
          <w:p>
            <w:pPr>
              <w:spacing w:after="0"/>
            </w:pPr>
            <w:r/>
            <w:r>
              <w:rPr>
                <w:sz w:val="14"/>
              </w:rPr>
              <w:t>CI jobs</w:t>
            </w:r>
          </w:p>
        </w:tc>
      </w:tr>
      <w:tr>
        <w:trPr>
          <w:cantSplit/>
        </w:trPr>
        <w:tc>
          <w:tcPr>
            <w:tcW w:type="dxa" w:w="1152"/>
          </w:tcPr>
          <w:p>
            <w:pPr>
              <w:spacing w:after="0"/>
            </w:pPr>
            <w:r/>
            <w:r>
              <w:rPr>
                <w:sz w:val="14"/>
              </w:rPr>
              <w:t>Table 81</w:t>
            </w:r>
          </w:p>
        </w:tc>
        <w:tc>
          <w:tcPr>
            <w:tcW w:type="dxa" w:w="8208"/>
          </w:tcPr>
          <w:p>
            <w:pPr>
              <w:spacing w:after="0"/>
            </w:pPr>
            <w:r/>
            <w:r>
              <w:rPr>
                <w:sz w:val="14"/>
              </w:rPr>
              <w:t>Workflow triggers</w:t>
            </w:r>
          </w:p>
        </w:tc>
      </w:tr>
      <w:tr>
        <w:trPr>
          <w:cantSplit/>
        </w:trPr>
        <w:tc>
          <w:tcPr>
            <w:tcW w:type="dxa" w:w="1152"/>
          </w:tcPr>
          <w:p>
            <w:pPr>
              <w:spacing w:after="0"/>
            </w:pPr>
            <w:r/>
            <w:r>
              <w:rPr>
                <w:sz w:val="14"/>
              </w:rPr>
              <w:t>Table 82</w:t>
            </w:r>
          </w:p>
        </w:tc>
        <w:tc>
          <w:tcPr>
            <w:tcW w:type="dxa" w:w="8208"/>
          </w:tcPr>
          <w:p>
            <w:pPr>
              <w:spacing w:after="0"/>
            </w:pPr>
            <w:r/>
            <w:r>
              <w:rPr>
                <w:sz w:val="14"/>
              </w:rPr>
              <w:t>Image matrix</w:t>
            </w:r>
          </w:p>
        </w:tc>
      </w:tr>
      <w:tr>
        <w:trPr>
          <w:cantSplit/>
        </w:trPr>
        <w:tc>
          <w:tcPr>
            <w:tcW w:type="dxa" w:w="1152"/>
          </w:tcPr>
          <w:p>
            <w:pPr>
              <w:spacing w:after="0"/>
            </w:pPr>
            <w:r/>
            <w:r>
              <w:rPr>
                <w:sz w:val="14"/>
              </w:rPr>
              <w:t>Table 83</w:t>
            </w:r>
          </w:p>
        </w:tc>
        <w:tc>
          <w:tcPr>
            <w:tcW w:type="dxa" w:w="8208"/>
          </w:tcPr>
          <w:p>
            <w:pPr>
              <w:spacing w:after="0"/>
            </w:pPr>
            <w:r/>
            <w:r>
              <w:rPr>
                <w:sz w:val="14"/>
              </w:rPr>
              <w:t>Release and rollback procedure</w:t>
            </w:r>
          </w:p>
        </w:tc>
      </w:tr>
      <w:tr>
        <w:trPr>
          <w:cantSplit/>
        </w:trPr>
        <w:tc>
          <w:tcPr>
            <w:tcW w:type="dxa" w:w="1152"/>
          </w:tcPr>
          <w:p>
            <w:pPr>
              <w:spacing w:after="0"/>
            </w:pPr>
            <w:r/>
            <w:r>
              <w:rPr>
                <w:sz w:val="14"/>
              </w:rPr>
              <w:t>Table 84</w:t>
            </w:r>
          </w:p>
        </w:tc>
        <w:tc>
          <w:tcPr>
            <w:tcW w:type="dxa" w:w="8208"/>
          </w:tcPr>
          <w:p>
            <w:pPr>
              <w:spacing w:after="0"/>
            </w:pPr>
            <w:r/>
            <w:r>
              <w:rPr>
                <w:sz w:val="14"/>
              </w:rPr>
              <w:t>Compose services (infra/containers/compose.prod.yml)</w:t>
            </w:r>
          </w:p>
        </w:tc>
      </w:tr>
      <w:tr>
        <w:trPr>
          <w:cantSplit/>
        </w:trPr>
        <w:tc>
          <w:tcPr>
            <w:tcW w:type="dxa" w:w="1152"/>
          </w:tcPr>
          <w:p>
            <w:pPr>
              <w:spacing w:after="0"/>
            </w:pPr>
            <w:r/>
            <w:r>
              <w:rPr>
                <w:sz w:val="14"/>
              </w:rPr>
              <w:t>Table 85</w:t>
            </w:r>
          </w:p>
        </w:tc>
        <w:tc>
          <w:tcPr>
            <w:tcW w:type="dxa" w:w="8208"/>
          </w:tcPr>
          <w:p>
            <w:pPr>
              <w:spacing w:after="0"/>
            </w:pPr>
            <w:r/>
            <w:r>
              <w:rPr>
                <w:sz w:val="14"/>
              </w:rPr>
              <w:t>Image construction</w:t>
            </w:r>
          </w:p>
        </w:tc>
      </w:tr>
      <w:tr>
        <w:trPr>
          <w:cantSplit/>
        </w:trPr>
        <w:tc>
          <w:tcPr>
            <w:tcW w:type="dxa" w:w="1152"/>
          </w:tcPr>
          <w:p>
            <w:pPr>
              <w:spacing w:after="0"/>
            </w:pPr>
            <w:r/>
            <w:r>
              <w:rPr>
                <w:sz w:val="14"/>
              </w:rPr>
              <w:t>Table 86</w:t>
            </w:r>
          </w:p>
        </w:tc>
        <w:tc>
          <w:tcPr>
            <w:tcW w:type="dxa" w:w="8208"/>
          </w:tcPr>
          <w:p>
            <w:pPr>
              <w:spacing w:after="0"/>
            </w:pPr>
            <w:r/>
            <w:r>
              <w:rPr>
                <w:sz w:val="14"/>
              </w:rPr>
              <w:t>Configured limits (sum of memory limits ≈ 3.2 GB on an 8 GB host)</w:t>
            </w:r>
          </w:p>
        </w:tc>
      </w:tr>
      <w:tr>
        <w:trPr>
          <w:cantSplit/>
        </w:trPr>
        <w:tc>
          <w:tcPr>
            <w:tcW w:type="dxa" w:w="1152"/>
          </w:tcPr>
          <w:p>
            <w:pPr>
              <w:spacing w:after="0"/>
            </w:pPr>
            <w:r/>
            <w:r>
              <w:rPr>
                <w:sz w:val="14"/>
              </w:rPr>
              <w:t>Table 87</w:t>
            </w:r>
          </w:p>
        </w:tc>
        <w:tc>
          <w:tcPr>
            <w:tcW w:type="dxa" w:w="8208"/>
          </w:tcPr>
          <w:p>
            <w:pPr>
              <w:spacing w:after="0"/>
            </w:pPr>
            <w:r/>
            <w:r>
              <w:rPr>
                <w:sz w:val="14"/>
              </w:rPr>
              <w:t>Tunnel ingress mapping (documented contract; not read from a live config)</w:t>
            </w:r>
          </w:p>
        </w:tc>
      </w:tr>
      <w:tr>
        <w:trPr>
          <w:cantSplit/>
        </w:trPr>
        <w:tc>
          <w:tcPr>
            <w:tcW w:type="dxa" w:w="1152"/>
          </w:tcPr>
          <w:p>
            <w:pPr>
              <w:spacing w:after="0"/>
            </w:pPr>
            <w:r/>
            <w:r>
              <w:rPr>
                <w:sz w:val="14"/>
              </w:rPr>
              <w:t>Table 88</w:t>
            </w:r>
          </w:p>
        </w:tc>
        <w:tc>
          <w:tcPr>
            <w:tcW w:type="dxa" w:w="8208"/>
          </w:tcPr>
          <w:p>
            <w:pPr>
              <w:spacing w:after="0"/>
            </w:pPr>
            <w:r/>
            <w:r>
              <w:rPr>
                <w:sz w:val="14"/>
              </w:rPr>
              <w:t>Ingress verification commands</w:t>
            </w:r>
          </w:p>
        </w:tc>
      </w:tr>
      <w:tr>
        <w:trPr>
          <w:cantSplit/>
        </w:trPr>
        <w:tc>
          <w:tcPr>
            <w:tcW w:type="dxa" w:w="1152"/>
          </w:tcPr>
          <w:p>
            <w:pPr>
              <w:spacing w:after="0"/>
            </w:pPr>
            <w:r/>
            <w:r>
              <w:rPr>
                <w:sz w:val="14"/>
              </w:rPr>
              <w:t>Table 89</w:t>
            </w:r>
          </w:p>
        </w:tc>
        <w:tc>
          <w:tcPr>
            <w:tcW w:type="dxa" w:w="8208"/>
          </w:tcPr>
          <w:p>
            <w:pPr>
              <w:spacing w:after="0"/>
            </w:pPr>
            <w:r/>
            <w:r>
              <w:rPr>
                <w:sz w:val="14"/>
              </w:rPr>
              <w:t>Monitoring and diagnostic signals</w:t>
            </w:r>
          </w:p>
        </w:tc>
      </w:tr>
      <w:tr>
        <w:trPr>
          <w:cantSplit/>
        </w:trPr>
        <w:tc>
          <w:tcPr>
            <w:tcW w:type="dxa" w:w="1152"/>
          </w:tcPr>
          <w:p>
            <w:pPr>
              <w:spacing w:after="0"/>
            </w:pPr>
            <w:r/>
            <w:r>
              <w:rPr>
                <w:sz w:val="14"/>
              </w:rPr>
              <w:t>Table 90</w:t>
            </w:r>
          </w:p>
        </w:tc>
        <w:tc>
          <w:tcPr>
            <w:tcW w:type="dxa" w:w="8208"/>
          </w:tcPr>
          <w:p>
            <w:pPr>
              <w:spacing w:after="0"/>
            </w:pPr>
            <w:r/>
            <w:r>
              <w:rPr>
                <w:sz w:val="14"/>
              </w:rPr>
              <w:t>Backup strategy (docs/deployment/backup-and-restore.md)</w:t>
            </w:r>
          </w:p>
        </w:tc>
      </w:tr>
      <w:tr>
        <w:trPr>
          <w:cantSplit/>
        </w:trPr>
        <w:tc>
          <w:tcPr>
            <w:tcW w:type="dxa" w:w="1152"/>
          </w:tcPr>
          <w:p>
            <w:pPr>
              <w:spacing w:after="0"/>
            </w:pPr>
            <w:r/>
            <w:r>
              <w:rPr>
                <w:sz w:val="14"/>
              </w:rPr>
              <w:t>Table 91</w:t>
            </w:r>
          </w:p>
        </w:tc>
        <w:tc>
          <w:tcPr>
            <w:tcW w:type="dxa" w:w="8208"/>
          </w:tcPr>
          <w:p>
            <w:pPr>
              <w:spacing w:after="0"/>
            </w:pPr>
            <w:r/>
            <w:r>
              <w:rPr>
                <w:sz w:val="14"/>
              </w:rPr>
              <w:t>Error taxonomy</w:t>
            </w:r>
          </w:p>
        </w:tc>
      </w:tr>
      <w:tr>
        <w:trPr>
          <w:cantSplit/>
        </w:trPr>
        <w:tc>
          <w:tcPr>
            <w:tcW w:type="dxa" w:w="1152"/>
          </w:tcPr>
          <w:p>
            <w:pPr>
              <w:spacing w:after="0"/>
            </w:pPr>
            <w:r/>
            <w:r>
              <w:rPr>
                <w:sz w:val="14"/>
              </w:rPr>
              <w:t>Table 92</w:t>
            </w:r>
          </w:p>
        </w:tc>
        <w:tc>
          <w:tcPr>
            <w:tcW w:type="dxa" w:w="8208"/>
          </w:tcPr>
          <w:p>
            <w:pPr>
              <w:spacing w:after="0"/>
            </w:pPr>
            <w:r/>
            <w:r>
              <w:rPr>
                <w:sz w:val="14"/>
              </w:rPr>
              <w:t>Troubleshooting scenarios</w:t>
            </w:r>
          </w:p>
        </w:tc>
      </w:tr>
      <w:tr>
        <w:trPr>
          <w:cantSplit/>
        </w:trPr>
        <w:tc>
          <w:tcPr>
            <w:tcW w:type="dxa" w:w="1152"/>
          </w:tcPr>
          <w:p>
            <w:pPr>
              <w:spacing w:after="0"/>
            </w:pPr>
            <w:r/>
            <w:r>
              <w:rPr>
                <w:sz w:val="14"/>
              </w:rPr>
              <w:t>Table 93</w:t>
            </w:r>
          </w:p>
        </w:tc>
        <w:tc>
          <w:tcPr>
            <w:tcW w:type="dxa" w:w="8208"/>
          </w:tcPr>
          <w:p>
            <w:pPr>
              <w:spacing w:after="0"/>
            </w:pPr>
            <w:r/>
            <w:r>
              <w:rPr>
                <w:sz w:val="14"/>
              </w:rPr>
              <w:t>Document-number formats (all allocated atomically inside the caller's transaction)</w:t>
            </w:r>
          </w:p>
        </w:tc>
      </w:tr>
      <w:tr>
        <w:trPr>
          <w:cantSplit/>
        </w:trPr>
        <w:tc>
          <w:tcPr>
            <w:tcW w:type="dxa" w:w="1152"/>
          </w:tcPr>
          <w:p>
            <w:pPr>
              <w:spacing w:after="0"/>
            </w:pPr>
            <w:r/>
            <w:r>
              <w:rPr>
                <w:sz w:val="14"/>
              </w:rPr>
              <w:t>Table 94</w:t>
            </w:r>
          </w:p>
        </w:tc>
        <w:tc>
          <w:tcPr>
            <w:tcW w:type="dxa" w:w="8208"/>
          </w:tcPr>
          <w:p>
            <w:pPr>
              <w:spacing w:after="0"/>
            </w:pPr>
            <w:r/>
            <w:r>
              <w:rPr>
                <w:sz w:val="14"/>
              </w:rPr>
              <w:t>Stock rules</w:t>
            </w:r>
          </w:p>
        </w:tc>
      </w:tr>
      <w:tr>
        <w:trPr>
          <w:cantSplit/>
        </w:trPr>
        <w:tc>
          <w:tcPr>
            <w:tcW w:type="dxa" w:w="1152"/>
          </w:tcPr>
          <w:p>
            <w:pPr>
              <w:spacing w:after="0"/>
            </w:pPr>
            <w:r/>
            <w:r>
              <w:rPr>
                <w:sz w:val="14"/>
              </w:rPr>
              <w:t>Table 95</w:t>
            </w:r>
          </w:p>
        </w:tc>
        <w:tc>
          <w:tcPr>
            <w:tcW w:type="dxa" w:w="8208"/>
          </w:tcPr>
          <w:p>
            <w:pPr>
              <w:spacing w:after="0"/>
            </w:pPr>
            <w:r/>
            <w:r>
              <w:rPr>
                <w:sz w:val="14"/>
              </w:rPr>
              <w:t>Price precedence, highest authority last</w:t>
            </w:r>
          </w:p>
        </w:tc>
      </w:tr>
      <w:tr>
        <w:trPr>
          <w:cantSplit/>
        </w:trPr>
        <w:tc>
          <w:tcPr>
            <w:tcW w:type="dxa" w:w="1152"/>
          </w:tcPr>
          <w:p>
            <w:pPr>
              <w:spacing w:after="0"/>
            </w:pPr>
            <w:r/>
            <w:r>
              <w:rPr>
                <w:sz w:val="14"/>
              </w:rPr>
              <w:t>Table 96</w:t>
            </w:r>
          </w:p>
        </w:tc>
        <w:tc>
          <w:tcPr>
            <w:tcW w:type="dxa" w:w="8208"/>
          </w:tcPr>
          <w:p>
            <w:pPr>
              <w:spacing w:after="0"/>
            </w:pPr>
            <w:r/>
            <w:r>
              <w:rPr>
                <w:sz w:val="14"/>
              </w:rPr>
              <w:t>Where the UI and the API disagree</w:t>
            </w:r>
          </w:p>
        </w:tc>
      </w:tr>
      <w:tr>
        <w:trPr>
          <w:cantSplit/>
        </w:trPr>
        <w:tc>
          <w:tcPr>
            <w:tcW w:type="dxa" w:w="1152"/>
          </w:tcPr>
          <w:p>
            <w:pPr>
              <w:spacing w:after="0"/>
            </w:pPr>
            <w:r/>
            <w:r>
              <w:rPr>
                <w:sz w:val="14"/>
              </w:rPr>
              <w:t>Table 97</w:t>
            </w:r>
          </w:p>
        </w:tc>
        <w:tc>
          <w:tcPr>
            <w:tcW w:type="dxa" w:w="8208"/>
          </w:tcPr>
          <w:p>
            <w:pPr>
              <w:spacing w:after="0"/>
            </w:pPr>
            <w:r/>
            <w:r>
              <w:rPr>
                <w:sz w:val="14"/>
              </w:rPr>
              <w:t>External integrations</w:t>
            </w:r>
          </w:p>
        </w:tc>
      </w:tr>
      <w:tr>
        <w:trPr>
          <w:cantSplit/>
        </w:trPr>
        <w:tc>
          <w:tcPr>
            <w:tcW w:type="dxa" w:w="1152"/>
          </w:tcPr>
          <w:p>
            <w:pPr>
              <w:spacing w:after="0"/>
            </w:pPr>
            <w:r/>
            <w:r>
              <w:rPr>
                <w:sz w:val="14"/>
              </w:rPr>
              <w:t>Table 98</w:t>
            </w:r>
          </w:p>
        </w:tc>
        <w:tc>
          <w:tcPr>
            <w:tcW w:type="dxa" w:w="8208"/>
          </w:tcPr>
          <w:p>
            <w:pPr>
              <w:spacing w:after="0"/>
            </w:pPr>
            <w:r/>
            <w:r>
              <w:rPr>
                <w:sz w:val="14"/>
              </w:rPr>
              <w:t>Security controls verified in source</w:t>
            </w:r>
          </w:p>
        </w:tc>
      </w:tr>
      <w:tr>
        <w:trPr>
          <w:cantSplit/>
        </w:trPr>
        <w:tc>
          <w:tcPr>
            <w:tcW w:type="dxa" w:w="1152"/>
          </w:tcPr>
          <w:p>
            <w:pPr>
              <w:spacing w:after="0"/>
            </w:pPr>
            <w:r/>
            <w:r>
              <w:rPr>
                <w:sz w:val="14"/>
              </w:rPr>
              <w:t>Table 99</w:t>
            </w:r>
          </w:p>
        </w:tc>
        <w:tc>
          <w:tcPr>
            <w:tcW w:type="dxa" w:w="8208"/>
          </w:tcPr>
          <w:p>
            <w:pPr>
              <w:spacing w:after="0"/>
            </w:pPr>
            <w:r/>
            <w:r>
              <w:rPr>
                <w:sz w:val="14"/>
              </w:rPr>
              <w:t>Residual security risks</w:t>
            </w:r>
          </w:p>
        </w:tc>
      </w:tr>
      <w:tr>
        <w:trPr>
          <w:cantSplit/>
        </w:trPr>
        <w:tc>
          <w:tcPr>
            <w:tcW w:type="dxa" w:w="1152"/>
          </w:tcPr>
          <w:p>
            <w:pPr>
              <w:spacing w:after="0"/>
            </w:pPr>
            <w:r/>
            <w:r>
              <w:rPr>
                <w:sz w:val="14"/>
              </w:rPr>
              <w:t>Table 100</w:t>
            </w:r>
          </w:p>
        </w:tc>
        <w:tc>
          <w:tcPr>
            <w:tcW w:type="dxa" w:w="8208"/>
          </w:tcPr>
          <w:p>
            <w:pPr>
              <w:spacing w:after="0"/>
            </w:pPr>
            <w:r/>
            <w:r>
              <w:rPr>
                <w:sz w:val="14"/>
              </w:rPr>
              <w:t>Personal data inventory</w:t>
            </w:r>
          </w:p>
        </w:tc>
      </w:tr>
      <w:tr>
        <w:trPr>
          <w:cantSplit/>
        </w:trPr>
        <w:tc>
          <w:tcPr>
            <w:tcW w:type="dxa" w:w="1152"/>
          </w:tcPr>
          <w:p>
            <w:pPr>
              <w:spacing w:after="0"/>
            </w:pPr>
            <w:r/>
            <w:r>
              <w:rPr>
                <w:sz w:val="14"/>
              </w:rPr>
              <w:t>Table 101</w:t>
            </w:r>
          </w:p>
        </w:tc>
        <w:tc>
          <w:tcPr>
            <w:tcW w:type="dxa" w:w="8208"/>
          </w:tcPr>
          <w:p>
            <w:pPr>
              <w:spacing w:after="0"/>
            </w:pPr>
            <w:r/>
            <w:r>
              <w:rPr>
                <w:sz w:val="14"/>
              </w:rPr>
              <w:t>Configured resource constraints</w:t>
            </w:r>
          </w:p>
        </w:tc>
      </w:tr>
      <w:tr>
        <w:trPr>
          <w:cantSplit/>
        </w:trPr>
        <w:tc>
          <w:tcPr>
            <w:tcW w:type="dxa" w:w="1152"/>
          </w:tcPr>
          <w:p>
            <w:pPr>
              <w:spacing w:after="0"/>
            </w:pPr>
            <w:r/>
            <w:r>
              <w:rPr>
                <w:sz w:val="14"/>
              </w:rPr>
              <w:t>Table 102</w:t>
            </w:r>
          </w:p>
        </w:tc>
        <w:tc>
          <w:tcPr>
            <w:tcW w:type="dxa" w:w="8208"/>
          </w:tcPr>
          <w:p>
            <w:pPr>
              <w:spacing w:after="0"/>
            </w:pPr>
            <w:r/>
            <w:r>
              <w:rPr>
                <w:sz w:val="14"/>
              </w:rPr>
              <w:t>Executed test results (this audit run)</w:t>
            </w:r>
          </w:p>
        </w:tc>
      </w:tr>
      <w:tr>
        <w:trPr>
          <w:cantSplit/>
        </w:trPr>
        <w:tc>
          <w:tcPr>
            <w:tcW w:type="dxa" w:w="1152"/>
          </w:tcPr>
          <w:p>
            <w:pPr>
              <w:spacing w:after="0"/>
            </w:pPr>
            <w:r/>
            <w:r>
              <w:rPr>
                <w:sz w:val="14"/>
              </w:rPr>
              <w:t>Table 103</w:t>
            </w:r>
          </w:p>
        </w:tc>
        <w:tc>
          <w:tcPr>
            <w:tcW w:type="dxa" w:w="8208"/>
          </w:tcPr>
          <w:p>
            <w:pPr>
              <w:spacing w:after="0"/>
            </w:pPr>
            <w:r/>
            <w:r>
              <w:rPr>
                <w:sz w:val="14"/>
              </w:rPr>
              <w:t>Test-strategy gaps</w:t>
            </w:r>
          </w:p>
        </w:tc>
      </w:tr>
      <w:tr>
        <w:trPr>
          <w:cantSplit/>
        </w:trPr>
        <w:tc>
          <w:tcPr>
            <w:tcW w:type="dxa" w:w="1152"/>
          </w:tcPr>
          <w:p>
            <w:pPr>
              <w:spacing w:after="0"/>
            </w:pPr>
            <w:r/>
            <w:r>
              <w:rPr>
                <w:sz w:val="14"/>
              </w:rPr>
              <w:t>Table 104</w:t>
            </w:r>
          </w:p>
        </w:tc>
        <w:tc>
          <w:tcPr>
            <w:tcW w:type="dxa" w:w="8208"/>
          </w:tcPr>
          <w:p>
            <w:pPr>
              <w:spacing w:after="0"/>
            </w:pPr>
            <w:r/>
            <w:r>
              <w:rPr>
                <w:sz w:val="14"/>
              </w:rPr>
              <w:t>Severity criteria</w:t>
            </w:r>
          </w:p>
        </w:tc>
      </w:tr>
      <w:tr>
        <w:trPr>
          <w:cantSplit/>
        </w:trPr>
        <w:tc>
          <w:tcPr>
            <w:tcW w:type="dxa" w:w="1152"/>
          </w:tcPr>
          <w:p>
            <w:pPr>
              <w:spacing w:after="0"/>
            </w:pPr>
            <w:r/>
            <w:r>
              <w:rPr>
                <w:sz w:val="14"/>
              </w:rPr>
              <w:t>Table 105</w:t>
            </w:r>
          </w:p>
        </w:tc>
        <w:tc>
          <w:tcPr>
            <w:tcW w:type="dxa" w:w="8208"/>
          </w:tcPr>
          <w:p>
            <w:pPr>
              <w:spacing w:after="0"/>
            </w:pPr>
            <w:r/>
            <w:r>
              <w:rPr>
                <w:sz w:val="14"/>
              </w:rPr>
              <w:t>Findings register (24 entries)</w:t>
            </w:r>
          </w:p>
        </w:tc>
      </w:tr>
      <w:tr>
        <w:trPr>
          <w:cantSplit/>
        </w:trPr>
        <w:tc>
          <w:tcPr>
            <w:tcW w:type="dxa" w:w="1152"/>
          </w:tcPr>
          <w:p>
            <w:pPr>
              <w:spacing w:after="0"/>
            </w:pPr>
            <w:r/>
            <w:r>
              <w:rPr>
                <w:sz w:val="14"/>
              </w:rPr>
              <w:t>Table 106</w:t>
            </w:r>
          </w:p>
        </w:tc>
        <w:tc>
          <w:tcPr>
            <w:tcW w:type="dxa" w:w="8208"/>
          </w:tcPr>
          <w:p>
            <w:pPr>
              <w:spacing w:after="0"/>
            </w:pPr>
            <w:r/>
            <w:r>
              <w:rPr>
                <w:sz w:val="14"/>
              </w:rPr>
              <w:t>Stated limitations</w:t>
            </w:r>
          </w:p>
        </w:tc>
      </w:tr>
      <w:tr>
        <w:trPr>
          <w:cantSplit/>
        </w:trPr>
        <w:tc>
          <w:tcPr>
            <w:tcW w:type="dxa" w:w="1152"/>
          </w:tcPr>
          <w:p>
            <w:pPr>
              <w:spacing w:after="0"/>
            </w:pPr>
            <w:r/>
            <w:r>
              <w:rPr>
                <w:sz w:val="14"/>
              </w:rPr>
              <w:t>Table 107</w:t>
            </w:r>
          </w:p>
        </w:tc>
        <w:tc>
          <w:tcPr>
            <w:tcW w:type="dxa" w:w="8208"/>
          </w:tcPr>
          <w:p>
            <w:pPr>
              <w:spacing w:after="0"/>
            </w:pPr>
            <w:r/>
            <w:r>
              <w:rPr>
                <w:sz w:val="14"/>
              </w:rPr>
              <w:t>Priority 1 actions</w:t>
            </w:r>
          </w:p>
        </w:tc>
      </w:tr>
      <w:tr>
        <w:trPr>
          <w:cantSplit/>
        </w:trPr>
        <w:tc>
          <w:tcPr>
            <w:tcW w:type="dxa" w:w="1152"/>
          </w:tcPr>
          <w:p>
            <w:pPr>
              <w:spacing w:after="0"/>
            </w:pPr>
            <w:r/>
            <w:r>
              <w:rPr>
                <w:sz w:val="14"/>
              </w:rPr>
              <w:t>Table 108</w:t>
            </w:r>
          </w:p>
        </w:tc>
        <w:tc>
          <w:tcPr>
            <w:tcW w:type="dxa" w:w="8208"/>
          </w:tcPr>
          <w:p>
            <w:pPr>
              <w:spacing w:after="0"/>
            </w:pPr>
            <w:r/>
            <w:r>
              <w:rPr>
                <w:sz w:val="14"/>
              </w:rPr>
              <w:t>Priority 2 actions</w:t>
            </w:r>
          </w:p>
        </w:tc>
      </w:tr>
      <w:tr>
        <w:trPr>
          <w:cantSplit/>
        </w:trPr>
        <w:tc>
          <w:tcPr>
            <w:tcW w:type="dxa" w:w="1152"/>
          </w:tcPr>
          <w:p>
            <w:pPr>
              <w:spacing w:after="0"/>
            </w:pPr>
            <w:r/>
            <w:r>
              <w:rPr>
                <w:sz w:val="14"/>
              </w:rPr>
              <w:t>Table 109</w:t>
            </w:r>
          </w:p>
        </w:tc>
        <w:tc>
          <w:tcPr>
            <w:tcW w:type="dxa" w:w="8208"/>
          </w:tcPr>
          <w:p>
            <w:pPr>
              <w:spacing w:after="0"/>
            </w:pPr>
            <w:r/>
            <w:r>
              <w:rPr>
                <w:sz w:val="14"/>
              </w:rPr>
              <w:t>Priority 3 actions</w:t>
            </w:r>
          </w:p>
        </w:tc>
      </w:tr>
      <w:tr>
        <w:trPr>
          <w:cantSplit/>
        </w:trPr>
        <w:tc>
          <w:tcPr>
            <w:tcW w:type="dxa" w:w="1152"/>
          </w:tcPr>
          <w:p>
            <w:pPr>
              <w:spacing w:after="0"/>
            </w:pPr>
            <w:r/>
            <w:r>
              <w:rPr>
                <w:sz w:val="14"/>
              </w:rPr>
              <w:t>Table 110</w:t>
            </w:r>
          </w:p>
        </w:tc>
        <w:tc>
          <w:tcPr>
            <w:tcW w:type="dxa" w:w="8208"/>
          </w:tcPr>
          <w:p>
            <w:pPr>
              <w:spacing w:after="0"/>
            </w:pPr>
            <w:r/>
            <w:r>
              <w:rPr>
                <w:sz w:val="14"/>
              </w:rPr>
              <w:t>Regeneration map</w:t>
            </w:r>
          </w:p>
        </w:tc>
      </w:tr>
      <w:tr>
        <w:trPr>
          <w:cantSplit/>
        </w:trPr>
        <w:tc>
          <w:tcPr>
            <w:tcW w:type="dxa" w:w="1152"/>
          </w:tcPr>
          <w:p>
            <w:pPr>
              <w:spacing w:after="0"/>
            </w:pPr>
            <w:r/>
            <w:r>
              <w:rPr>
                <w:sz w:val="14"/>
              </w:rPr>
              <w:t>Table 111</w:t>
            </w:r>
          </w:p>
        </w:tc>
        <w:tc>
          <w:tcPr>
            <w:tcW w:type="dxa" w:w="8208"/>
          </w:tcPr>
          <w:p>
            <w:pPr>
              <w:spacing w:after="0"/>
            </w:pPr>
            <w:r/>
            <w:r>
              <w:rPr>
                <w:sz w:val="14"/>
              </w:rPr>
              <w:t>Refresh commands</w:t>
            </w:r>
          </w:p>
        </w:tc>
      </w:tr>
      <w:tr>
        <w:trPr>
          <w:cantSplit/>
        </w:trPr>
        <w:tc>
          <w:tcPr>
            <w:tcW w:type="dxa" w:w="1152"/>
          </w:tcPr>
          <w:p>
            <w:pPr>
              <w:spacing w:after="0"/>
            </w:pPr>
            <w:r/>
            <w:r>
              <w:rPr>
                <w:sz w:val="14"/>
              </w:rPr>
              <w:t>Table 112</w:t>
            </w:r>
          </w:p>
        </w:tc>
        <w:tc>
          <w:tcPr>
            <w:tcW w:type="dxa" w:w="8208"/>
          </w:tcPr>
          <w:p>
            <w:pPr>
              <w:spacing w:after="0"/>
            </w:pPr>
            <w:r/>
            <w:r>
              <w:rPr>
                <w:sz w:val="14"/>
              </w:rPr>
              <w:t>Directory inventory</w:t>
            </w:r>
          </w:p>
        </w:tc>
      </w:tr>
      <w:tr>
        <w:trPr>
          <w:cantSplit/>
        </w:trPr>
        <w:tc>
          <w:tcPr>
            <w:tcW w:type="dxa" w:w="1152"/>
          </w:tcPr>
          <w:p>
            <w:pPr>
              <w:spacing w:after="0"/>
            </w:pPr>
            <w:r/>
            <w:r>
              <w:rPr>
                <w:sz w:val="14"/>
              </w:rPr>
              <w:t>Table 113</w:t>
            </w:r>
          </w:p>
        </w:tc>
        <w:tc>
          <w:tcPr>
            <w:tcW w:type="dxa" w:w="8208"/>
          </w:tcPr>
          <w:p>
            <w:pPr>
              <w:spacing w:after="0"/>
            </w:pPr>
            <w:r/>
            <w:r>
              <w:rPr>
                <w:sz w:val="14"/>
              </w:rPr>
              <w:t>Inventory schema</w:t>
            </w:r>
          </w:p>
        </w:tc>
      </w:tr>
      <w:tr>
        <w:trPr>
          <w:cantSplit/>
        </w:trPr>
        <w:tc>
          <w:tcPr>
            <w:tcW w:type="dxa" w:w="1152"/>
          </w:tcPr>
          <w:p>
            <w:pPr>
              <w:spacing w:after="0"/>
            </w:pPr>
            <w:r/>
            <w:r>
              <w:rPr>
                <w:sz w:val="14"/>
              </w:rPr>
              <w:t>Table 114</w:t>
            </w:r>
          </w:p>
        </w:tc>
        <w:tc>
          <w:tcPr>
            <w:tcW w:type="dxa" w:w="8208"/>
          </w:tcPr>
          <w:p>
            <w:pPr>
              <w:spacing w:after="0"/>
            </w:pPr>
            <w:r/>
            <w:r>
              <w:rPr>
                <w:sz w:val="14"/>
              </w:rPr>
              <w:t>Tables with the most referential structure</w:t>
            </w:r>
          </w:p>
        </w:tc>
      </w:tr>
      <w:tr>
        <w:trPr>
          <w:cantSplit/>
        </w:trPr>
        <w:tc>
          <w:tcPr>
            <w:tcW w:type="dxa" w:w="1152"/>
          </w:tcPr>
          <w:p>
            <w:pPr>
              <w:spacing w:after="0"/>
            </w:pPr>
            <w:r/>
            <w:r>
              <w:rPr>
                <w:sz w:val="14"/>
              </w:rPr>
              <w:t>Table 115</w:t>
            </w:r>
          </w:p>
        </w:tc>
        <w:tc>
          <w:tcPr>
            <w:tcW w:type="dxa" w:w="8208"/>
          </w:tcPr>
          <w:p>
            <w:pPr>
              <w:spacing w:after="0"/>
            </w:pPr>
            <w:r/>
            <w:r>
              <w:rPr>
                <w:sz w:val="14"/>
              </w:rPr>
              <w:t>Permission groups</w:t>
            </w:r>
          </w:p>
        </w:tc>
      </w:tr>
      <w:tr>
        <w:trPr>
          <w:cantSplit/>
        </w:trPr>
        <w:tc>
          <w:tcPr>
            <w:tcW w:type="dxa" w:w="1152"/>
          </w:tcPr>
          <w:p>
            <w:pPr>
              <w:spacing w:after="0"/>
            </w:pPr>
            <w:r/>
            <w:r>
              <w:rPr>
                <w:sz w:val="14"/>
              </w:rPr>
              <w:t>Table 116</w:t>
            </w:r>
          </w:p>
        </w:tc>
        <w:tc>
          <w:tcPr>
            <w:tcW w:type="dxa" w:w="8208"/>
          </w:tcPr>
          <w:p>
            <w:pPr>
              <w:spacing w:after="0"/>
            </w:pPr>
            <w:r/>
            <w:r>
              <w:rPr>
                <w:sz w:val="14"/>
              </w:rPr>
              <w:t>Seeded roles and row counts</w:t>
            </w:r>
          </w:p>
        </w:tc>
      </w:tr>
      <w:tr>
        <w:trPr>
          <w:cantSplit/>
        </w:trPr>
        <w:tc>
          <w:tcPr>
            <w:tcW w:type="dxa" w:w="1152"/>
          </w:tcPr>
          <w:p>
            <w:pPr>
              <w:spacing w:after="0"/>
            </w:pPr>
            <w:r/>
            <w:r>
              <w:rPr>
                <w:sz w:val="14"/>
              </w:rPr>
              <w:t>Table 117</w:t>
            </w:r>
          </w:p>
        </w:tc>
        <w:tc>
          <w:tcPr>
            <w:tcW w:type="dxa" w:w="8208"/>
          </w:tcPr>
          <w:p>
            <w:pPr>
              <w:spacing w:after="0"/>
            </w:pPr>
            <w:r/>
            <w:r>
              <w:rPr>
                <w:sz w:val="14"/>
              </w:rPr>
              <w:t>Workflow index</w:t>
            </w:r>
          </w:p>
        </w:tc>
      </w:tr>
      <w:tr>
        <w:trPr>
          <w:cantSplit/>
        </w:trPr>
        <w:tc>
          <w:tcPr>
            <w:tcW w:type="dxa" w:w="1152"/>
          </w:tcPr>
          <w:p>
            <w:pPr>
              <w:spacing w:after="0"/>
            </w:pPr>
            <w:r/>
            <w:r>
              <w:rPr>
                <w:sz w:val="14"/>
              </w:rPr>
              <w:t>Table 118</w:t>
            </w:r>
          </w:p>
        </w:tc>
        <w:tc>
          <w:tcPr>
            <w:tcW w:type="dxa" w:w="8208"/>
          </w:tcPr>
          <w:p>
            <w:pPr>
              <w:spacing w:after="0"/>
            </w:pPr>
            <w:r/>
            <w:r>
              <w:rPr>
                <w:sz w:val="14"/>
              </w:rPr>
              <w:t>Executed suites</w:t>
            </w:r>
          </w:p>
        </w:tc>
      </w:tr>
      <w:tr>
        <w:trPr>
          <w:cantSplit/>
        </w:trPr>
        <w:tc>
          <w:tcPr>
            <w:tcW w:type="dxa" w:w="1152"/>
          </w:tcPr>
          <w:p>
            <w:pPr>
              <w:spacing w:after="0"/>
            </w:pPr>
            <w:r/>
            <w:r>
              <w:rPr>
                <w:sz w:val="14"/>
              </w:rPr>
              <w:t>Table 119</w:t>
            </w:r>
          </w:p>
        </w:tc>
        <w:tc>
          <w:tcPr>
            <w:tcW w:type="dxa" w:w="8208"/>
          </w:tcPr>
          <w:p>
            <w:pPr>
              <w:spacing w:after="0"/>
            </w:pPr>
            <w:r/>
            <w:r>
              <w:rPr>
                <w:sz w:val="14"/>
              </w:rPr>
              <w:t>Glossary</w:t>
            </w:r>
          </w:p>
        </w:tc>
      </w:tr>
      <w:tr>
        <w:trPr>
          <w:cantSplit/>
        </w:trPr>
        <w:tc>
          <w:tcPr>
            <w:tcW w:type="dxa" w:w="1152"/>
          </w:tcPr>
          <w:p>
            <w:pPr>
              <w:spacing w:after="0"/>
            </w:pPr>
            <w:r/>
            <w:r>
              <w:rPr>
                <w:sz w:val="14"/>
              </w:rPr>
              <w:t>Table 120</w:t>
            </w:r>
          </w:p>
        </w:tc>
        <w:tc>
          <w:tcPr>
            <w:tcW w:type="dxa" w:w="8208"/>
          </w:tcPr>
          <w:p>
            <w:pPr>
              <w:spacing w:after="0"/>
            </w:pPr>
            <w:r/>
            <w:r>
              <w:rPr>
                <w:sz w:val="14"/>
              </w:rPr>
              <w:t>Evidence map</w:t>
            </w:r>
          </w:p>
        </w:tc>
      </w:tr>
      <w:tr>
        <w:trPr>
          <w:cantSplit/>
        </w:trPr>
        <w:tc>
          <w:tcPr>
            <w:tcW w:type="dxa" w:w="1152"/>
          </w:tcPr>
          <w:p>
            <w:pPr>
              <w:spacing w:after="0"/>
            </w:pPr>
            <w:r/>
            <w:r>
              <w:rPr>
                <w:sz w:val="14"/>
              </w:rPr>
              <w:t>Table 121</w:t>
            </w:r>
          </w:p>
        </w:tc>
        <w:tc>
          <w:tcPr>
            <w:tcW w:type="dxa" w:w="8208"/>
          </w:tcPr>
          <w:p>
            <w:pPr>
              <w:spacing w:after="0"/>
            </w:pPr>
            <w:r/>
            <w:r>
              <w:rPr>
                <w:sz w:val="14"/>
              </w:rPr>
              <w:t>Coverage matrix (reconciled with the repository inventory)</w:t>
            </w:r>
          </w:p>
        </w:tc>
      </w:tr>
      <w:tr>
        <w:trPr>
          <w:cantSplit/>
        </w:trPr>
        <w:tc>
          <w:tcPr>
            <w:tcW w:type="dxa" w:w="1152"/>
          </w:tcPr>
          <w:p>
            <w:pPr>
              <w:spacing w:after="0"/>
            </w:pPr>
            <w:r/>
            <w:r>
              <w:rPr>
                <w:sz w:val="14"/>
              </w:rPr>
              <w:t>Table 122</w:t>
            </w:r>
          </w:p>
        </w:tc>
        <w:tc>
          <w:tcPr>
            <w:tcW w:type="dxa" w:w="8208"/>
          </w:tcPr>
          <w:p>
            <w:pPr>
              <w:spacing w:after="0"/>
            </w:pPr>
            <w:r/>
            <w:r>
              <w:rPr>
                <w:sz w:val="14"/>
              </w:rPr>
              <w:t>Unverified components</w:t>
            </w:r>
          </w:p>
        </w:tc>
      </w:tr>
    </w:tbl>
    <w:p>
      <w:pPr>
        <w:spacing w:after="200"/>
      </w:pPr>
      <w:r>
        <w:rPr>
          <w:i/>
          <w:color w:val="555F6D"/>
          <w:sz w:val="17"/>
        </w:rPr>
        <w:t>Table 5. Tables in this document</w:t>
      </w:r>
    </w:p>
    <w:p>
      <w:bookmarkStart w:id="1006" w:name="_Toc1006"/>
      <w:pPr>
        <w:pStyle w:val="Heading1"/>
        <w:pageBreakBefore/>
      </w:pPr>
      <w:r>
        <w:t>Abbreviations</w:t>
      </w:r>
      <w:bookmarkEnd w:id="1006"/>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2160"/>
            <w:shd w:val="clear" w:color="auto" w:fill="1F3A5F"/>
          </w:tcPr>
          <w:p>
            <w:pPr>
              <w:spacing w:after="0"/>
            </w:pPr>
            <w:r/>
            <w:r>
              <w:rPr>
                <w:b/>
                <w:color w:val="FFFFFF"/>
                <w:sz w:val="16"/>
              </w:rPr>
              <w:t>Term</w:t>
            </w:r>
          </w:p>
        </w:tc>
        <w:tc>
          <w:tcPr>
            <w:tcW w:type="dxa" w:w="7200"/>
            <w:shd w:val="clear" w:color="auto" w:fill="1F3A5F"/>
          </w:tcPr>
          <w:p>
            <w:pPr>
              <w:spacing w:after="0"/>
            </w:pPr>
            <w:r/>
            <w:r>
              <w:rPr>
                <w:b/>
                <w:color w:val="FFFFFF"/>
                <w:sz w:val="16"/>
              </w:rPr>
              <w:t>Meaning</w:t>
            </w:r>
          </w:p>
        </w:tc>
      </w:tr>
      <w:tr>
        <w:trPr>
          <w:cantSplit/>
        </w:trPr>
        <w:tc>
          <w:tcPr>
            <w:tcW w:type="dxa" w:w="2160"/>
          </w:tcPr>
          <w:p>
            <w:pPr>
              <w:spacing w:after="0"/>
            </w:pPr>
            <w:r/>
            <w:r>
              <w:rPr>
                <w:sz w:val="16"/>
              </w:rPr>
              <w:t>AO / EC / NOO</w:t>
            </w:r>
          </w:p>
        </w:tc>
        <w:tc>
          <w:tcPr>
            <w:tcW w:type="dxa" w:w="7200"/>
          </w:tcPr>
          <w:p>
            <w:pPr>
              <w:spacing w:after="0"/>
            </w:pPr>
            <w:r/>
            <w:r>
              <w:rPr>
                <w:sz w:val="16"/>
              </w:rPr>
              <w:t>Order source labels: Office, sales-visit (E-Call), New Outlet Order. Parallel labels, not lifecycle stages.</w:t>
            </w:r>
          </w:p>
        </w:tc>
      </w:tr>
      <w:tr>
        <w:trPr>
          <w:cantSplit/>
        </w:trPr>
        <w:tc>
          <w:tcPr>
            <w:tcW w:type="dxa" w:w="2160"/>
          </w:tcPr>
          <w:p>
            <w:pPr>
              <w:spacing w:after="0"/>
            </w:pPr>
            <w:r/>
            <w:r>
              <w:rPr>
                <w:sz w:val="16"/>
              </w:rPr>
              <w:t>COA</w:t>
            </w:r>
          </w:p>
        </w:tc>
        <w:tc>
          <w:tcPr>
            <w:tcW w:type="dxa" w:w="7200"/>
          </w:tcPr>
          <w:p>
            <w:pPr>
              <w:spacing w:after="0"/>
            </w:pPr>
            <w:r/>
            <w:r>
              <w:rPr>
                <w:sz w:val="16"/>
              </w:rPr>
              <w:t>Chart of Accounts</w:t>
            </w:r>
          </w:p>
        </w:tc>
      </w:tr>
      <w:tr>
        <w:trPr>
          <w:cantSplit/>
        </w:trPr>
        <w:tc>
          <w:tcPr>
            <w:tcW w:type="dxa" w:w="2160"/>
          </w:tcPr>
          <w:p>
            <w:pPr>
              <w:spacing w:after="0"/>
            </w:pPr>
            <w:r/>
            <w:r>
              <w:rPr>
                <w:sz w:val="16"/>
              </w:rPr>
              <w:t>CO / checkout</w:t>
            </w:r>
          </w:p>
        </w:tc>
        <w:tc>
          <w:tcPr>
            <w:tcW w:type="dxa" w:w="7200"/>
          </w:tcPr>
          <w:p>
            <w:pPr>
              <w:spacing w:after="0"/>
            </w:pPr>
            <w:r/>
            <w:r>
              <w:rPr>
                <w:sz w:val="16"/>
              </w:rPr>
              <w:t>Checkout. Not a separate document type.</w:t>
            </w:r>
          </w:p>
        </w:tc>
      </w:tr>
      <w:tr>
        <w:trPr>
          <w:cantSplit/>
        </w:trPr>
        <w:tc>
          <w:tcPr>
            <w:tcW w:type="dxa" w:w="2160"/>
          </w:tcPr>
          <w:p>
            <w:pPr>
              <w:spacing w:after="0"/>
            </w:pPr>
            <w:r/>
            <w:r>
              <w:rPr>
                <w:sz w:val="16"/>
              </w:rPr>
              <w:t>DO</w:t>
            </w:r>
          </w:p>
        </w:tc>
        <w:tc>
          <w:tcPr>
            <w:tcW w:type="dxa" w:w="7200"/>
          </w:tcPr>
          <w:p>
            <w:pPr>
              <w:spacing w:after="0"/>
            </w:pPr>
            <w:r/>
            <w:r>
              <w:rPr>
                <w:sz w:val="16"/>
              </w:rPr>
              <w:t>Delivery Order (Surat Jalan)</w:t>
            </w:r>
          </w:p>
        </w:tc>
      </w:tr>
      <w:tr>
        <w:trPr>
          <w:cantSplit/>
        </w:trPr>
        <w:tc>
          <w:tcPr>
            <w:tcW w:type="dxa" w:w="2160"/>
          </w:tcPr>
          <w:p>
            <w:pPr>
              <w:spacing w:after="0"/>
            </w:pPr>
            <w:r/>
            <w:r>
              <w:rPr>
                <w:sz w:val="16"/>
              </w:rPr>
              <w:t>GR</w:t>
            </w:r>
          </w:p>
        </w:tc>
        <w:tc>
          <w:tcPr>
            <w:tcW w:type="dxa" w:w="7200"/>
          </w:tcPr>
          <w:p>
            <w:pPr>
              <w:spacing w:after="0"/>
            </w:pPr>
            <w:r/>
            <w:r>
              <w:rPr>
                <w:sz w:val="16"/>
              </w:rPr>
              <w:t>Goods Receipt</w:t>
            </w:r>
          </w:p>
        </w:tc>
      </w:tr>
      <w:tr>
        <w:trPr>
          <w:cantSplit/>
        </w:trPr>
        <w:tc>
          <w:tcPr>
            <w:tcW w:type="dxa" w:w="2160"/>
          </w:tcPr>
          <w:p>
            <w:pPr>
              <w:spacing w:after="0"/>
            </w:pPr>
            <w:r/>
            <w:r>
              <w:rPr>
                <w:sz w:val="16"/>
              </w:rPr>
              <w:t>HPP / LHPP</w:t>
            </w:r>
          </w:p>
        </w:tc>
        <w:tc>
          <w:tcPr>
            <w:tcW w:type="dxa" w:w="7200"/>
          </w:tcPr>
          <w:p>
            <w:pPr>
              <w:spacing w:after="0"/>
            </w:pPr>
            <w:r/>
            <w:r>
              <w:rPr>
                <w:sz w:val="16"/>
              </w:rPr>
              <w:t>Harga Pokok Penjualan / Laporan Hasil Penjualan &amp; Piutang — cost-of-goods and route settlement documents</w:t>
            </w:r>
          </w:p>
        </w:tc>
      </w:tr>
      <w:tr>
        <w:trPr>
          <w:cantSplit/>
        </w:trPr>
        <w:tc>
          <w:tcPr>
            <w:tcW w:type="dxa" w:w="2160"/>
          </w:tcPr>
          <w:p>
            <w:pPr>
              <w:spacing w:after="0"/>
            </w:pPr>
            <w:r/>
            <w:r>
              <w:rPr>
                <w:sz w:val="16"/>
              </w:rPr>
              <w:t>KVM</w:t>
            </w:r>
          </w:p>
        </w:tc>
        <w:tc>
          <w:tcPr>
            <w:tcW w:type="dxa" w:w="7200"/>
          </w:tcPr>
          <w:p>
            <w:pPr>
              <w:spacing w:after="0"/>
            </w:pPr>
            <w:r/>
            <w:r>
              <w:rPr>
                <w:sz w:val="16"/>
              </w:rPr>
              <w:t>Kernel-based Virtual Machine (the Hostinger VPS virtualisation)</w:t>
            </w:r>
          </w:p>
        </w:tc>
      </w:tr>
      <w:tr>
        <w:trPr>
          <w:cantSplit/>
        </w:trPr>
        <w:tc>
          <w:tcPr>
            <w:tcW w:type="dxa" w:w="2160"/>
          </w:tcPr>
          <w:p>
            <w:pPr>
              <w:spacing w:after="0"/>
            </w:pPr>
            <w:r/>
            <w:r>
              <w:rPr>
                <w:sz w:val="16"/>
              </w:rPr>
              <w:t>PO</w:t>
            </w:r>
          </w:p>
        </w:tc>
        <w:tc>
          <w:tcPr>
            <w:tcW w:type="dxa" w:w="7200"/>
          </w:tcPr>
          <w:p>
            <w:pPr>
              <w:spacing w:after="0"/>
            </w:pPr>
            <w:r/>
            <w:r>
              <w:rPr>
                <w:sz w:val="16"/>
              </w:rPr>
              <w:t>Purchase Order</w:t>
            </w:r>
          </w:p>
        </w:tc>
      </w:tr>
      <w:tr>
        <w:trPr>
          <w:cantSplit/>
        </w:trPr>
        <w:tc>
          <w:tcPr>
            <w:tcW w:type="dxa" w:w="2160"/>
          </w:tcPr>
          <w:p>
            <w:pPr>
              <w:spacing w:after="0"/>
            </w:pPr>
            <w:r/>
            <w:r>
              <w:rPr>
                <w:sz w:val="16"/>
              </w:rPr>
              <w:t>POS</w:t>
            </w:r>
          </w:p>
        </w:tc>
        <w:tc>
          <w:tcPr>
            <w:tcW w:type="dxa" w:w="7200"/>
          </w:tcPr>
          <w:p>
            <w:pPr>
              <w:spacing w:after="0"/>
            </w:pPr>
            <w:r/>
            <w:r>
              <w:rPr>
                <w:sz w:val="16"/>
              </w:rPr>
              <w:t>Point of Sale</w:t>
            </w:r>
          </w:p>
        </w:tc>
      </w:tr>
      <w:tr>
        <w:trPr>
          <w:cantSplit/>
        </w:trPr>
        <w:tc>
          <w:tcPr>
            <w:tcW w:type="dxa" w:w="2160"/>
          </w:tcPr>
          <w:p>
            <w:pPr>
              <w:spacing w:after="0"/>
            </w:pPr>
            <w:r/>
            <w:r>
              <w:rPr>
                <w:sz w:val="16"/>
              </w:rPr>
              <w:t>RBAC</w:t>
            </w:r>
          </w:p>
        </w:tc>
        <w:tc>
          <w:tcPr>
            <w:tcW w:type="dxa" w:w="7200"/>
          </w:tcPr>
          <w:p>
            <w:pPr>
              <w:spacing w:after="0"/>
            </w:pPr>
            <w:r/>
            <w:r>
              <w:rPr>
                <w:sz w:val="16"/>
              </w:rPr>
              <w:t>Role-Based Access Control</w:t>
            </w:r>
          </w:p>
        </w:tc>
      </w:tr>
      <w:tr>
        <w:trPr>
          <w:cantSplit/>
        </w:trPr>
        <w:tc>
          <w:tcPr>
            <w:tcW w:type="dxa" w:w="2160"/>
          </w:tcPr>
          <w:p>
            <w:pPr>
              <w:spacing w:after="0"/>
            </w:pPr>
            <w:r/>
            <w:r>
              <w:rPr>
                <w:sz w:val="16"/>
              </w:rPr>
              <w:t>RLS</w:t>
            </w:r>
          </w:p>
        </w:tc>
        <w:tc>
          <w:tcPr>
            <w:tcW w:type="dxa" w:w="7200"/>
          </w:tcPr>
          <w:p>
            <w:pPr>
              <w:spacing w:after="0"/>
            </w:pPr>
            <w:r/>
            <w:r>
              <w:rPr>
                <w:sz w:val="16"/>
              </w:rPr>
              <w:t>Row-Level Security (PostgreSQL feature; not used by this schema — see chapter 16)</w:t>
            </w:r>
          </w:p>
        </w:tc>
      </w:tr>
      <w:tr>
        <w:trPr>
          <w:cantSplit/>
        </w:trPr>
        <w:tc>
          <w:tcPr>
            <w:tcW w:type="dxa" w:w="2160"/>
          </w:tcPr>
          <w:p>
            <w:pPr>
              <w:spacing w:after="0"/>
            </w:pPr>
            <w:r/>
            <w:r>
              <w:rPr>
                <w:sz w:val="16"/>
              </w:rPr>
              <w:t>SO</w:t>
            </w:r>
          </w:p>
        </w:tc>
        <w:tc>
          <w:tcPr>
            <w:tcW w:type="dxa" w:w="7200"/>
          </w:tcPr>
          <w:p>
            <w:pPr>
              <w:spacing w:after="0"/>
            </w:pPr>
            <w:r/>
            <w:r>
              <w:rPr>
                <w:sz w:val="16"/>
              </w:rPr>
              <w:t>Sales Order</w:t>
            </w:r>
          </w:p>
        </w:tc>
      </w:tr>
      <w:tr>
        <w:trPr>
          <w:cantSplit/>
        </w:trPr>
        <w:tc>
          <w:tcPr>
            <w:tcW w:type="dxa" w:w="2160"/>
          </w:tcPr>
          <w:p>
            <w:pPr>
              <w:spacing w:after="0"/>
            </w:pPr>
            <w:r/>
            <w:r>
              <w:rPr>
                <w:sz w:val="16"/>
              </w:rPr>
              <w:t>SPA</w:t>
            </w:r>
          </w:p>
        </w:tc>
        <w:tc>
          <w:tcPr>
            <w:tcW w:type="dxa" w:w="7200"/>
          </w:tcPr>
          <w:p>
            <w:pPr>
              <w:spacing w:after="0"/>
            </w:pPr>
            <w:r/>
            <w:r>
              <w:rPr>
                <w:sz w:val="16"/>
              </w:rPr>
              <w:t>Single Page Application</w:t>
            </w:r>
          </w:p>
        </w:tc>
      </w:tr>
      <w:tr>
        <w:trPr>
          <w:cantSplit/>
        </w:trPr>
        <w:tc>
          <w:tcPr>
            <w:tcW w:type="dxa" w:w="2160"/>
          </w:tcPr>
          <w:p>
            <w:pPr>
              <w:spacing w:after="0"/>
            </w:pPr>
            <w:r/>
            <w:r>
              <w:rPr>
                <w:sz w:val="16"/>
              </w:rPr>
              <w:t>SSR</w:t>
            </w:r>
          </w:p>
        </w:tc>
        <w:tc>
          <w:tcPr>
            <w:tcW w:type="dxa" w:w="7200"/>
          </w:tcPr>
          <w:p>
            <w:pPr>
              <w:spacing w:after="0"/>
            </w:pPr>
            <w:r/>
            <w:r>
              <w:rPr>
                <w:sz w:val="16"/>
              </w:rPr>
              <w:t>Server-Side Rendering (Nuxt/Nitro)</w:t>
            </w:r>
          </w:p>
        </w:tc>
      </w:tr>
      <w:tr>
        <w:trPr>
          <w:cantSplit/>
        </w:trPr>
        <w:tc>
          <w:tcPr>
            <w:tcW w:type="dxa" w:w="2160"/>
          </w:tcPr>
          <w:p>
            <w:pPr>
              <w:spacing w:after="0"/>
            </w:pPr>
            <w:r/>
            <w:r>
              <w:rPr>
                <w:sz w:val="16"/>
              </w:rPr>
              <w:t>WIB</w:t>
            </w:r>
          </w:p>
        </w:tc>
        <w:tc>
          <w:tcPr>
            <w:tcW w:type="dxa" w:w="7200"/>
          </w:tcPr>
          <w:p>
            <w:pPr>
              <w:spacing w:after="0"/>
            </w:pPr>
            <w:r/>
            <w:r>
              <w:rPr>
                <w:sz w:val="16"/>
              </w:rPr>
              <w:t>Waktu Indonesia Barat (UTC+7), the business timezone</w:t>
            </w:r>
          </w:p>
        </w:tc>
      </w:tr>
    </w:tbl>
    <w:p>
      <w:pPr>
        <w:spacing w:after="200"/>
      </w:pPr>
      <w:r>
        <w:rPr>
          <w:i/>
          <w:color w:val="555F6D"/>
          <w:sz w:val="17"/>
        </w:rPr>
        <w:t>Table 6. Abbreviations</w:t>
      </w:r>
    </w:p>
    <w:p>
      <w:bookmarkStart w:id="1007" w:name="_Toc1007"/>
      <w:pPr>
        <w:pStyle w:val="Heading1"/>
        <w:pageBreakBefore/>
      </w:pPr>
      <w:r>
        <w:t>1. Executive summary</w:t>
      </w:r>
      <w:bookmarkEnd w:id="1007"/>
    </w:p>
    <w:p>
      <w:r>
        <w:rPr>
          <w:i w:val="0"/>
        </w:rPr>
        <w:t>KeluargaMart is a five-application monorepo: a Go REST API that owns every business rule, two Vue 3 single-page applications (back-office ERP and a cashier POS), a Nuxt 4 server-rendered wholesale storefront, and a Node/Chromium report renderer. A pnpm workspace plus Turborepo ties them together, and five small shared packages carry the route list, the permission list, formatting helpers, an HTTP wrapper and a set of design tokens.</w:t>
      </w:r>
    </w:p>
    <w:p>
      <w:bookmarkStart w:id="1008" w:name="_Toc1008"/>
      <w:pPr>
        <w:pStyle w:val="Heading2"/>
      </w:pPr>
      <w:r>
        <w:t>1.1 What was verified</w:t>
      </w:r>
      <w:bookmarkEnd w:id="1008"/>
    </w:p>
    <w:p>
      <w:pPr>
        <w:pStyle w:val="ListBullet"/>
      </w:pPr>
      <w:r>
        <w:t>373 method-routed HTTP operations are mounted and the same 373 appear in the OpenAPI contract — the two sets are equal, verified by parsing both and diffing (and by the repository's own TestMountedRoutesMatchOpenAPI). Two further routes, /reports/render and /reports/preview, are mounted with HandleFunc and therefore sit outside both sets (finding F-24).</w:t>
      </w:r>
    </w:p>
    <w:p>
      <w:pPr>
        <w:pStyle w:val="ListBullet"/>
      </w:pPr>
      <w:r>
        <w:t>201 permission keys in 12 catalogue groups are the single source for RBAC, and the generated client key list matches it exactly (pnpm drift:check passes). The client ROLES array does not match the backend role set (F-08), and 76 keys have no holder after a clean migration (F-22).</w:t>
      </w:r>
    </w:p>
    <w:p>
      <w:pPr>
        <w:pStyle w:val="ListBullet"/>
      </w:pPr>
      <w:r>
        <w:t>91 tables are created by the 123 migrations, and the migration runner adds schema_migrations on first boot — 92 base tables and 1031 columns in the running database, with 181 declared foreign keys, 269 indexes, 112 check constraints and two enforcing triggers.</w:t>
      </w:r>
    </w:p>
    <w:p>
      <w:pPr>
        <w:pStyle w:val="ListBullet"/>
      </w:pPr>
      <w:r>
        <w:t>All 1176 Go tests pass (38 skip by design) and all 653 JavaScript tests pass across eight workspace packages, when run against a real database.</w:t>
      </w:r>
    </w:p>
    <w:p>
      <w:pPr>
        <w:pStyle w:val="ListBullet"/>
      </w:pPr>
      <w:r>
        <w:t>A POS sale was executed end to end against the running backend: order created, stock deducted, invoice auto-issued, payment recorded, and an idempotent replay returned the same response while a conflicting payload returned 409.</w:t>
      </w:r>
    </w:p>
    <w:p>
      <w:bookmarkStart w:id="1009" w:name="_Toc1009"/>
      <w:pPr>
        <w:pStyle w:val="Heading2"/>
      </w:pPr>
      <w:r>
        <w:t>1.2 What the system actually is</w:t>
      </w:r>
      <w:bookmarkEnd w:id="1009"/>
    </w:p>
    <w:p>
      <w:r>
        <w:rPr>
          <w:i w:val="0"/>
        </w:rPr>
        <w:t>The backend is a modular monolith: 35 packages under apps/backend/internal, one chi router in cmd/server/main.go, and sqlc-generated pgx queries (531 named queries across 24 .sql files) for the older modules plus hand-written SQL for the newest ones. Authorisation is a two-axis model — role/glob permissions on one axis and an application-access scope on the other — with a per-user JSON override that can both grant and deny.</w:t>
      </w:r>
    </w:p>
    <w:p>
      <w:r>
        <w:rPr>
          <w:i w:val="0"/>
        </w:rPr>
        <w:t>Money is NUMERIC(15,2) and handled with shopspring/decimal; quantities are NUMERIC(12,4) with per-line conversion factors snapshotted at sale time. Document numbers come from one atomic upsert table (document_number_sequences) keyed by prefix and date, replacing the Laravel COUNT()+1 scheme that could collide.</w:t>
      </w:r>
    </w:p>
    <w:p>
      <w:pPr>
        <w:spacing w:after="160"/>
        <w:ind w:left="216"/>
        <w:pBdr>
          <w:left w:val="single" w:sz="18" w:space="6" w:color="1E6B3A"/>
        </w:pBdr>
      </w:pPr>
      <w:r>
        <w:rPr>
          <w:b/>
          <w:color w:val="1E6B3A"/>
          <w:sz w:val="19"/>
        </w:rPr>
        <w:t xml:space="preserve">Important structural fact: </w:t>
      </w:r>
      <w:r>
        <w:rPr>
          <w:sz w:val="19"/>
        </w:rPr>
        <w:t>The outlet is the tenancy boundary. stores.warehouse_id binds each outlet to exactly one warehouse, sales_orders.store_id records the origin, and every scoped service resolves the caller's store list from store_users before it touches stock, shifts or orders.</w:t>
      </w:r>
    </w:p>
    <w:p>
      <w:bookmarkStart w:id="1010" w:name="_Toc1010"/>
      <w:pPr>
        <w:pStyle w:val="Heading2"/>
      </w:pPr>
      <w:r>
        <w:t>1.3 Highest-risk findings</w:t>
      </w:r>
      <w:bookmarkEnd w:id="1010"/>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792"/>
            <w:shd w:val="clear" w:color="auto" w:fill="1F3A5F"/>
          </w:tcPr>
          <w:p>
            <w:pPr>
              <w:spacing w:after="0"/>
            </w:pPr>
            <w:r/>
            <w:r>
              <w:rPr>
                <w:b/>
                <w:color w:val="FFFFFF"/>
                <w:sz w:val="16"/>
              </w:rPr>
              <w:t>ID</w:t>
            </w:r>
          </w:p>
        </w:tc>
        <w:tc>
          <w:tcPr>
            <w:tcW w:type="dxa" w:w="1008"/>
            <w:shd w:val="clear" w:color="auto" w:fill="1F3A5F"/>
          </w:tcPr>
          <w:p>
            <w:pPr>
              <w:spacing w:after="0"/>
            </w:pPr>
            <w:r/>
            <w:r>
              <w:rPr>
                <w:b/>
                <w:color w:val="FFFFFF"/>
                <w:sz w:val="16"/>
              </w:rPr>
              <w:t>Severity</w:t>
            </w:r>
          </w:p>
        </w:tc>
        <w:tc>
          <w:tcPr>
            <w:tcW w:type="dxa" w:w="3384"/>
            <w:shd w:val="clear" w:color="auto" w:fill="1F3A5F"/>
          </w:tcPr>
          <w:p>
            <w:pPr>
              <w:spacing w:after="0"/>
            </w:pPr>
            <w:r/>
            <w:r>
              <w:rPr>
                <w:b/>
                <w:color w:val="FFFFFF"/>
                <w:sz w:val="16"/>
              </w:rPr>
              <w:t>Finding</w:t>
            </w:r>
          </w:p>
        </w:tc>
        <w:tc>
          <w:tcPr>
            <w:tcW w:type="dxa" w:w="4176"/>
            <w:shd w:val="clear" w:color="auto" w:fill="1F3A5F"/>
          </w:tcPr>
          <w:p>
            <w:pPr>
              <w:spacing w:after="0"/>
            </w:pPr>
            <w:r/>
            <w:r>
              <w:rPr>
                <w:b/>
                <w:color w:val="FFFFFF"/>
                <w:sz w:val="16"/>
              </w:rPr>
              <w:t>Why it matters</w:t>
            </w:r>
          </w:p>
        </w:tc>
      </w:tr>
      <w:tr>
        <w:trPr>
          <w:cantSplit/>
        </w:trPr>
        <w:tc>
          <w:tcPr>
            <w:tcW w:type="dxa" w:w="792"/>
          </w:tcPr>
          <w:p>
            <w:pPr>
              <w:spacing w:after="0"/>
            </w:pPr>
            <w:r/>
            <w:r>
              <w:rPr>
                <w:sz w:val="16"/>
              </w:rPr>
              <w:t>F-22</w:t>
            </w:r>
          </w:p>
        </w:tc>
        <w:tc>
          <w:tcPr>
            <w:tcW w:type="dxa" w:w="1008"/>
          </w:tcPr>
          <w:p>
            <w:pPr>
              <w:spacing w:after="0"/>
            </w:pPr>
            <w:r/>
            <w:r>
              <w:rPr>
                <w:sz w:val="16"/>
              </w:rPr>
              <w:t>High</w:t>
            </w:r>
          </w:p>
        </w:tc>
        <w:tc>
          <w:tcPr>
            <w:tcW w:type="dxa" w:w="3384"/>
          </w:tcPr>
          <w:p>
            <w:pPr>
              <w:spacing w:after="0"/>
            </w:pPr>
            <w:r/>
            <w:r>
              <w:rPr>
                <w:sz w:val="16"/>
              </w:rPr>
              <w:t>Launch-reset migration left 76 of 201 permission keys unheld by any role</w:t>
            </w:r>
          </w:p>
        </w:tc>
        <w:tc>
          <w:tcPr>
            <w:tcW w:type="dxa" w:w="4176"/>
          </w:tcPr>
          <w:p>
            <w:pPr>
              <w:spacing w:after="0"/>
            </w:pPr>
            <w:r/>
            <w:r>
              <w:rPr>
                <w:sz w:val="16"/>
              </w:rPr>
              <w:t>On a fresh deployment only admin/owner can create products, read financial reports, administer users or deliver orders.</w:t>
            </w:r>
          </w:p>
        </w:tc>
      </w:tr>
      <w:tr>
        <w:trPr>
          <w:cantSplit/>
        </w:trPr>
        <w:tc>
          <w:tcPr>
            <w:tcW w:type="dxa" w:w="792"/>
          </w:tcPr>
          <w:p>
            <w:pPr>
              <w:spacing w:after="0"/>
            </w:pPr>
            <w:r/>
            <w:r>
              <w:rPr>
                <w:sz w:val="16"/>
              </w:rPr>
              <w:t>F-03</w:t>
            </w:r>
          </w:p>
        </w:tc>
        <w:tc>
          <w:tcPr>
            <w:tcW w:type="dxa" w:w="1008"/>
          </w:tcPr>
          <w:p>
            <w:pPr>
              <w:spacing w:after="0"/>
            </w:pPr>
            <w:r/>
            <w:r>
              <w:rPr>
                <w:sz w:val="16"/>
              </w:rPr>
              <w:t>High</w:t>
            </w:r>
          </w:p>
        </w:tc>
        <w:tc>
          <w:tcPr>
            <w:tcW w:type="dxa" w:w="3384"/>
          </w:tcPr>
          <w:p>
            <w:pPr>
              <w:spacing w:after="0"/>
            </w:pPr>
            <w:r/>
            <w:r>
              <w:rPr>
                <w:sz w:val="16"/>
              </w:rPr>
              <w:t>CI pins Go 1.24 while go.mod requires 1.26.5</w:t>
            </w:r>
          </w:p>
        </w:tc>
        <w:tc>
          <w:tcPr>
            <w:tcW w:type="dxa" w:w="4176"/>
          </w:tcPr>
          <w:p>
            <w:pPr>
              <w:spacing w:after="0"/>
            </w:pPr>
            <w:r/>
            <w:r>
              <w:rPr>
                <w:sz w:val="16"/>
              </w:rPr>
              <w:t>The backend quality gate cannot build; every PR would fail or silently skip the build step.</w:t>
            </w:r>
          </w:p>
        </w:tc>
      </w:tr>
      <w:tr>
        <w:trPr>
          <w:cantSplit/>
        </w:trPr>
        <w:tc>
          <w:tcPr>
            <w:tcW w:type="dxa" w:w="792"/>
          </w:tcPr>
          <w:p>
            <w:pPr>
              <w:spacing w:after="0"/>
            </w:pPr>
            <w:r/>
            <w:r>
              <w:rPr>
                <w:sz w:val="16"/>
              </w:rPr>
              <w:t>F-05</w:t>
            </w:r>
          </w:p>
        </w:tc>
        <w:tc>
          <w:tcPr>
            <w:tcW w:type="dxa" w:w="1008"/>
          </w:tcPr>
          <w:p>
            <w:pPr>
              <w:spacing w:after="0"/>
            </w:pPr>
            <w:r/>
            <w:r>
              <w:rPr>
                <w:sz w:val="16"/>
              </w:rPr>
              <w:t>High</w:t>
            </w:r>
          </w:p>
        </w:tc>
        <w:tc>
          <w:tcPr>
            <w:tcW w:type="dxa" w:w="3384"/>
          </w:tcPr>
          <w:p>
            <w:pPr>
              <w:spacing w:after="0"/>
            </w:pPr>
            <w:r/>
            <w:r>
              <w:rPr>
                <w:sz w:val="16"/>
              </w:rPr>
              <w:t>Integration tests TRUNCATE 66 tables when consent is given</w:t>
            </w:r>
          </w:p>
        </w:tc>
        <w:tc>
          <w:tcPr>
            <w:tcW w:type="dxa" w:w="4176"/>
          </w:tcPr>
          <w:p>
            <w:pPr>
              <w:spacing w:after="0"/>
            </w:pPr>
            <w:r/>
            <w:r>
              <w:rPr>
                <w:sz w:val="16"/>
              </w:rPr>
              <w:t>A single mis-pointed DATABASE_URL destroys business data. The repository's own comment records this happening once.</w:t>
            </w:r>
          </w:p>
        </w:tc>
      </w:tr>
      <w:tr>
        <w:trPr>
          <w:cantSplit/>
        </w:trPr>
        <w:tc>
          <w:tcPr>
            <w:tcW w:type="dxa" w:w="792"/>
          </w:tcPr>
          <w:p>
            <w:pPr>
              <w:spacing w:after="0"/>
            </w:pPr>
            <w:r/>
            <w:r>
              <w:rPr>
                <w:sz w:val="16"/>
              </w:rPr>
              <w:t>F-14</w:t>
            </w:r>
          </w:p>
        </w:tc>
        <w:tc>
          <w:tcPr>
            <w:tcW w:type="dxa" w:w="1008"/>
          </w:tcPr>
          <w:p>
            <w:pPr>
              <w:spacing w:after="0"/>
            </w:pPr>
            <w:r/>
            <w:r>
              <w:rPr>
                <w:sz w:val="16"/>
              </w:rPr>
              <w:t>Medium</w:t>
            </w:r>
          </w:p>
        </w:tc>
        <w:tc>
          <w:tcPr>
            <w:tcW w:type="dxa" w:w="3384"/>
          </w:tcPr>
          <w:p>
            <w:pPr>
              <w:spacing w:after="0"/>
            </w:pPr>
            <w:r/>
            <w:r>
              <w:rPr>
                <w:sz w:val="16"/>
              </w:rPr>
              <w:t>ERP mints a random Idempotency-Key for unmigrated writes</w:t>
            </w:r>
          </w:p>
        </w:tc>
        <w:tc>
          <w:tcPr>
            <w:tcW w:type="dxa" w:w="4176"/>
          </w:tcPr>
          <w:p>
            <w:pPr>
              <w:spacing w:after="0"/>
            </w:pPr>
            <w:r/>
            <w:r>
              <w:rPr>
                <w:sz w:val="16"/>
              </w:rPr>
              <w:t>Double submission of money forms is not actually protected on those call sites.</w:t>
            </w:r>
          </w:p>
        </w:tc>
      </w:tr>
      <w:tr>
        <w:trPr>
          <w:cantSplit/>
        </w:trPr>
        <w:tc>
          <w:tcPr>
            <w:tcW w:type="dxa" w:w="792"/>
          </w:tcPr>
          <w:p>
            <w:pPr>
              <w:spacing w:after="0"/>
            </w:pPr>
            <w:r/>
            <w:r>
              <w:rPr>
                <w:sz w:val="16"/>
              </w:rPr>
              <w:t>F-07</w:t>
            </w:r>
          </w:p>
        </w:tc>
        <w:tc>
          <w:tcPr>
            <w:tcW w:type="dxa" w:w="1008"/>
          </w:tcPr>
          <w:p>
            <w:pPr>
              <w:spacing w:after="0"/>
            </w:pPr>
            <w:r/>
            <w:r>
              <w:rPr>
                <w:sz w:val="16"/>
              </w:rPr>
              <w:t>Medium</w:t>
            </w:r>
          </w:p>
        </w:tc>
        <w:tc>
          <w:tcPr>
            <w:tcW w:type="dxa" w:w="3384"/>
          </w:tcPr>
          <w:p>
            <w:pPr>
              <w:spacing w:after="0"/>
            </w:pPr>
            <w:r/>
            <w:r>
              <w:rPr>
                <w:sz w:val="16"/>
              </w:rPr>
              <w:t>SMTP_FROM is never read from the environment</w:t>
            </w:r>
          </w:p>
        </w:tc>
        <w:tc>
          <w:tcPr>
            <w:tcW w:type="dxa" w:w="4176"/>
          </w:tcPr>
          <w:p>
            <w:pPr>
              <w:spacing w:after="0"/>
            </w:pPr>
            <w:r/>
            <w:r>
              <w:rPr>
                <w:sz w:val="16"/>
              </w:rPr>
              <w:t>Password-reset mail leaves with an empty From header and is rejected or spam-filed.</w:t>
            </w:r>
          </w:p>
        </w:tc>
      </w:tr>
      <w:tr>
        <w:trPr>
          <w:cantSplit/>
        </w:trPr>
        <w:tc>
          <w:tcPr>
            <w:tcW w:type="dxa" w:w="792"/>
          </w:tcPr>
          <w:p>
            <w:pPr>
              <w:spacing w:after="0"/>
            </w:pPr>
            <w:r/>
            <w:r>
              <w:rPr>
                <w:sz w:val="16"/>
              </w:rPr>
              <w:t>F-17</w:t>
            </w:r>
          </w:p>
        </w:tc>
        <w:tc>
          <w:tcPr>
            <w:tcW w:type="dxa" w:w="1008"/>
          </w:tcPr>
          <w:p>
            <w:pPr>
              <w:spacing w:after="0"/>
            </w:pPr>
            <w:r/>
            <w:r>
              <w:rPr>
                <w:sz w:val="16"/>
              </w:rPr>
              <w:t>Medium</w:t>
            </w:r>
          </w:p>
        </w:tc>
        <w:tc>
          <w:tcPr>
            <w:tcW w:type="dxa" w:w="3384"/>
          </w:tcPr>
          <w:p>
            <w:pPr>
              <w:spacing w:after="0"/>
            </w:pPr>
            <w:r/>
            <w:r>
              <w:rPr>
                <w:sz w:val="16"/>
              </w:rPr>
              <w:t>POS has no offline queue, despite documentation claiming one</w:t>
            </w:r>
          </w:p>
        </w:tc>
        <w:tc>
          <w:tcPr>
            <w:tcW w:type="dxa" w:w="4176"/>
          </w:tcPr>
          <w:p>
            <w:pPr>
              <w:spacing w:after="0"/>
            </w:pPr>
            <w:r/>
            <w:r>
              <w:rPr>
                <w:sz w:val="16"/>
              </w:rPr>
              <w:t>A cashier may believe sales survive a network drop; they do not.</w:t>
            </w:r>
          </w:p>
        </w:tc>
      </w:tr>
      <w:tr>
        <w:trPr>
          <w:cantSplit/>
        </w:trPr>
        <w:tc>
          <w:tcPr>
            <w:tcW w:type="dxa" w:w="792"/>
          </w:tcPr>
          <w:p>
            <w:pPr>
              <w:spacing w:after="0"/>
            </w:pPr>
            <w:r/>
            <w:r>
              <w:rPr>
                <w:sz w:val="16"/>
              </w:rPr>
              <w:t>F-10</w:t>
            </w:r>
          </w:p>
        </w:tc>
        <w:tc>
          <w:tcPr>
            <w:tcW w:type="dxa" w:w="1008"/>
          </w:tcPr>
          <w:p>
            <w:pPr>
              <w:spacing w:after="0"/>
            </w:pPr>
            <w:r/>
            <w:r>
              <w:rPr>
                <w:sz w:val="16"/>
              </w:rPr>
              <w:t>Medium</w:t>
            </w:r>
          </w:p>
        </w:tc>
        <w:tc>
          <w:tcPr>
            <w:tcW w:type="dxa" w:w="3384"/>
          </w:tcPr>
          <w:p>
            <w:pPr>
              <w:spacing w:after="0"/>
            </w:pPr>
            <w:r/>
            <w:r>
              <w:rPr>
                <w:sz w:val="16"/>
              </w:rPr>
              <w:t>Two compose stacks disagree on Postgres version and ports</w:t>
            </w:r>
          </w:p>
        </w:tc>
        <w:tc>
          <w:tcPr>
            <w:tcW w:type="dxa" w:w="4176"/>
          </w:tcPr>
          <w:p>
            <w:pPr>
              <w:spacing w:after="0"/>
            </w:pPr>
            <w:r/>
            <w:r>
              <w:rPr>
                <w:sz w:val="16"/>
              </w:rPr>
              <w:t>Following the wrong runbook yields a stack that does not match the tunnel ingress.</w:t>
            </w:r>
          </w:p>
        </w:tc>
      </w:tr>
    </w:tbl>
    <w:p>
      <w:pPr>
        <w:spacing w:after="200"/>
      </w:pPr>
      <w:r>
        <w:rPr>
          <w:i/>
          <w:color w:val="555F6D"/>
          <w:sz w:val="17"/>
        </w:rPr>
        <w:t>Table 7. Highest-severity findings (full register in chapter 38)</w:t>
      </w:r>
    </w:p>
    <w:p>
      <w:bookmarkStart w:id="1011" w:name="_Toc1011"/>
      <w:pPr>
        <w:pStyle w:val="Heading2"/>
      </w:pPr>
      <w:r>
        <w:t>1.4 Scope boundary of this document</w:t>
      </w:r>
      <w:bookmarkEnd w:id="1011"/>
    </w:p>
    <w:p>
      <w:r>
        <w:rPr>
          <w:i w:val="0"/>
        </w:rPr>
        <w:t>This audit read the repository and executed it locally. It did not connect to any production database, did not deploy, and did not modify the working tree except to add documentation artifacts under docs/. The Cloudflare tunnel mapping, the GHCR images and the Hostinger VPS were verified only as far as the repository documents them; no live infrastructure was inspected. Those areas are marked as documented intention rather than verified runtime behaviour.</w:t>
      </w:r>
    </w:p>
    <w:p>
      <w:bookmarkStart w:id="1012" w:name="_Toc1012"/>
      <w:pPr>
        <w:pStyle w:val="Heading1"/>
        <w:pageBreakBefore/>
      </w:pPr>
      <w:r>
        <w:t>2. Scope, methodology and evidence standards</w:t>
      </w:r>
      <w:bookmarkEnd w:id="1012"/>
    </w:p>
    <w:p>
      <w:bookmarkStart w:id="1013" w:name="_Toc1013"/>
      <w:pPr>
        <w:pStyle w:val="Heading2"/>
      </w:pPr>
      <w:r>
        <w:t>2.1 Method</w:t>
      </w:r>
      <w:bookmarkEnd w:id="1013"/>
    </w:p>
    <w:p>
      <w:pPr>
        <w:pStyle w:val="ListNumber"/>
      </w:pPr>
      <w:r>
        <w:t>Enumerated the tracked file set with git ls-files and classified it by extension and directory.</w:t>
      </w:r>
    </w:p>
    <w:p>
      <w:pPr>
        <w:pStyle w:val="ListNumber"/>
      </w:pPr>
      <w:r>
        <w:t>Read every root manifest (package.json, pnpm-workspace.yaml, turbo.json, .env.example) and every AGENTS.md.</w:t>
      </w:r>
    </w:p>
    <w:p>
      <w:pPr>
        <w:pStyle w:val="ListNumber"/>
      </w:pPr>
      <w:r>
        <w:t>Parsed the Go router with the repository's own AST extractor (TestAuditDumpRoutes, added temporarily) to obtain the mounted route set together with its middleware gate stack.</w:t>
      </w:r>
    </w:p>
    <w:p>
      <w:pPr>
        <w:pStyle w:val="ListNumber"/>
      </w:pPr>
      <w:r>
        <w:t>Diffed that route set against apps/backend/docs/openapi.yaml and against packages/contracts/src/routes.txt.</w:t>
      </w:r>
    </w:p>
    <w:p>
      <w:pPr>
        <w:pStyle w:val="ListNumber"/>
      </w:pPr>
      <w:r>
        <w:t>Applied all 123 migrations, in version order, to a throwaway PostgreSQL 16 container, then introspected information_schema and pg_catalog for tables, columns, constraints, indexes, sequences, functions and triggers.</w:t>
      </w:r>
    </w:p>
    <w:p>
      <w:pPr>
        <w:pStyle w:val="ListNumber"/>
      </w:pPr>
      <w:r>
        <w:t>Started the backend against that database with Redis, and exercised health, login, catalogue, POS checkout, idempotency replay/conflict, and PDF report rendering.</w:t>
      </w:r>
    </w:p>
    <w:p>
      <w:pPr>
        <w:pStyle w:val="ListNumber"/>
      </w:pPr>
      <w:r>
        <w:t>Ran the complete Go suite (with and without the destructive-integration consent) and the complete JS suite via Turborepo.</w:t>
      </w:r>
    </w:p>
    <w:p>
      <w:pPr>
        <w:pStyle w:val="ListNumber"/>
      </w:pPr>
      <w:r>
        <w:t>Extracted the ERP router, the ERP navigation config, the POS router and the B2B page tree, and cross-checked every UI permission key against the backend catalogue.</w:t>
      </w:r>
    </w:p>
    <w:p>
      <w:bookmarkStart w:id="1014" w:name="_Toc1014"/>
      <w:pPr>
        <w:pStyle w:val="Heading2"/>
      </w:pPr>
      <w:r>
        <w:t>2.2 Reproducibility</w:t>
      </w:r>
      <w:bookmarkEnd w:id="1014"/>
    </w:p>
    <w:p>
      <w:r>
        <w:rPr>
          <w:i w:val="0"/>
        </w:rPr>
        <w:t>Every inventory in this document is produced by a script committed under docs/audit/tools and docs/docgen. The raw introspection dumps live in docs/audit/raw. Re-running docs/docgen/build_doc.py regenerates this DOCX; re-running docs/diagrams/gen_erd.py regenerates the ER diagrams from the live schema.</w:t>
      </w:r>
    </w:p>
    <w:p>
      <w:pPr>
        <w:spacing w:after="0" w:before="0"/>
        <w:ind w:left="216"/>
      </w:pPr>
      <w:r>
        <w:rPr>
          <w:rFonts w:ascii="Consolas" w:hAnsi="Consolas"/>
          <w:color w:val="1A1A1A"/>
          <w:sz w:val="16"/>
        </w:rPr>
        <w:t># Reproduce the audit environment (isolated; no production contact)</w:t>
      </w:r>
    </w:p>
    <w:p>
      <w:pPr>
        <w:spacing w:after="0" w:before="0"/>
        <w:ind w:left="216"/>
      </w:pPr>
      <w:r>
        <w:rPr>
          <w:rFonts w:ascii="Consolas" w:hAnsi="Consolas"/>
          <w:color w:val="1A1A1A"/>
          <w:sz w:val="16"/>
        </w:rPr>
        <w:t>podman run -d --name km-audit-pg -e POSTGRES_USER=audit \</w:t>
      </w:r>
    </w:p>
    <w:p>
      <w:pPr>
        <w:spacing w:after="0" w:before="0"/>
        <w:ind w:left="216"/>
      </w:pPr>
      <w:r>
        <w:rPr>
          <w:rFonts w:ascii="Consolas" w:hAnsi="Consolas"/>
          <w:color w:val="1A1A1A"/>
          <w:sz w:val="16"/>
        </w:rPr>
        <w:t xml:space="preserve">  -e POSTGRES_PASSWORD=auditpw -e POSTGRES_DB=km \</w:t>
      </w:r>
    </w:p>
    <w:p>
      <w:pPr>
        <w:spacing w:after="0" w:before="0"/>
        <w:ind w:left="216"/>
      </w:pPr>
      <w:r>
        <w:rPr>
          <w:rFonts w:ascii="Consolas" w:hAnsi="Consolas"/>
          <w:color w:val="1A1A1A"/>
          <w:sz w:val="16"/>
        </w:rPr>
        <w:t xml:space="preserve">  -p 127.0.0.1:55433:5432 docker.io/library/postgres:16-alpine</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cd apps/backend/migrations</w:t>
      </w:r>
    </w:p>
    <w:p>
      <w:pPr>
        <w:spacing w:after="0" w:before="0"/>
        <w:ind w:left="216"/>
      </w:pPr>
      <w:r>
        <w:rPr>
          <w:rFonts w:ascii="Consolas" w:hAnsi="Consolas"/>
          <w:color w:val="1A1A1A"/>
          <w:sz w:val="16"/>
        </w:rPr>
        <w:t>for f in $(ls [0-9]*.sql | sort); do</w:t>
      </w:r>
    </w:p>
    <w:p>
      <w:pPr>
        <w:spacing w:after="0" w:before="0"/>
        <w:ind w:left="216"/>
      </w:pPr>
      <w:r>
        <w:rPr>
          <w:rFonts w:ascii="Consolas" w:hAnsi="Consolas"/>
          <w:color w:val="1A1A1A"/>
          <w:sz w:val="16"/>
        </w:rPr>
        <w:t xml:space="preserve">  podman exec -i km-audit-pg psql -U audit -d km \</w:t>
      </w:r>
    </w:p>
    <w:p>
      <w:pPr>
        <w:spacing w:after="0" w:before="0"/>
        <w:ind w:left="216"/>
      </w:pPr>
      <w:r>
        <w:rPr>
          <w:rFonts w:ascii="Consolas" w:hAnsi="Consolas"/>
          <w:color w:val="1A1A1A"/>
          <w:sz w:val="16"/>
        </w:rPr>
        <w:t xml:space="preserve">    -v ON_ERROR_STOP=1 -q --single-transaction &lt; "$f"</w:t>
      </w:r>
    </w:p>
    <w:p>
      <w:pPr>
        <w:spacing w:after="0" w:before="0"/>
        <w:ind w:left="216"/>
      </w:pPr>
      <w:r>
        <w:rPr>
          <w:rFonts w:ascii="Consolas" w:hAnsi="Consolas"/>
          <w:color w:val="1A1A1A"/>
          <w:sz w:val="16"/>
        </w:rPr>
        <w:t>done</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 Backend</w:t>
      </w:r>
    </w:p>
    <w:p>
      <w:pPr>
        <w:spacing w:after="0" w:before="0"/>
        <w:ind w:left="216"/>
      </w:pPr>
      <w:r>
        <w:rPr>
          <w:rFonts w:ascii="Consolas" w:hAnsi="Consolas"/>
          <w:color w:val="1A1A1A"/>
          <w:sz w:val="16"/>
        </w:rPr>
        <w:t>cd ../..</w:t>
      </w:r>
    </w:p>
    <w:p>
      <w:pPr>
        <w:spacing w:after="0" w:before="0"/>
        <w:ind w:left="216"/>
      </w:pPr>
      <w:r>
        <w:rPr>
          <w:rFonts w:ascii="Consolas" w:hAnsi="Consolas"/>
          <w:color w:val="1A1A1A"/>
          <w:sz w:val="16"/>
        </w:rPr>
        <w:t>DATABASE_URL='postgres://audit:auditpw@127.0.0.1:55433/km?sslmode=disable' \</w:t>
      </w:r>
    </w:p>
    <w:p>
      <w:pPr>
        <w:spacing w:after="0" w:before="0"/>
        <w:ind w:left="216"/>
      </w:pPr>
      <w:r>
        <w:rPr>
          <w:rFonts w:ascii="Consolas" w:hAnsi="Consolas"/>
          <w:color w:val="1A1A1A"/>
          <w:sz w:val="16"/>
        </w:rPr>
        <w:t>REDIS_URL='redis://127.0.0.1:56379/0' APP_PORT=18080 \</w:t>
      </w:r>
    </w:p>
    <w:p>
      <w:pPr>
        <w:spacing w:after="0" w:before="0"/>
        <w:ind w:left="216"/>
      </w:pPr>
      <w:r>
        <w:rPr>
          <w:rFonts w:ascii="Consolas" w:hAnsi="Consolas"/>
          <w:color w:val="1A1A1A"/>
          <w:sz w:val="16"/>
        </w:rPr>
        <w:t xml:space="preserve">  go run ./cmd/server</w:t>
      </w:r>
    </w:p>
    <w:p>
      <w:pPr>
        <w:spacing w:after="200"/>
      </w:pPr>
      <w:r>
        <w:rPr>
          <w:i/>
          <w:color w:val="555F6D"/>
          <w:sz w:val="17"/>
        </w:rPr>
        <w:t>Table 8. Audit environment reproduction</w:t>
      </w:r>
    </w:p>
    <w:p>
      <w:bookmarkStart w:id="1015" w:name="_Toc1015"/>
      <w:pPr>
        <w:pStyle w:val="Heading2"/>
      </w:pPr>
      <w:r>
        <w:t>2.3 What could not be verified</w:t>
      </w:r>
      <w:bookmarkEnd w:id="1015"/>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160"/>
            <w:shd w:val="clear" w:color="auto" w:fill="1F3A5F"/>
          </w:tcPr>
          <w:p>
            <w:pPr>
              <w:spacing w:after="0"/>
            </w:pPr>
            <w:r/>
            <w:r>
              <w:rPr>
                <w:b/>
                <w:color w:val="FFFFFF"/>
                <w:sz w:val="16"/>
              </w:rPr>
              <w:t>Area</w:t>
            </w:r>
          </w:p>
        </w:tc>
        <w:tc>
          <w:tcPr>
            <w:tcW w:type="dxa" w:w="3456"/>
            <w:shd w:val="clear" w:color="auto" w:fill="1F3A5F"/>
          </w:tcPr>
          <w:p>
            <w:pPr>
              <w:spacing w:after="0"/>
            </w:pPr>
            <w:r/>
            <w:r>
              <w:rPr>
                <w:b/>
                <w:color w:val="FFFFFF"/>
                <w:sz w:val="16"/>
              </w:rPr>
              <w:t>Reason</w:t>
            </w:r>
          </w:p>
        </w:tc>
        <w:tc>
          <w:tcPr>
            <w:tcW w:type="dxa" w:w="3744"/>
            <w:shd w:val="clear" w:color="auto" w:fill="1F3A5F"/>
          </w:tcPr>
          <w:p>
            <w:pPr>
              <w:spacing w:after="0"/>
            </w:pPr>
            <w:r/>
            <w:r>
              <w:rPr>
                <w:b/>
                <w:color w:val="FFFFFF"/>
                <w:sz w:val="16"/>
              </w:rPr>
              <w:t>Status in this document</w:t>
            </w:r>
          </w:p>
        </w:tc>
      </w:tr>
      <w:tr>
        <w:trPr>
          <w:cantSplit/>
        </w:trPr>
        <w:tc>
          <w:tcPr>
            <w:tcW w:type="dxa" w:w="2160"/>
          </w:tcPr>
          <w:p>
            <w:pPr>
              <w:spacing w:after="0"/>
            </w:pPr>
            <w:r/>
            <w:r>
              <w:rPr>
                <w:sz w:val="16"/>
              </w:rPr>
              <w:t>Production runtime state</w:t>
            </w:r>
          </w:p>
        </w:tc>
        <w:tc>
          <w:tcPr>
            <w:tcW w:type="dxa" w:w="3456"/>
          </w:tcPr>
          <w:p>
            <w:pPr>
              <w:spacing w:after="0"/>
            </w:pPr>
            <w:r/>
            <w:r>
              <w:rPr>
                <w:sz w:val="16"/>
              </w:rPr>
              <w:t>No access to the Hostinger VPS or its containers.</w:t>
            </w:r>
          </w:p>
        </w:tc>
        <w:tc>
          <w:tcPr>
            <w:tcW w:type="dxa" w:w="3744"/>
          </w:tcPr>
          <w:p>
            <w:pPr>
              <w:spacing w:after="0"/>
            </w:pPr>
            <w:r/>
            <w:r>
              <w:rPr>
                <w:sz w:val="16"/>
              </w:rPr>
              <w:t>Documented intention from compose + runbooks; no measured values.</w:t>
            </w:r>
          </w:p>
        </w:tc>
      </w:tr>
      <w:tr>
        <w:trPr>
          <w:cantSplit/>
        </w:trPr>
        <w:tc>
          <w:tcPr>
            <w:tcW w:type="dxa" w:w="2160"/>
          </w:tcPr>
          <w:p>
            <w:pPr>
              <w:spacing w:after="0"/>
            </w:pPr>
            <w:r/>
            <w:r>
              <w:rPr>
                <w:sz w:val="16"/>
              </w:rPr>
              <w:t>Cloudflare tunnel configuration</w:t>
            </w:r>
          </w:p>
        </w:tc>
        <w:tc>
          <w:tcPr>
            <w:tcW w:type="dxa" w:w="3456"/>
          </w:tcPr>
          <w:p>
            <w:pPr>
              <w:spacing w:after="0"/>
            </w:pPr>
            <w:r/>
            <w:r>
              <w:rPr>
                <w:sz w:val="16"/>
              </w:rPr>
              <w:t>cloudflared config.yml is not committed (it carries the tunnel UUID and credentials).</w:t>
            </w:r>
          </w:p>
        </w:tc>
        <w:tc>
          <w:tcPr>
            <w:tcW w:type="dxa" w:w="3744"/>
          </w:tcPr>
          <w:p>
            <w:pPr>
              <w:spacing w:after="0"/>
            </w:pPr>
            <w:r/>
            <w:r>
              <w:rPr>
                <w:sz w:val="16"/>
              </w:rPr>
              <w:t>Hostname→port mapping taken from docs/deployment/cloudflare-tunnel.md and cross-checked against compose port bindings.</w:t>
            </w:r>
          </w:p>
        </w:tc>
      </w:tr>
      <w:tr>
        <w:trPr>
          <w:cantSplit/>
        </w:trPr>
        <w:tc>
          <w:tcPr>
            <w:tcW w:type="dxa" w:w="2160"/>
          </w:tcPr>
          <w:p>
            <w:pPr>
              <w:spacing w:after="0"/>
            </w:pPr>
            <w:r/>
            <w:r>
              <w:rPr>
                <w:sz w:val="16"/>
              </w:rPr>
              <w:t>GHCR image contents</w:t>
            </w:r>
          </w:p>
        </w:tc>
        <w:tc>
          <w:tcPr>
            <w:tcW w:type="dxa" w:w="3456"/>
          </w:tcPr>
          <w:p>
            <w:pPr>
              <w:spacing w:after="0"/>
            </w:pPr>
            <w:r/>
            <w:r>
              <w:rPr>
                <w:sz w:val="16"/>
              </w:rPr>
              <w:t>No registry access during the audit.</w:t>
            </w:r>
          </w:p>
        </w:tc>
        <w:tc>
          <w:tcPr>
            <w:tcW w:type="dxa" w:w="3744"/>
          </w:tcPr>
          <w:p>
            <w:pPr>
              <w:spacing w:after="0"/>
            </w:pPr>
            <w:r/>
            <w:r>
              <w:rPr>
                <w:sz w:val="16"/>
              </w:rPr>
              <w:t>Image names and tags read from the workflow and compose files.</w:t>
            </w:r>
          </w:p>
        </w:tc>
      </w:tr>
      <w:tr>
        <w:trPr>
          <w:cantSplit/>
        </w:trPr>
        <w:tc>
          <w:tcPr>
            <w:tcW w:type="dxa" w:w="2160"/>
          </w:tcPr>
          <w:p>
            <w:pPr>
              <w:spacing w:after="0"/>
            </w:pPr>
            <w:r/>
            <w:r>
              <w:rPr>
                <w:sz w:val="16"/>
              </w:rPr>
              <w:t>Real customer/business data volumes</w:t>
            </w:r>
          </w:p>
        </w:tc>
        <w:tc>
          <w:tcPr>
            <w:tcW w:type="dxa" w:w="3456"/>
          </w:tcPr>
          <w:p>
            <w:pPr>
              <w:spacing w:after="0"/>
            </w:pPr>
            <w:r/>
            <w:r>
              <w:rPr>
                <w:sz w:val="16"/>
              </w:rPr>
              <w:t>No production database was contacted.</w:t>
            </w:r>
          </w:p>
        </w:tc>
        <w:tc>
          <w:tcPr>
            <w:tcW w:type="dxa" w:w="3744"/>
          </w:tcPr>
          <w:p>
            <w:pPr>
              <w:spacing w:after="0"/>
            </w:pPr>
            <w:r/>
            <w:r>
              <w:rPr>
                <w:sz w:val="16"/>
              </w:rPr>
              <w:t>All row counts in this document are from the throwaway audit database (empty except the seed).</w:t>
            </w:r>
          </w:p>
        </w:tc>
      </w:tr>
      <w:tr>
        <w:trPr>
          <w:cantSplit/>
        </w:trPr>
        <w:tc>
          <w:tcPr>
            <w:tcW w:type="dxa" w:w="2160"/>
          </w:tcPr>
          <w:p>
            <w:pPr>
              <w:spacing w:after="0"/>
            </w:pPr>
            <w:r/>
            <w:r>
              <w:rPr>
                <w:sz w:val="16"/>
              </w:rPr>
              <w:t>Third-party provider behaviour</w:t>
            </w:r>
          </w:p>
        </w:tc>
        <w:tc>
          <w:tcPr>
            <w:tcW w:type="dxa" w:w="3456"/>
          </w:tcPr>
          <w:p>
            <w:pPr>
              <w:spacing w:after="0"/>
            </w:pPr>
            <w:r/>
            <w:r>
              <w:rPr>
                <w:sz w:val="16"/>
              </w:rPr>
              <w:t>Midtrans and SMTP were not called with real credentials.</w:t>
            </w:r>
          </w:p>
        </w:tc>
        <w:tc>
          <w:tcPr>
            <w:tcW w:type="dxa" w:w="3744"/>
          </w:tcPr>
          <w:p>
            <w:pPr>
              <w:spacing w:after="0"/>
            </w:pPr>
            <w:r/>
            <w:r>
              <w:rPr>
                <w:sz w:val="16"/>
              </w:rPr>
              <w:t>Gateway code paths read; disabled behaviour verified by leaving keys empty.</w:t>
            </w:r>
          </w:p>
        </w:tc>
      </w:tr>
      <w:tr>
        <w:trPr>
          <w:cantSplit/>
        </w:trPr>
        <w:tc>
          <w:tcPr>
            <w:tcW w:type="dxa" w:w="2160"/>
          </w:tcPr>
          <w:p>
            <w:pPr>
              <w:spacing w:after="0"/>
            </w:pPr>
            <w:r/>
            <w:r>
              <w:rPr>
                <w:sz w:val="16"/>
              </w:rPr>
              <w:t>Browser rendering of the SPAs</w:t>
            </w:r>
          </w:p>
        </w:tc>
        <w:tc>
          <w:tcPr>
            <w:tcW w:type="dxa" w:w="3456"/>
          </w:tcPr>
          <w:p>
            <w:pPr>
              <w:spacing w:after="0"/>
            </w:pPr>
            <w:r/>
            <w:r>
              <w:rPr>
                <w:sz w:val="16"/>
              </w:rPr>
              <w:t>Not exercised in a browser during this audit.</w:t>
            </w:r>
          </w:p>
        </w:tc>
        <w:tc>
          <w:tcPr>
            <w:tcW w:type="dxa" w:w="3744"/>
          </w:tcPr>
          <w:p>
            <w:pPr>
              <w:spacing w:after="0"/>
            </w:pPr>
            <w:r/>
            <w:r>
              <w:rPr>
                <w:sz w:val="16"/>
              </w:rPr>
              <w:t>Component and route inventories come from source; visual behaviour is inferred.</w:t>
            </w:r>
          </w:p>
        </w:tc>
      </w:tr>
    </w:tbl>
    <w:p>
      <w:pPr>
        <w:spacing w:after="200"/>
      </w:pPr>
      <w:r>
        <w:rPr>
          <w:i/>
          <w:color w:val="555F6D"/>
          <w:sz w:val="17"/>
        </w:rPr>
        <w:t>Table 9. Unverified areas and how they are handled</w:t>
      </w:r>
    </w:p>
    <w:p>
      <w:bookmarkStart w:id="1016" w:name="_Toc1016"/>
      <w:pPr>
        <w:pStyle w:val="Heading1"/>
        <w:pageBreakBefore/>
      </w:pPr>
      <w:r>
        <w:t>3. System overview</w:t>
      </w:r>
      <w:bookmarkEnd w:id="1016"/>
    </w:p>
    <w:p>
      <w:bookmarkStart w:id="1017" w:name="_Toc1017"/>
      <w:pPr>
        <w:pStyle w:val="Heading2"/>
      </w:pPr>
      <w:r>
        <w:t>3.1 Purpose and business model</w:t>
      </w:r>
      <w:bookmarkEnd w:id="1017"/>
    </w:p>
    <w:p>
      <w:r>
        <w:rPr>
          <w:i w:val="0"/>
        </w:rPr>
        <w:t>KeluargaMart operates like a minimarket network. Head office owns the catalogue — products, prices, categories and units are central; an outlet does not create its own products. What differs per outlet is stock, not catalogue. Customers buy offline at the till or online through the storefront. This model is stated in apps/pos/docs/WORKFLOW.md and is consistent with the schema: products carry no store_id, while stocks is keyed by (product_id, warehouse_id).</w:t>
      </w:r>
    </w:p>
    <w:p>
      <w:pPr>
        <w:spacing w:after="160"/>
        <w:ind w:left="216"/>
        <w:pBdr>
          <w:left w:val="single" w:sz="18" w:space="6" w:color="1E6B3A"/>
        </w:pBdr>
      </w:pPr>
      <w:r>
        <w:rPr>
          <w:b/>
          <w:color w:val="1E6B3A"/>
          <w:sz w:val="19"/>
        </w:rPr>
        <w:t xml:space="preserve">Verified against schema: </w:t>
      </w:r>
      <w:r>
        <w:rPr>
          <w:sz w:val="19"/>
        </w:rPr>
        <w:t>products has 17 columns and no store or outlet column; stocks has a unique (product_id, warehouse_id) constraint; sales_orders carries both store_id and warehouse_id.</w:t>
      </w:r>
    </w:p>
    <w:p>
      <w:bookmarkStart w:id="1018" w:name="_Toc1018"/>
      <w:pPr>
        <w:pStyle w:val="Heading2"/>
      </w:pPr>
      <w:r>
        <w:t>3.2 Actors</w:t>
      </w:r>
      <w:bookmarkEnd w:id="1018"/>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1944"/>
            <w:shd w:val="clear" w:color="auto" w:fill="1F3A5F"/>
          </w:tcPr>
          <w:p>
            <w:pPr>
              <w:spacing w:after="0"/>
            </w:pPr>
            <w:r/>
            <w:r>
              <w:rPr>
                <w:b/>
                <w:color w:val="FFFFFF"/>
                <w:sz w:val="16"/>
              </w:rPr>
              <w:t>Role</w:t>
            </w:r>
          </w:p>
        </w:tc>
        <w:tc>
          <w:tcPr>
            <w:tcW w:type="dxa" w:w="1368"/>
            <w:shd w:val="clear" w:color="auto" w:fill="1F3A5F"/>
          </w:tcPr>
          <w:p>
            <w:pPr>
              <w:spacing w:after="0"/>
            </w:pPr>
            <w:r/>
            <w:r>
              <w:rPr>
                <w:b/>
                <w:color w:val="FFFFFF"/>
                <w:sz w:val="16"/>
              </w:rPr>
              <w:t>Application</w:t>
            </w:r>
          </w:p>
        </w:tc>
        <w:tc>
          <w:tcPr>
            <w:tcW w:type="dxa" w:w="1512"/>
            <w:shd w:val="clear" w:color="auto" w:fill="1F3A5F"/>
          </w:tcPr>
          <w:p>
            <w:pPr>
              <w:spacing w:after="0"/>
            </w:pPr>
            <w:r/>
            <w:r>
              <w:rPr>
                <w:b/>
                <w:color w:val="FFFFFF"/>
                <w:sz w:val="16"/>
              </w:rPr>
              <w:t>Scope</w:t>
            </w:r>
          </w:p>
        </w:tc>
        <w:tc>
          <w:tcPr>
            <w:tcW w:type="dxa" w:w="4536"/>
            <w:shd w:val="clear" w:color="auto" w:fill="1F3A5F"/>
          </w:tcPr>
          <w:p>
            <w:pPr>
              <w:spacing w:after="0"/>
            </w:pPr>
            <w:r/>
            <w:r>
              <w:rPr>
                <w:b/>
                <w:color w:val="FFFFFF"/>
                <w:sz w:val="16"/>
              </w:rPr>
              <w:t>Verified capability boundary</w:t>
            </w:r>
          </w:p>
        </w:tc>
      </w:tr>
      <w:tr>
        <w:trPr>
          <w:cantSplit/>
        </w:trPr>
        <w:tc>
          <w:tcPr>
            <w:tcW w:type="dxa" w:w="1944"/>
          </w:tcPr>
          <w:p>
            <w:pPr>
              <w:spacing w:after="0"/>
            </w:pPr>
            <w:r/>
            <w:r>
              <w:rPr>
                <w:sz w:val="16"/>
              </w:rPr>
              <w:t>owner / gm</w:t>
            </w:r>
          </w:p>
        </w:tc>
        <w:tc>
          <w:tcPr>
            <w:tcW w:type="dxa" w:w="1368"/>
          </w:tcPr>
          <w:p>
            <w:pPr>
              <w:spacing w:after="0"/>
            </w:pPr>
            <w:r/>
            <w:r>
              <w:rPr>
                <w:sz w:val="16"/>
              </w:rPr>
              <w:t>ERP</w:t>
            </w:r>
          </w:p>
        </w:tc>
        <w:tc>
          <w:tcPr>
            <w:tcW w:type="dxa" w:w="1512"/>
          </w:tcPr>
          <w:p>
            <w:pPr>
              <w:spacing w:after="0"/>
            </w:pPr>
            <w:r/>
            <w:r>
              <w:rPr>
                <w:sz w:val="16"/>
              </w:rPr>
              <w:t>All outlets</w:t>
            </w:r>
          </w:p>
        </w:tc>
        <w:tc>
          <w:tcPr>
            <w:tcW w:type="dxa" w:w="4536"/>
          </w:tcPr>
          <w:p>
            <w:pPr>
              <w:spacing w:after="0"/>
            </w:pPr>
            <w:r/>
            <w:r>
              <w:rPr>
                <w:sz w:val="16"/>
              </w:rPr>
              <w:t>Catalogue, outlets, membership tiers, consolidated reports. admin/owner bypass every permission check.</w:t>
            </w:r>
          </w:p>
        </w:tc>
      </w:tr>
      <w:tr>
        <w:trPr>
          <w:cantSplit/>
        </w:trPr>
        <w:tc>
          <w:tcPr>
            <w:tcW w:type="dxa" w:w="1944"/>
          </w:tcPr>
          <w:p>
            <w:pPr>
              <w:spacing w:after="0"/>
            </w:pPr>
            <w:r/>
            <w:r>
              <w:rPr>
                <w:sz w:val="16"/>
              </w:rPr>
              <w:t>bm / spv</w:t>
            </w:r>
          </w:p>
        </w:tc>
        <w:tc>
          <w:tcPr>
            <w:tcW w:type="dxa" w:w="1368"/>
          </w:tcPr>
          <w:p>
            <w:pPr>
              <w:spacing w:after="0"/>
            </w:pPr>
            <w:r/>
            <w:r>
              <w:rPr>
                <w:sz w:val="16"/>
              </w:rPr>
              <w:t>ERP</w:t>
            </w:r>
          </w:p>
        </w:tc>
        <w:tc>
          <w:tcPr>
            <w:tcW w:type="dxa" w:w="1512"/>
          </w:tcPr>
          <w:p>
            <w:pPr>
              <w:spacing w:after="0"/>
            </w:pPr>
            <w:r/>
            <w:r>
              <w:rPr>
                <w:sz w:val="16"/>
              </w:rPr>
              <w:t>Area / team</w:t>
            </w:r>
          </w:p>
        </w:tc>
        <w:tc>
          <w:tcPr>
            <w:tcW w:type="dxa" w:w="4536"/>
          </w:tcPr>
          <w:p>
            <w:pPr>
              <w:spacing w:after="0"/>
            </w:pPr>
            <w:r/>
            <w:r>
              <w:rPr>
                <w:sz w:val="16"/>
              </w:rPr>
              <w:t>Distribution, fakturisasi, sales-order supervision; no accounting grants.</w:t>
            </w:r>
          </w:p>
        </w:tc>
      </w:tr>
      <w:tr>
        <w:trPr>
          <w:cantSplit/>
        </w:trPr>
        <w:tc>
          <w:tcPr>
            <w:tcW w:type="dxa" w:w="1944"/>
          </w:tcPr>
          <w:p>
            <w:pPr>
              <w:spacing w:after="0"/>
            </w:pPr>
            <w:r/>
            <w:r>
              <w:rPr>
                <w:sz w:val="16"/>
              </w:rPr>
              <w:t>store_manager</w:t>
            </w:r>
          </w:p>
        </w:tc>
        <w:tc>
          <w:tcPr>
            <w:tcW w:type="dxa" w:w="1368"/>
          </w:tcPr>
          <w:p>
            <w:pPr>
              <w:spacing w:after="0"/>
            </w:pPr>
            <w:r/>
            <w:r>
              <w:rPr>
                <w:sz w:val="16"/>
              </w:rPr>
              <w:t>ERP + POS</w:t>
            </w:r>
          </w:p>
        </w:tc>
        <w:tc>
          <w:tcPr>
            <w:tcW w:type="dxa" w:w="1512"/>
          </w:tcPr>
          <w:p>
            <w:pPr>
              <w:spacing w:after="0"/>
            </w:pPr>
            <w:r/>
            <w:r>
              <w:rPr>
                <w:sz w:val="16"/>
              </w:rPr>
              <w:t>One outlet</w:t>
            </w:r>
          </w:p>
        </w:tc>
        <w:tc>
          <w:tcPr>
            <w:tcW w:type="dxa" w:w="4536"/>
          </w:tcPr>
          <w:p>
            <w:pPr>
              <w:spacing w:after="0"/>
            </w:pPr>
            <w:r/>
            <w:r>
              <w:rPr>
                <w:sz w:val="16"/>
              </w:rPr>
              <w:t>Outlet stock, outlet cashier accounts, outlet settings and reports.</w:t>
            </w:r>
          </w:p>
        </w:tc>
      </w:tr>
      <w:tr>
        <w:trPr>
          <w:cantSplit/>
        </w:trPr>
        <w:tc>
          <w:tcPr>
            <w:tcW w:type="dxa" w:w="1944"/>
          </w:tcPr>
          <w:p>
            <w:pPr>
              <w:spacing w:after="0"/>
            </w:pPr>
            <w:r/>
            <w:r>
              <w:rPr>
                <w:sz w:val="16"/>
              </w:rPr>
              <w:t>cashier</w:t>
            </w:r>
          </w:p>
        </w:tc>
        <w:tc>
          <w:tcPr>
            <w:tcW w:type="dxa" w:w="1368"/>
          </w:tcPr>
          <w:p>
            <w:pPr>
              <w:spacing w:after="0"/>
            </w:pPr>
            <w:r/>
            <w:r>
              <w:rPr>
                <w:sz w:val="16"/>
              </w:rPr>
              <w:t>POS</w:t>
            </w:r>
          </w:p>
        </w:tc>
        <w:tc>
          <w:tcPr>
            <w:tcW w:type="dxa" w:w="1512"/>
          </w:tcPr>
          <w:p>
            <w:pPr>
              <w:spacing w:after="0"/>
            </w:pPr>
            <w:r/>
            <w:r>
              <w:rPr>
                <w:sz w:val="16"/>
              </w:rPr>
              <w:t>One outlet, one shift</w:t>
            </w:r>
          </w:p>
        </w:tc>
        <w:tc>
          <w:tcPr>
            <w:tcW w:type="dxa" w:w="4536"/>
          </w:tcPr>
          <w:p>
            <w:pPr>
              <w:spacing w:after="0"/>
            </w:pPr>
            <w:r/>
            <w:r>
              <w:rPr>
                <w:sz w:val="16"/>
              </w:rPr>
              <w:t>Sell, return, open/close shift, add customers, enrol members.</w:t>
            </w:r>
          </w:p>
        </w:tc>
      </w:tr>
      <w:tr>
        <w:trPr>
          <w:cantSplit/>
        </w:trPr>
        <w:tc>
          <w:tcPr>
            <w:tcW w:type="dxa" w:w="1944"/>
          </w:tcPr>
          <w:p>
            <w:pPr>
              <w:spacing w:after="0"/>
            </w:pPr>
            <w:r/>
            <w:r>
              <w:rPr>
                <w:sz w:val="16"/>
              </w:rPr>
              <w:t>finance / finance_head</w:t>
            </w:r>
          </w:p>
        </w:tc>
        <w:tc>
          <w:tcPr>
            <w:tcW w:type="dxa" w:w="1368"/>
          </w:tcPr>
          <w:p>
            <w:pPr>
              <w:spacing w:after="0"/>
            </w:pPr>
            <w:r/>
            <w:r>
              <w:rPr>
                <w:sz w:val="16"/>
              </w:rPr>
              <w:t>ERP</w:t>
            </w:r>
          </w:p>
        </w:tc>
        <w:tc>
          <w:tcPr>
            <w:tcW w:type="dxa" w:w="1512"/>
          </w:tcPr>
          <w:p>
            <w:pPr>
              <w:spacing w:after="0"/>
            </w:pPr>
            <w:r/>
            <w:r>
              <w:rPr>
                <w:sz w:val="16"/>
              </w:rPr>
              <w:t>Company</w:t>
            </w:r>
          </w:p>
        </w:tc>
        <w:tc>
          <w:tcPr>
            <w:tcW w:type="dxa" w:w="4536"/>
          </w:tcPr>
          <w:p>
            <w:pPr>
              <w:spacing w:after="0"/>
            </w:pPr>
            <w:r/>
            <w:r>
              <w:rPr>
                <w:sz w:val="16"/>
              </w:rPr>
              <w:t>Invoices, payments, cashflow, journals, financial reports.</w:t>
            </w:r>
          </w:p>
        </w:tc>
      </w:tr>
      <w:tr>
        <w:trPr>
          <w:cantSplit/>
        </w:trPr>
        <w:tc>
          <w:tcPr>
            <w:tcW w:type="dxa" w:w="1944"/>
          </w:tcPr>
          <w:p>
            <w:pPr>
              <w:spacing w:after="0"/>
            </w:pPr>
            <w:r/>
            <w:r>
              <w:rPr>
                <w:sz w:val="16"/>
              </w:rPr>
              <w:t>warehouse</w:t>
            </w:r>
          </w:p>
        </w:tc>
        <w:tc>
          <w:tcPr>
            <w:tcW w:type="dxa" w:w="1368"/>
          </w:tcPr>
          <w:p>
            <w:pPr>
              <w:spacing w:after="0"/>
            </w:pPr>
            <w:r/>
            <w:r>
              <w:rPr>
                <w:sz w:val="16"/>
              </w:rPr>
              <w:t>ERP</w:t>
            </w:r>
          </w:p>
        </w:tc>
        <w:tc>
          <w:tcPr>
            <w:tcW w:type="dxa" w:w="1512"/>
          </w:tcPr>
          <w:p>
            <w:pPr>
              <w:spacing w:after="0"/>
            </w:pPr>
            <w:r/>
            <w:r>
              <w:rPr>
                <w:sz w:val="16"/>
              </w:rPr>
              <w:t>Warehouses</w:t>
            </w:r>
          </w:p>
        </w:tc>
        <w:tc>
          <w:tcPr>
            <w:tcW w:type="dxa" w:w="4536"/>
          </w:tcPr>
          <w:p>
            <w:pPr>
              <w:spacing w:after="0"/>
            </w:pPr>
            <w:r/>
            <w:r>
              <w:rPr>
                <w:sz w:val="16"/>
              </w:rPr>
              <w:t>Stock in/out, opname, transfers, goods receipts; cannot create sales orders (service returns not-found for the warehouse role).</w:t>
            </w:r>
          </w:p>
        </w:tc>
      </w:tr>
      <w:tr>
        <w:trPr>
          <w:cantSplit/>
        </w:trPr>
        <w:tc>
          <w:tcPr>
            <w:tcW w:type="dxa" w:w="1944"/>
          </w:tcPr>
          <w:p>
            <w:pPr>
              <w:spacing w:after="0"/>
            </w:pPr>
            <w:r/>
            <w:r>
              <w:rPr>
                <w:sz w:val="16"/>
              </w:rPr>
              <w:t>hr_manager / hr_staff / employee</w:t>
            </w:r>
          </w:p>
        </w:tc>
        <w:tc>
          <w:tcPr>
            <w:tcW w:type="dxa" w:w="1368"/>
          </w:tcPr>
          <w:p>
            <w:pPr>
              <w:spacing w:after="0"/>
            </w:pPr>
            <w:r/>
            <w:r>
              <w:rPr>
                <w:sz w:val="16"/>
              </w:rPr>
              <w:t>ERP</w:t>
            </w:r>
          </w:p>
        </w:tc>
        <w:tc>
          <w:tcPr>
            <w:tcW w:type="dxa" w:w="1512"/>
          </w:tcPr>
          <w:p>
            <w:pPr>
              <w:spacing w:after="0"/>
            </w:pPr>
            <w:r/>
            <w:r>
              <w:rPr>
                <w:sz w:val="16"/>
              </w:rPr>
              <w:t>HR</w:t>
            </w:r>
          </w:p>
        </w:tc>
        <w:tc>
          <w:tcPr>
            <w:tcW w:type="dxa" w:w="4536"/>
          </w:tcPr>
          <w:p>
            <w:pPr>
              <w:spacing w:after="0"/>
            </w:pPr>
            <w:r/>
            <w:r>
              <w:rPr>
                <w:sz w:val="16"/>
              </w:rPr>
              <w:t>Employees, attendance, leave, payroll, performance; employees see only their own records via /hr/*/me.</w:t>
            </w:r>
          </w:p>
        </w:tc>
      </w:tr>
      <w:tr>
        <w:trPr>
          <w:cantSplit/>
        </w:trPr>
        <w:tc>
          <w:tcPr>
            <w:tcW w:type="dxa" w:w="1944"/>
          </w:tcPr>
          <w:p>
            <w:pPr>
              <w:spacing w:after="0"/>
            </w:pPr>
            <w:r/>
            <w:r>
              <w:rPr>
                <w:sz w:val="16"/>
              </w:rPr>
              <w:t>buyer</w:t>
            </w:r>
          </w:p>
        </w:tc>
        <w:tc>
          <w:tcPr>
            <w:tcW w:type="dxa" w:w="1368"/>
          </w:tcPr>
          <w:p>
            <w:pPr>
              <w:spacing w:after="0"/>
            </w:pPr>
            <w:r/>
            <w:r>
              <w:rPr>
                <w:sz w:val="16"/>
              </w:rPr>
              <w:t>B2B</w:t>
            </w:r>
          </w:p>
        </w:tc>
        <w:tc>
          <w:tcPr>
            <w:tcW w:type="dxa" w:w="1512"/>
          </w:tcPr>
          <w:p>
            <w:pPr>
              <w:spacing w:after="0"/>
            </w:pPr>
            <w:r/>
            <w:r>
              <w:rPr>
                <w:sz w:val="16"/>
              </w:rPr>
              <w:t>Own account</w:t>
            </w:r>
          </w:p>
        </w:tc>
        <w:tc>
          <w:tcPr>
            <w:tcW w:type="dxa" w:w="4536"/>
          </w:tcPr>
          <w:p>
            <w:pPr>
              <w:spacing w:after="0"/>
            </w:pPr>
            <w:r/>
            <w:r>
              <w:rPr>
                <w:sz w:val="16"/>
              </w:rPr>
              <w:t>Catalogue, cart, checkout, own orders, own invoices, returns on own orders.</w:t>
            </w:r>
          </w:p>
        </w:tc>
      </w:tr>
      <w:tr>
        <w:trPr>
          <w:cantSplit/>
        </w:trPr>
        <w:tc>
          <w:tcPr>
            <w:tcW w:type="dxa" w:w="1944"/>
          </w:tcPr>
          <w:p>
            <w:pPr>
              <w:spacing w:after="0"/>
            </w:pPr>
            <w:r/>
            <w:r>
              <w:rPr>
                <w:sz w:val="16"/>
              </w:rPr>
              <w:t>admin / system</w:t>
            </w:r>
          </w:p>
        </w:tc>
        <w:tc>
          <w:tcPr>
            <w:tcW w:type="dxa" w:w="1368"/>
          </w:tcPr>
          <w:p>
            <w:pPr>
              <w:spacing w:after="0"/>
            </w:pPr>
            <w:r/>
            <w:r>
              <w:rPr>
                <w:sz w:val="16"/>
              </w:rPr>
              <w:t>ERP</w:t>
            </w:r>
          </w:p>
        </w:tc>
        <w:tc>
          <w:tcPr>
            <w:tcW w:type="dxa" w:w="1512"/>
          </w:tcPr>
          <w:p>
            <w:pPr>
              <w:spacing w:after="0"/>
            </w:pPr>
            <w:r/>
            <w:r>
              <w:rPr>
                <w:sz w:val="16"/>
              </w:rPr>
              <w:t>Technical</w:t>
            </w:r>
          </w:p>
        </w:tc>
        <w:tc>
          <w:tcPr>
            <w:tcW w:type="dxa" w:w="4536"/>
          </w:tcPr>
          <w:p>
            <w:pPr>
              <w:spacing w:after="0"/>
            </w:pPr>
            <w:r/>
            <w:r>
              <w:rPr>
                <w:sz w:val="16"/>
              </w:rPr>
              <w:t>User and role administration, audit log, report templates.</w:t>
            </w:r>
          </w:p>
        </w:tc>
      </w:tr>
    </w:tbl>
    <w:p>
      <w:pPr>
        <w:spacing w:after="200"/>
      </w:pPr>
      <w:r>
        <w:rPr>
          <w:i/>
          <w:color w:val="555F6D"/>
          <w:sz w:val="17"/>
        </w:rPr>
        <w:t>Table 10. Roles and their verified boundaries</w:t>
      </w:r>
    </w:p>
    <w:p>
      <w:bookmarkStart w:id="1019" w:name="_Toc1019"/>
      <w:pPr>
        <w:pStyle w:val="Heading2"/>
      </w:pPr>
      <w:r>
        <w:t>3.3 System context</w:t>
      </w:r>
      <w:bookmarkEnd w:id="1019"/>
    </w:p>
    <w:p>
      <w:pPr>
        <w:keepNext/>
        <w:spacing w:before="80" w:after="40"/>
        <w:jc w:val="center"/>
      </w:pPr>
      <w:r>
        <w:drawing>
          <wp:inline xmlns:a="http://schemas.openxmlformats.org/drawingml/2006/main" xmlns:pic="http://schemas.openxmlformats.org/drawingml/2006/picture">
            <wp:extent cx="6035040" cy="4895926"/>
            <wp:docPr id="1" name="Picture 1"/>
            <wp:cNvGraphicFramePr>
              <a:graphicFrameLocks noChangeAspect="1"/>
            </wp:cNvGraphicFramePr>
            <a:graphic>
              <a:graphicData uri="http://schemas.openxmlformats.org/drawingml/2006/picture">
                <pic:pic>
                  <pic:nvPicPr>
                    <pic:cNvPr id="0" name="fig-system-context.png"/>
                    <pic:cNvPicPr/>
                  </pic:nvPicPr>
                  <pic:blipFill>
                    <a:blip r:embed="rId11"/>
                    <a:stretch>
                      <a:fillRect/>
                    </a:stretch>
                  </pic:blipFill>
                  <pic:spPr>
                    <a:xfrm>
                      <a:off x="0" y="0"/>
                      <a:ext cx="6035040" cy="4895926"/>
                    </a:xfrm>
                    <a:prstGeom prst="rect"/>
                  </pic:spPr>
                </pic:pic>
              </a:graphicData>
            </a:graphic>
          </wp:inline>
        </w:drawing>
      </w:r>
    </w:p>
    <w:p>
      <w:pPr>
        <w:spacing w:after="40"/>
        <w:jc w:val="center"/>
      </w:pPr>
      <w:r>
        <w:rPr>
          <w:i/>
          <w:color w:val="555F6D"/>
          <w:sz w:val="17"/>
        </w:rPr>
        <w:t>Figure 1. System context. Solid arrows are verified request paths; the optional integrations on the right are inert unless their keys are configured.</w:t>
      </w:r>
    </w:p>
    <w:p>
      <w:bookmarkStart w:id="1020" w:name="_Toc1020"/>
      <w:pPr>
        <w:pStyle w:val="Heading2"/>
      </w:pPr>
      <w:r>
        <w:t>3.4 Application map</w:t>
      </w:r>
      <w:bookmarkEnd w:id="1020"/>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1512"/>
            <w:shd w:val="clear" w:color="auto" w:fill="1F3A5F"/>
          </w:tcPr>
          <w:p>
            <w:pPr>
              <w:spacing w:after="0"/>
            </w:pPr>
            <w:r/>
            <w:r>
              <w:rPr>
                <w:b/>
                <w:color w:val="FFFFFF"/>
                <w:sz w:val="16"/>
              </w:rPr>
              <w:t>Application</w:t>
            </w:r>
          </w:p>
        </w:tc>
        <w:tc>
          <w:tcPr>
            <w:tcW w:type="dxa" w:w="2808"/>
            <w:shd w:val="clear" w:color="auto" w:fill="1F3A5F"/>
          </w:tcPr>
          <w:p>
            <w:pPr>
              <w:spacing w:after="0"/>
            </w:pPr>
            <w:r/>
            <w:r>
              <w:rPr>
                <w:b/>
                <w:color w:val="FFFFFF"/>
                <w:sz w:val="16"/>
              </w:rPr>
              <w:t>Runtime</w:t>
            </w:r>
          </w:p>
        </w:tc>
        <w:tc>
          <w:tcPr>
            <w:tcW w:type="dxa" w:w="1584"/>
            <w:shd w:val="clear" w:color="auto" w:fill="1F3A5F"/>
          </w:tcPr>
          <w:p>
            <w:pPr>
              <w:spacing w:after="0"/>
            </w:pPr>
            <w:r/>
            <w:r>
              <w:rPr>
                <w:b/>
                <w:color w:val="FFFFFF"/>
                <w:sz w:val="16"/>
              </w:rPr>
              <w:t>Port (prod)</w:t>
            </w:r>
          </w:p>
        </w:tc>
        <w:tc>
          <w:tcPr>
            <w:tcW w:type="dxa" w:w="3456"/>
            <w:shd w:val="clear" w:color="auto" w:fill="1F3A5F"/>
          </w:tcPr>
          <w:p>
            <w:pPr>
              <w:spacing w:after="0"/>
            </w:pPr>
            <w:r/>
            <w:r>
              <w:rPr>
                <w:b/>
                <w:color w:val="FFFFFF"/>
                <w:sz w:val="16"/>
              </w:rPr>
              <w:t>Responsibility</w:t>
            </w:r>
          </w:p>
        </w:tc>
      </w:tr>
      <w:tr>
        <w:trPr>
          <w:cantSplit/>
        </w:trPr>
        <w:tc>
          <w:tcPr>
            <w:tcW w:type="dxa" w:w="1512"/>
          </w:tcPr>
          <w:p>
            <w:pPr>
              <w:spacing w:after="0"/>
            </w:pPr>
            <w:r/>
            <w:r>
              <w:rPr>
                <w:sz w:val="16"/>
              </w:rPr>
              <w:t>apps/backend</w:t>
            </w:r>
          </w:p>
        </w:tc>
        <w:tc>
          <w:tcPr>
            <w:tcW w:type="dxa" w:w="2808"/>
          </w:tcPr>
          <w:p>
            <w:pPr>
              <w:spacing w:after="0"/>
            </w:pPr>
            <w:r/>
            <w:r>
              <w:rPr>
                <w:sz w:val="16"/>
              </w:rPr>
              <w:t>Go 1.26.5, chi v5, pgx v5</w:t>
            </w:r>
          </w:p>
        </w:tc>
        <w:tc>
          <w:tcPr>
            <w:tcW w:type="dxa" w:w="1584"/>
          </w:tcPr>
          <w:p>
            <w:pPr>
              <w:spacing w:after="0"/>
            </w:pPr>
            <w:r/>
            <w:r>
              <w:rPr>
                <w:sz w:val="16"/>
              </w:rPr>
              <w:t>3004 → 8080</w:t>
            </w:r>
          </w:p>
        </w:tc>
        <w:tc>
          <w:tcPr>
            <w:tcW w:type="dxa" w:w="3456"/>
          </w:tcPr>
          <w:p>
            <w:pPr>
              <w:spacing w:after="0"/>
            </w:pPr>
            <w:r/>
            <w:r>
              <w:rPr>
                <w:sz w:val="16"/>
              </w:rPr>
              <w:t>Authoritative API, business rules, RBAC, schema migrations, report proxy.</w:t>
            </w:r>
          </w:p>
        </w:tc>
      </w:tr>
      <w:tr>
        <w:trPr>
          <w:cantSplit/>
        </w:trPr>
        <w:tc>
          <w:tcPr>
            <w:tcW w:type="dxa" w:w="1512"/>
          </w:tcPr>
          <w:p>
            <w:pPr>
              <w:spacing w:after="0"/>
            </w:pPr>
            <w:r/>
            <w:r>
              <w:rPr>
                <w:sz w:val="16"/>
              </w:rPr>
              <w:t>apps/erp</w:t>
            </w:r>
          </w:p>
        </w:tc>
        <w:tc>
          <w:tcPr>
            <w:tcW w:type="dxa" w:w="2808"/>
          </w:tcPr>
          <w:p>
            <w:pPr>
              <w:spacing w:after="0"/>
            </w:pPr>
            <w:r/>
            <w:r>
              <w:rPr>
                <w:sz w:val="16"/>
              </w:rPr>
              <w:t>Vue 3.5, Vite 8, Pinia, vue-router 5, PrimeVue 4, Tailwind 4</w:t>
            </w:r>
          </w:p>
        </w:tc>
        <w:tc>
          <w:tcPr>
            <w:tcW w:type="dxa" w:w="1584"/>
          </w:tcPr>
          <w:p>
            <w:pPr>
              <w:spacing w:after="0"/>
            </w:pPr>
            <w:r/>
            <w:r>
              <w:rPr>
                <w:sz w:val="16"/>
              </w:rPr>
              <w:t>3001 → 8080 (nginx)</w:t>
            </w:r>
          </w:p>
        </w:tc>
        <w:tc>
          <w:tcPr>
            <w:tcW w:type="dxa" w:w="3456"/>
          </w:tcPr>
          <w:p>
            <w:pPr>
              <w:spacing w:after="0"/>
            </w:pPr>
            <w:r/>
            <w:r>
              <w:rPr>
                <w:sz w:val="16"/>
              </w:rPr>
              <w:t>Back-office: master data, inventory, purchasing, finance, accounting, HR, distribution, tracking, reports, system.</w:t>
            </w:r>
          </w:p>
        </w:tc>
      </w:tr>
      <w:tr>
        <w:trPr>
          <w:cantSplit/>
        </w:trPr>
        <w:tc>
          <w:tcPr>
            <w:tcW w:type="dxa" w:w="1512"/>
          </w:tcPr>
          <w:p>
            <w:pPr>
              <w:spacing w:after="0"/>
            </w:pPr>
            <w:r/>
            <w:r>
              <w:rPr>
                <w:sz w:val="16"/>
              </w:rPr>
              <w:t>apps/pos</w:t>
            </w:r>
          </w:p>
        </w:tc>
        <w:tc>
          <w:tcPr>
            <w:tcW w:type="dxa" w:w="2808"/>
          </w:tcPr>
          <w:p>
            <w:pPr>
              <w:spacing w:after="0"/>
            </w:pPr>
            <w:r/>
            <w:r>
              <w:rPr>
                <w:sz w:val="16"/>
              </w:rPr>
              <w:t>Vue 3.5, Vite 8, Pinia, zxing-wasm</w:t>
            </w:r>
          </w:p>
        </w:tc>
        <w:tc>
          <w:tcPr>
            <w:tcW w:type="dxa" w:w="1584"/>
          </w:tcPr>
          <w:p>
            <w:pPr>
              <w:spacing w:after="0"/>
            </w:pPr>
            <w:r/>
            <w:r>
              <w:rPr>
                <w:sz w:val="16"/>
              </w:rPr>
              <w:t>3003 → 8080 (nginx)</w:t>
            </w:r>
          </w:p>
        </w:tc>
        <w:tc>
          <w:tcPr>
            <w:tcW w:type="dxa" w:w="3456"/>
          </w:tcPr>
          <w:p>
            <w:pPr>
              <w:spacing w:after="0"/>
            </w:pPr>
            <w:r/>
            <w:r>
              <w:rPr>
                <w:sz w:val="16"/>
              </w:rPr>
              <w:t>Cashier register: sale, return, shift, drawer, customer/member enrolment, receipt printing.</w:t>
            </w:r>
          </w:p>
        </w:tc>
      </w:tr>
      <w:tr>
        <w:trPr>
          <w:cantSplit/>
        </w:trPr>
        <w:tc>
          <w:tcPr>
            <w:tcW w:type="dxa" w:w="1512"/>
          </w:tcPr>
          <w:p>
            <w:pPr>
              <w:spacing w:after="0"/>
            </w:pPr>
            <w:r/>
            <w:r>
              <w:rPr>
                <w:sz w:val="16"/>
              </w:rPr>
              <w:t>apps/b2b</w:t>
            </w:r>
          </w:p>
        </w:tc>
        <w:tc>
          <w:tcPr>
            <w:tcW w:type="dxa" w:w="2808"/>
          </w:tcPr>
          <w:p>
            <w:pPr>
              <w:spacing w:after="0"/>
            </w:pPr>
            <w:r/>
            <w:r>
              <w:rPr>
                <w:sz w:val="16"/>
              </w:rPr>
              <w:t>Nuxt 4 (Nitro SSR), @nuxt/ui 4</w:t>
            </w:r>
          </w:p>
        </w:tc>
        <w:tc>
          <w:tcPr>
            <w:tcW w:type="dxa" w:w="1584"/>
          </w:tcPr>
          <w:p>
            <w:pPr>
              <w:spacing w:after="0"/>
            </w:pPr>
            <w:r/>
            <w:r>
              <w:rPr>
                <w:sz w:val="16"/>
              </w:rPr>
              <w:t>3002 → 3000</w:t>
            </w:r>
          </w:p>
        </w:tc>
        <w:tc>
          <w:tcPr>
            <w:tcW w:type="dxa" w:w="3456"/>
          </w:tcPr>
          <w:p>
            <w:pPr>
              <w:spacing w:after="0"/>
            </w:pPr>
            <w:r/>
            <w:r>
              <w:rPr>
                <w:sz w:val="16"/>
              </w:rPr>
              <w:t>Wholesale storefront: catalogue, cart, checkout, orders, payments, returns, support, admin console.</w:t>
            </w:r>
          </w:p>
        </w:tc>
      </w:tr>
      <w:tr>
        <w:trPr>
          <w:cantSplit/>
        </w:trPr>
        <w:tc>
          <w:tcPr>
            <w:tcW w:type="dxa" w:w="1512"/>
          </w:tcPr>
          <w:p>
            <w:pPr>
              <w:spacing w:after="0"/>
            </w:pPr>
            <w:r/>
            <w:r>
              <w:rPr>
                <w:sz w:val="16"/>
              </w:rPr>
              <w:t>apps/nextreport</w:t>
            </w:r>
          </w:p>
        </w:tc>
        <w:tc>
          <w:tcPr>
            <w:tcW w:type="dxa" w:w="2808"/>
          </w:tcPr>
          <w:p>
            <w:pPr>
              <w:spacing w:after="0"/>
            </w:pPr>
            <w:r/>
            <w:r>
              <w:rPr>
                <w:sz w:val="16"/>
              </w:rPr>
              <w:t>Node 22 + Puppeteer/Chromium</w:t>
            </w:r>
          </w:p>
        </w:tc>
        <w:tc>
          <w:tcPr>
            <w:tcW w:type="dxa" w:w="1584"/>
          </w:tcPr>
          <w:p>
            <w:pPr>
              <w:spacing w:after="0"/>
            </w:pPr>
            <w:r/>
            <w:r>
              <w:rPr>
                <w:sz w:val="16"/>
              </w:rPr>
              <w:t>internal 5489</w:t>
            </w:r>
          </w:p>
        </w:tc>
        <w:tc>
          <w:tcPr>
            <w:tcW w:type="dxa" w:w="3456"/>
          </w:tcPr>
          <w:p>
            <w:pPr>
              <w:spacing w:after="0"/>
            </w:pPr>
            <w:r/>
            <w:r>
              <w:rPr>
                <w:sz w:val="16"/>
              </w:rPr>
              <w:t>JSON template → HTML → PDF/XLSX rendering.</w:t>
            </w:r>
          </w:p>
        </w:tc>
      </w:tr>
    </w:tbl>
    <w:p>
      <w:pPr>
        <w:spacing w:after="200"/>
      </w:pPr>
      <w:r>
        <w:rPr>
          <w:i/>
          <w:color w:val="555F6D"/>
          <w:sz w:val="17"/>
        </w:rPr>
        <w:t>Table 11. Applications and runtime identity</w:t>
      </w:r>
    </w:p>
    <w:p>
      <w:bookmarkStart w:id="1021" w:name="_Toc1021"/>
      <w:pPr>
        <w:pStyle w:val="Heading2"/>
      </w:pPr>
      <w:r>
        <w:t>3.5 Data flow at a glance</w:t>
      </w:r>
      <w:bookmarkEnd w:id="1021"/>
    </w:p>
    <w:p>
      <w:r>
        <w:rPr>
          <w:i w:val="0"/>
        </w:rPr>
        <w:t>A browser never talks to PostgreSQL. The only path to data is: browser → static host or Nitro proxy → Go API → pgxpool → PostgreSQL. Redis is used for two things only: rate limiting and idempotency records. Uploaded files are written to a local directory and served back through GET /uploads/{key}, which is public for product images and ownership-checked for payment proofs.</w:t>
      </w:r>
    </w:p>
    <w:p>
      <w:bookmarkStart w:id="1022" w:name="_Toc1022"/>
      <w:pPr>
        <w:pStyle w:val="Heading1"/>
        <w:pageBreakBefore/>
      </w:pPr>
      <w:r>
        <w:t>4. Repository structure and monorepo architecture</w:t>
      </w:r>
      <w:bookmarkEnd w:id="1022"/>
    </w:p>
    <w:p>
      <w:bookmarkStart w:id="1023" w:name="_Toc1023"/>
      <w:pPr>
        <w:pStyle w:val="Heading2"/>
      </w:pPr>
      <w:r>
        <w:t>4.1 Top level</w:t>
      </w:r>
      <w:bookmarkEnd w:id="1023"/>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016"/>
            <w:shd w:val="clear" w:color="auto" w:fill="1F3A5F"/>
          </w:tcPr>
          <w:p>
            <w:pPr>
              <w:spacing w:after="0"/>
            </w:pPr>
            <w:r/>
            <w:r>
              <w:rPr>
                <w:b/>
                <w:color w:val="FFFFFF"/>
                <w:sz w:val="16"/>
              </w:rPr>
              <w:t>Path</w:t>
            </w:r>
          </w:p>
        </w:tc>
        <w:tc>
          <w:tcPr>
            <w:tcW w:type="dxa" w:w="4176"/>
            <w:shd w:val="clear" w:color="auto" w:fill="1F3A5F"/>
          </w:tcPr>
          <w:p>
            <w:pPr>
              <w:spacing w:after="0"/>
            </w:pPr>
            <w:r/>
            <w:r>
              <w:rPr>
                <w:b/>
                <w:color w:val="FFFFFF"/>
                <w:sz w:val="16"/>
              </w:rPr>
              <w:t>Contents</w:t>
            </w:r>
          </w:p>
        </w:tc>
        <w:tc>
          <w:tcPr>
            <w:tcW w:type="dxa" w:w="3168"/>
            <w:shd w:val="clear" w:color="auto" w:fill="1F3A5F"/>
          </w:tcPr>
          <w:p>
            <w:pPr>
              <w:spacing w:after="0"/>
            </w:pPr>
            <w:r/>
            <w:r>
              <w:rPr>
                <w:b/>
                <w:color w:val="FFFFFF"/>
                <w:sz w:val="16"/>
              </w:rPr>
              <w:t>Notes</w:t>
            </w:r>
          </w:p>
        </w:tc>
      </w:tr>
      <w:tr>
        <w:trPr>
          <w:cantSplit/>
        </w:trPr>
        <w:tc>
          <w:tcPr>
            <w:tcW w:type="dxa" w:w="2016"/>
          </w:tcPr>
          <w:p>
            <w:pPr>
              <w:spacing w:after="0"/>
            </w:pPr>
            <w:r/>
            <w:r>
              <w:rPr>
                <w:sz w:val="16"/>
              </w:rPr>
              <w:t>apps/</w:t>
            </w:r>
          </w:p>
        </w:tc>
        <w:tc>
          <w:tcPr>
            <w:tcW w:type="dxa" w:w="4176"/>
          </w:tcPr>
          <w:p>
            <w:pPr>
              <w:spacing w:after="0"/>
            </w:pPr>
            <w:r/>
            <w:r>
              <w:rPr>
                <w:sz w:val="16"/>
              </w:rPr>
              <w:t>backend, erp, pos, b2b, nextreport</w:t>
            </w:r>
          </w:p>
        </w:tc>
        <w:tc>
          <w:tcPr>
            <w:tcW w:type="dxa" w:w="3168"/>
          </w:tcPr>
          <w:p>
            <w:pPr>
              <w:spacing w:after="0"/>
            </w:pPr>
            <w:r/>
            <w:r>
              <w:rPr>
                <w:sz w:val="16"/>
              </w:rPr>
              <w:t>Deployable units. No cross-app imports are allowed.</w:t>
            </w:r>
          </w:p>
        </w:tc>
      </w:tr>
      <w:tr>
        <w:trPr>
          <w:cantSplit/>
        </w:trPr>
        <w:tc>
          <w:tcPr>
            <w:tcW w:type="dxa" w:w="2016"/>
          </w:tcPr>
          <w:p>
            <w:pPr>
              <w:spacing w:after="0"/>
            </w:pPr>
            <w:r/>
            <w:r>
              <w:rPr>
                <w:sz w:val="16"/>
              </w:rPr>
              <w:t>packages/</w:t>
            </w:r>
          </w:p>
        </w:tc>
        <w:tc>
          <w:tcPr>
            <w:tcW w:type="dxa" w:w="4176"/>
          </w:tcPr>
          <w:p>
            <w:pPr>
              <w:spacing w:after="0"/>
            </w:pPr>
            <w:r/>
            <w:r>
              <w:rPr>
                <w:sz w:val="16"/>
              </w:rPr>
              <w:t>contracts, permissions, utils, api-client, ui</w:t>
            </w:r>
          </w:p>
        </w:tc>
        <w:tc>
          <w:tcPr>
            <w:tcW w:type="dxa" w:w="3168"/>
          </w:tcPr>
          <w:p>
            <w:pPr>
              <w:spacing w:after="0"/>
            </w:pPr>
            <w:r/>
            <w:r>
              <w:rPr>
                <w:sz w:val="16"/>
              </w:rPr>
              <w:t>Leaf libraries; must not import from apps/.</w:t>
            </w:r>
          </w:p>
        </w:tc>
      </w:tr>
      <w:tr>
        <w:trPr>
          <w:cantSplit/>
        </w:trPr>
        <w:tc>
          <w:tcPr>
            <w:tcW w:type="dxa" w:w="2016"/>
          </w:tcPr>
          <w:p>
            <w:pPr>
              <w:spacing w:after="0"/>
            </w:pPr>
            <w:r/>
            <w:r>
              <w:rPr>
                <w:sz w:val="16"/>
              </w:rPr>
              <w:t>infra/</w:t>
            </w:r>
          </w:p>
        </w:tc>
        <w:tc>
          <w:tcPr>
            <w:tcW w:type="dxa" w:w="4176"/>
          </w:tcPr>
          <w:p>
            <w:pPr>
              <w:spacing w:after="0"/>
            </w:pPr>
            <w:r/>
            <w:r>
              <w:rPr>
                <w:sz w:val="16"/>
              </w:rPr>
              <w:t>containers/compose.yml, compose.prod.yml, reverse-proxy/Caddyfile</w:t>
            </w:r>
          </w:p>
        </w:tc>
        <w:tc>
          <w:tcPr>
            <w:tcW w:type="dxa" w:w="3168"/>
          </w:tcPr>
          <w:p>
            <w:pPr>
              <w:spacing w:after="0"/>
            </w:pPr>
            <w:r/>
            <w:r>
              <w:rPr>
                <w:sz w:val="16"/>
              </w:rPr>
              <w:t>Production container stacks.</w:t>
            </w:r>
          </w:p>
        </w:tc>
      </w:tr>
      <w:tr>
        <w:trPr>
          <w:cantSplit/>
        </w:trPr>
        <w:tc>
          <w:tcPr>
            <w:tcW w:type="dxa" w:w="2016"/>
          </w:tcPr>
          <w:p>
            <w:pPr>
              <w:spacing w:after="0"/>
            </w:pPr>
            <w:r/>
            <w:r>
              <w:rPr>
                <w:sz w:val="16"/>
              </w:rPr>
              <w:t>scripts/</w:t>
            </w:r>
          </w:p>
        </w:tc>
        <w:tc>
          <w:tcPr>
            <w:tcW w:type="dxa" w:w="4176"/>
          </w:tcPr>
          <w:p>
            <w:pPr>
              <w:spacing w:after="0"/>
            </w:pPr>
            <w:r/>
            <w:r>
              <w:rPr>
                <w:sz w:val="16"/>
              </w:rPr>
              <w:t>gen-contracts.py, gen-permissions.py, check-drift.py, audit-icons.mjs, vps-manage.sh</w:t>
            </w:r>
          </w:p>
        </w:tc>
        <w:tc>
          <w:tcPr>
            <w:tcW w:type="dxa" w:w="3168"/>
          </w:tcPr>
          <w:p>
            <w:pPr>
              <w:spacing w:after="0"/>
            </w:pPr>
            <w:r/>
            <w:r>
              <w:rPr>
                <w:sz w:val="16"/>
              </w:rPr>
              <w:t>Contract generation and drift guard.</w:t>
            </w:r>
          </w:p>
        </w:tc>
      </w:tr>
      <w:tr>
        <w:trPr>
          <w:cantSplit/>
        </w:trPr>
        <w:tc>
          <w:tcPr>
            <w:tcW w:type="dxa" w:w="2016"/>
          </w:tcPr>
          <w:p>
            <w:pPr>
              <w:spacing w:after="0"/>
            </w:pPr>
            <w:r/>
            <w:r>
              <w:rPr>
                <w:sz w:val="16"/>
              </w:rPr>
              <w:t>docs/</w:t>
            </w:r>
          </w:p>
        </w:tc>
        <w:tc>
          <w:tcPr>
            <w:tcW w:type="dxa" w:w="4176"/>
          </w:tcPr>
          <w:p>
            <w:pPr>
              <w:spacing w:after="0"/>
            </w:pPr>
            <w:r/>
            <w:r>
              <w:rPr>
                <w:sz w:val="16"/>
              </w:rPr>
              <w:t>adr, architecture, deployment, development, migration, performance, runbooks, security</w:t>
            </w:r>
          </w:p>
        </w:tc>
        <w:tc>
          <w:tcPr>
            <w:tcW w:type="dxa" w:w="3168"/>
          </w:tcPr>
          <w:p>
            <w:pPr>
              <w:spacing w:after="0"/>
            </w:pPr>
            <w:r/>
            <w:r>
              <w:rPr>
                <w:sz w:val="16"/>
              </w:rPr>
              <w:t>Existing project documentation (Indonesian).</w:t>
            </w:r>
          </w:p>
        </w:tc>
      </w:tr>
      <w:tr>
        <w:trPr>
          <w:cantSplit/>
        </w:trPr>
        <w:tc>
          <w:tcPr>
            <w:tcW w:type="dxa" w:w="2016"/>
          </w:tcPr>
          <w:p>
            <w:pPr>
              <w:spacing w:after="0"/>
            </w:pPr>
            <w:r/>
            <w:r>
              <w:rPr>
                <w:sz w:val="16"/>
              </w:rPr>
              <w:t>apps/backend/docs/</w:t>
            </w:r>
          </w:p>
        </w:tc>
        <w:tc>
          <w:tcPr>
            <w:tcW w:type="dxa" w:w="4176"/>
          </w:tcPr>
          <w:p>
            <w:pPr>
              <w:spacing w:after="0"/>
            </w:pPr>
            <w:r/>
            <w:r>
              <w:rPr>
                <w:sz w:val="16"/>
              </w:rPr>
              <w:t>openapi.yaml, business-rules.md, api-design.md, domain-map.md, database-analysis.md, BUGSWEEP reports</w:t>
            </w:r>
          </w:p>
        </w:tc>
        <w:tc>
          <w:tcPr>
            <w:tcW w:type="dxa" w:w="3168"/>
          </w:tcPr>
          <w:p>
            <w:pPr>
              <w:spacing w:after="0"/>
            </w:pPr>
            <w:r/>
            <w:r>
              <w:rPr>
                <w:sz w:val="16"/>
              </w:rPr>
              <w:t>The backend's own specification set.</w:t>
            </w:r>
          </w:p>
        </w:tc>
      </w:tr>
      <w:tr>
        <w:trPr>
          <w:cantSplit/>
        </w:trPr>
        <w:tc>
          <w:tcPr>
            <w:tcW w:type="dxa" w:w="2016"/>
          </w:tcPr>
          <w:p>
            <w:pPr>
              <w:spacing w:after="0"/>
            </w:pPr>
            <w:r/>
            <w:r>
              <w:rPr>
                <w:sz w:val="16"/>
              </w:rPr>
              <w:t>.github/</w:t>
            </w:r>
          </w:p>
        </w:tc>
        <w:tc>
          <w:tcPr>
            <w:tcW w:type="dxa" w:w="4176"/>
          </w:tcPr>
          <w:p>
            <w:pPr>
              <w:spacing w:after="0"/>
            </w:pPr>
            <w:r/>
            <w:r>
              <w:rPr>
                <w:sz w:val="16"/>
              </w:rPr>
              <w:t>workflows/ci.yml, workflows/deploy-ghcr.yml, ISSUE_TEMPLATE, CODEOWNERS</w:t>
            </w:r>
          </w:p>
        </w:tc>
        <w:tc>
          <w:tcPr>
            <w:tcW w:type="dxa" w:w="3168"/>
          </w:tcPr>
          <w:p>
            <w:pPr>
              <w:spacing w:after="0"/>
            </w:pPr>
            <w:r/>
            <w:r>
              <w:rPr>
                <w:sz w:val="16"/>
              </w:rPr>
              <w:t>Quality gates and image publishing.</w:t>
            </w:r>
          </w:p>
        </w:tc>
      </w:tr>
    </w:tbl>
    <w:p>
      <w:pPr>
        <w:spacing w:after="200"/>
      </w:pPr>
      <w:r>
        <w:rPr>
          <w:i/>
          <w:color w:val="555F6D"/>
          <w:sz w:val="17"/>
        </w:rPr>
        <w:t>Table 12. Repository top level</w:t>
      </w:r>
    </w:p>
    <w:p>
      <w:bookmarkStart w:id="1024" w:name="_Toc1024"/>
      <w:pPr>
        <w:pStyle w:val="Heading2"/>
      </w:pPr>
      <w:r>
        <w:t>4.2 File composition</w:t>
      </w:r>
      <w:bookmarkEnd w:id="1024"/>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1728"/>
            <w:shd w:val="clear" w:color="auto" w:fill="1F3A5F"/>
          </w:tcPr>
          <w:p>
            <w:pPr>
              <w:spacing w:after="0"/>
            </w:pPr>
            <w:r/>
            <w:r>
              <w:rPr>
                <w:b/>
                <w:color w:val="FFFFFF"/>
                <w:sz w:val="16"/>
              </w:rPr>
              <w:t>Extension</w:t>
            </w:r>
          </w:p>
        </w:tc>
        <w:tc>
          <w:tcPr>
            <w:tcW w:type="dxa" w:w="1584"/>
            <w:shd w:val="clear" w:color="auto" w:fill="1F3A5F"/>
          </w:tcPr>
          <w:p>
            <w:pPr>
              <w:spacing w:after="0"/>
            </w:pPr>
            <w:r/>
            <w:r>
              <w:rPr>
                <w:b/>
                <w:color w:val="FFFFFF"/>
                <w:sz w:val="16"/>
              </w:rPr>
              <w:t>Tracked files</w:t>
            </w:r>
          </w:p>
        </w:tc>
        <w:tc>
          <w:tcPr>
            <w:tcW w:type="dxa" w:w="6048"/>
            <w:shd w:val="clear" w:color="auto" w:fill="1F3A5F"/>
          </w:tcPr>
          <w:p>
            <w:pPr>
              <w:spacing w:after="0"/>
            </w:pPr>
            <w:r/>
            <w:r>
              <w:rPr>
                <w:b/>
                <w:color w:val="FFFFFF"/>
                <w:sz w:val="16"/>
              </w:rPr>
              <w:t>Where</w:t>
            </w:r>
          </w:p>
        </w:tc>
      </w:tr>
      <w:tr>
        <w:trPr>
          <w:cantSplit/>
        </w:trPr>
        <w:tc>
          <w:tcPr>
            <w:tcW w:type="dxa" w:w="1728"/>
          </w:tcPr>
          <w:p>
            <w:pPr>
              <w:spacing w:after="0"/>
            </w:pPr>
            <w:r/>
            <w:r>
              <w:rPr>
                <w:sz w:val="16"/>
              </w:rPr>
              <w:t>Go</w:t>
            </w:r>
          </w:p>
        </w:tc>
        <w:tc>
          <w:tcPr>
            <w:tcW w:type="dxa" w:w="1584"/>
          </w:tcPr>
          <w:p>
            <w:pPr>
              <w:spacing w:after="0"/>
            </w:pPr>
            <w:r/>
            <w:r>
              <w:rPr>
                <w:sz w:val="16"/>
              </w:rPr>
              <w:t>334</w:t>
            </w:r>
          </w:p>
        </w:tc>
        <w:tc>
          <w:tcPr>
            <w:tcW w:type="dxa" w:w="6048"/>
          </w:tcPr>
          <w:p>
            <w:pPr>
              <w:spacing w:after="0"/>
            </w:pPr>
            <w:r/>
            <w:r>
              <w:rPr>
                <w:sz w:val="16"/>
              </w:rPr>
              <w:t>apps/backend (296 under internal/, 3 test-bearing command packages)</w:t>
            </w:r>
          </w:p>
        </w:tc>
      </w:tr>
      <w:tr>
        <w:trPr>
          <w:cantSplit/>
        </w:trPr>
        <w:tc>
          <w:tcPr>
            <w:tcW w:type="dxa" w:w="1728"/>
          </w:tcPr>
          <w:p>
            <w:pPr>
              <w:spacing w:after="0"/>
            </w:pPr>
            <w:r/>
            <w:r>
              <w:rPr>
                <w:sz w:val="16"/>
              </w:rPr>
              <w:t>Vue</w:t>
            </w:r>
          </w:p>
        </w:tc>
        <w:tc>
          <w:tcPr>
            <w:tcW w:type="dxa" w:w="1584"/>
          </w:tcPr>
          <w:p>
            <w:pPr>
              <w:spacing w:after="0"/>
            </w:pPr>
            <w:r/>
            <w:r>
              <w:rPr>
                <w:sz w:val="16"/>
              </w:rPr>
              <w:t>290</w:t>
            </w:r>
          </w:p>
        </w:tc>
        <w:tc>
          <w:tcPr>
            <w:tcW w:type="dxa" w:w="6048"/>
          </w:tcPr>
          <w:p>
            <w:pPr>
              <w:spacing w:after="0"/>
            </w:pPr>
            <w:r/>
            <w:r>
              <w:rPr>
                <w:sz w:val="16"/>
              </w:rPr>
              <w:t>erp 90 components + 72 page files (70 routed); pos 42 components + 8 pages; b2b 17 components + 42 pages</w:t>
            </w:r>
          </w:p>
        </w:tc>
      </w:tr>
      <w:tr>
        <w:trPr>
          <w:cantSplit/>
        </w:trPr>
        <w:tc>
          <w:tcPr>
            <w:tcW w:type="dxa" w:w="1728"/>
          </w:tcPr>
          <w:p>
            <w:pPr>
              <w:spacing w:after="0"/>
            </w:pPr>
            <w:r/>
            <w:r>
              <w:rPr>
                <w:sz w:val="16"/>
              </w:rPr>
              <w:t>JavaScript</w:t>
            </w:r>
          </w:p>
        </w:tc>
        <w:tc>
          <w:tcPr>
            <w:tcW w:type="dxa" w:w="1584"/>
          </w:tcPr>
          <w:p>
            <w:pPr>
              <w:spacing w:after="0"/>
            </w:pPr>
            <w:r/>
            <w:r>
              <w:rPr>
                <w:sz w:val="16"/>
              </w:rPr>
              <w:t>163</w:t>
            </w:r>
          </w:p>
        </w:tc>
        <w:tc>
          <w:tcPr>
            <w:tcW w:type="dxa" w:w="6048"/>
          </w:tcPr>
          <w:p>
            <w:pPr>
              <w:spacing w:after="0"/>
            </w:pPr>
            <w:r/>
            <w:r>
              <w:rPr>
                <w:sz w:val="16"/>
              </w:rPr>
              <w:t>frontend services/stores/router; scripts</w:t>
            </w:r>
          </w:p>
        </w:tc>
      </w:tr>
      <w:tr>
        <w:trPr>
          <w:cantSplit/>
        </w:trPr>
        <w:tc>
          <w:tcPr>
            <w:tcW w:type="dxa" w:w="1728"/>
          </w:tcPr>
          <w:p>
            <w:pPr>
              <w:spacing w:after="0"/>
            </w:pPr>
            <w:r/>
            <w:r>
              <w:rPr>
                <w:sz w:val="16"/>
              </w:rPr>
              <w:t>SQL</w:t>
            </w:r>
          </w:p>
        </w:tc>
        <w:tc>
          <w:tcPr>
            <w:tcW w:type="dxa" w:w="1584"/>
          </w:tcPr>
          <w:p>
            <w:pPr>
              <w:spacing w:after="0"/>
            </w:pPr>
            <w:r/>
            <w:r>
              <w:rPr>
                <w:sz w:val="16"/>
              </w:rPr>
              <w:t>152</w:t>
            </w:r>
          </w:p>
        </w:tc>
        <w:tc>
          <w:tcPr>
            <w:tcW w:type="dxa" w:w="6048"/>
          </w:tcPr>
          <w:p>
            <w:pPr>
              <w:spacing w:after="0"/>
            </w:pPr>
            <w:r/>
            <w:r>
              <w:rPr>
                <w:sz w:val="16"/>
              </w:rPr>
              <w:t>123 migrations + 24 sqlc query files + schema.sql + seeds</w:t>
            </w:r>
          </w:p>
        </w:tc>
      </w:tr>
      <w:tr>
        <w:trPr>
          <w:cantSplit/>
        </w:trPr>
        <w:tc>
          <w:tcPr>
            <w:tcW w:type="dxa" w:w="1728"/>
          </w:tcPr>
          <w:p>
            <w:pPr>
              <w:spacing w:after="0"/>
            </w:pPr>
            <w:r/>
            <w:r>
              <w:rPr>
                <w:sz w:val="16"/>
              </w:rPr>
              <w:t>Markdown</w:t>
            </w:r>
          </w:p>
        </w:tc>
        <w:tc>
          <w:tcPr>
            <w:tcW w:type="dxa" w:w="1584"/>
          </w:tcPr>
          <w:p>
            <w:pPr>
              <w:spacing w:after="0"/>
            </w:pPr>
            <w:r/>
            <w:r>
              <w:rPr>
                <w:sz w:val="16"/>
              </w:rPr>
              <w:t>121</w:t>
            </w:r>
          </w:p>
        </w:tc>
        <w:tc>
          <w:tcPr>
            <w:tcW w:type="dxa" w:w="6048"/>
          </w:tcPr>
          <w:p>
            <w:pPr>
              <w:spacing w:after="0"/>
            </w:pPr>
            <w:r/>
            <w:r>
              <w:rPr>
                <w:sz w:val="16"/>
              </w:rPr>
              <w:t>docs/, app-local docs, AGENTS.md files</w:t>
            </w:r>
          </w:p>
        </w:tc>
      </w:tr>
      <w:tr>
        <w:trPr>
          <w:cantSplit/>
        </w:trPr>
        <w:tc>
          <w:tcPr>
            <w:tcW w:type="dxa" w:w="1728"/>
          </w:tcPr>
          <w:p>
            <w:pPr>
              <w:spacing w:after="0"/>
            </w:pPr>
            <w:r/>
            <w:r>
              <w:rPr>
                <w:sz w:val="16"/>
              </w:rPr>
              <w:t>TypeScript</w:t>
            </w:r>
          </w:p>
        </w:tc>
        <w:tc>
          <w:tcPr>
            <w:tcW w:type="dxa" w:w="1584"/>
          </w:tcPr>
          <w:p>
            <w:pPr>
              <w:spacing w:after="0"/>
            </w:pPr>
            <w:r/>
            <w:r>
              <w:rPr>
                <w:sz w:val="16"/>
              </w:rPr>
              <w:t>81</w:t>
            </w:r>
          </w:p>
        </w:tc>
        <w:tc>
          <w:tcPr>
            <w:tcW w:type="dxa" w:w="6048"/>
          </w:tcPr>
          <w:p>
            <w:pPr>
              <w:spacing w:after="0"/>
            </w:pPr>
            <w:r/>
            <w:r>
              <w:rPr>
                <w:sz w:val="16"/>
              </w:rPr>
              <w:t>b2b composables/services/types</w:t>
            </w:r>
          </w:p>
        </w:tc>
      </w:tr>
      <w:tr>
        <w:trPr>
          <w:cantSplit/>
        </w:trPr>
        <w:tc>
          <w:tcPr>
            <w:tcW w:type="dxa" w:w="1728"/>
          </w:tcPr>
          <w:p>
            <w:pPr>
              <w:spacing w:after="0"/>
            </w:pPr>
            <w:r/>
            <w:r>
              <w:rPr>
                <w:sz w:val="16"/>
              </w:rPr>
              <w:t>JSON / YAML</w:t>
            </w:r>
          </w:p>
        </w:tc>
        <w:tc>
          <w:tcPr>
            <w:tcW w:type="dxa" w:w="1584"/>
          </w:tcPr>
          <w:p>
            <w:pPr>
              <w:spacing w:after="0"/>
            </w:pPr>
            <w:r/>
            <w:r>
              <w:rPr>
                <w:sz w:val="16"/>
              </w:rPr>
              <w:t>22</w:t>
            </w:r>
          </w:p>
        </w:tc>
        <w:tc>
          <w:tcPr>
            <w:tcW w:type="dxa" w:w="6048"/>
          </w:tcPr>
          <w:p>
            <w:pPr>
              <w:spacing w:after="0"/>
            </w:pPr>
            <w:r/>
            <w:r>
              <w:rPr>
                <w:sz w:val="16"/>
              </w:rPr>
              <w:t>manifests, turbo, workflows, compose</w:t>
            </w:r>
          </w:p>
        </w:tc>
      </w:tr>
      <w:tr>
        <w:trPr>
          <w:cantSplit/>
        </w:trPr>
        <w:tc>
          <w:tcPr>
            <w:tcW w:type="dxa" w:w="1728"/>
          </w:tcPr>
          <w:p>
            <w:pPr>
              <w:spacing w:after="0"/>
            </w:pPr>
            <w:r/>
            <w:r>
              <w:rPr>
                <w:sz w:val="16"/>
              </w:rPr>
              <w:t>Python</w:t>
            </w:r>
          </w:p>
        </w:tc>
        <w:tc>
          <w:tcPr>
            <w:tcW w:type="dxa" w:w="1584"/>
          </w:tcPr>
          <w:p>
            <w:pPr>
              <w:spacing w:after="0"/>
            </w:pPr>
            <w:r/>
            <w:r>
              <w:rPr>
                <w:sz w:val="16"/>
              </w:rPr>
              <w:t>7</w:t>
            </w:r>
          </w:p>
        </w:tc>
        <w:tc>
          <w:tcPr>
            <w:tcW w:type="dxa" w:w="6048"/>
          </w:tcPr>
          <w:p>
            <w:pPr>
              <w:spacing w:after="0"/>
            </w:pPr>
            <w:r/>
            <w:r>
              <w:rPr>
                <w:sz w:val="16"/>
              </w:rPr>
              <w:t>drift guard, contract generators, docgen</w:t>
            </w:r>
          </w:p>
        </w:tc>
      </w:tr>
      <w:tr>
        <w:trPr>
          <w:cantSplit/>
        </w:trPr>
        <w:tc>
          <w:tcPr>
            <w:tcW w:type="dxa" w:w="1728"/>
          </w:tcPr>
          <w:p>
            <w:pPr>
              <w:spacing w:after="0"/>
            </w:pPr>
            <w:r/>
            <w:r>
              <w:rPr>
                <w:sz w:val="16"/>
              </w:rPr>
              <w:t>Total tracked</w:t>
            </w:r>
          </w:p>
        </w:tc>
        <w:tc>
          <w:tcPr>
            <w:tcW w:type="dxa" w:w="1584"/>
          </w:tcPr>
          <w:p>
            <w:pPr>
              <w:spacing w:after="0"/>
            </w:pPr>
            <w:r/>
            <w:r>
              <w:rPr>
                <w:sz w:val="16"/>
              </w:rPr>
              <w:t>1243</w:t>
            </w:r>
          </w:p>
        </w:tc>
        <w:tc>
          <w:tcPr>
            <w:tcW w:type="dxa" w:w="6048"/>
          </w:tcPr>
          <w:p>
            <w:pPr>
              <w:spacing w:after="0"/>
            </w:pPr>
            <w:r/>
            <w:r>
              <w:rPr>
                <w:sz w:val="16"/>
              </w:rPr>
              <w:t>git ls-files</w:t>
            </w:r>
          </w:p>
        </w:tc>
      </w:tr>
    </w:tbl>
    <w:p>
      <w:pPr>
        <w:spacing w:after="200"/>
      </w:pPr>
      <w:r>
        <w:rPr>
          <w:i/>
          <w:color w:val="555F6D"/>
          <w:sz w:val="17"/>
        </w:rPr>
        <w:t>Table 13. File composition at the audited commit</w:t>
      </w:r>
    </w:p>
    <w:p>
      <w:bookmarkStart w:id="1025" w:name="_Toc1025"/>
      <w:pPr>
        <w:pStyle w:val="Heading2"/>
      </w:pPr>
      <w:r>
        <w:t>4.3 Workspace and task orchestration</w:t>
      </w:r>
      <w:bookmarkEnd w:id="1025"/>
    </w:p>
    <w:p>
      <w:r>
        <w:rPr>
          <w:i w:val="0"/>
        </w:rPr>
        <w:t>pnpm workspaces (pnpm@12.11.2) declare apps/* and packages/*. Turborepo v2 runs build, test, typecheck, lint and dev. build depends on ^build and caches .output/** and dist/**; test and lint have no outputs, so they always re-run. dev is persistent and uncached.</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1656"/>
            <w:shd w:val="clear" w:color="auto" w:fill="1F3A5F"/>
          </w:tcPr>
          <w:p>
            <w:pPr>
              <w:spacing w:after="0"/>
            </w:pPr>
            <w:r/>
            <w:r>
              <w:rPr>
                <w:b/>
                <w:color w:val="FFFFFF"/>
                <w:sz w:val="15"/>
              </w:rPr>
              <w:t>Root script</w:t>
            </w:r>
          </w:p>
        </w:tc>
        <w:tc>
          <w:tcPr>
            <w:tcW w:type="dxa" w:w="3744"/>
            <w:shd w:val="clear" w:color="auto" w:fill="1F3A5F"/>
          </w:tcPr>
          <w:p>
            <w:pPr>
              <w:spacing w:after="0"/>
            </w:pPr>
            <w:r/>
            <w:r>
              <w:rPr>
                <w:b/>
                <w:color w:val="FFFFFF"/>
                <w:sz w:val="15"/>
              </w:rPr>
              <w:t>Command</w:t>
            </w:r>
          </w:p>
        </w:tc>
        <w:tc>
          <w:tcPr>
            <w:tcW w:type="dxa" w:w="3960"/>
            <w:shd w:val="clear" w:color="auto" w:fill="1F3A5F"/>
          </w:tcPr>
          <w:p>
            <w:pPr>
              <w:spacing w:after="0"/>
            </w:pPr>
            <w:r/>
            <w:r>
              <w:rPr>
                <w:b/>
                <w:color w:val="FFFFFF"/>
                <w:sz w:val="15"/>
              </w:rPr>
              <w:t>What it actually runs</w:t>
            </w:r>
          </w:p>
        </w:tc>
      </w:tr>
      <w:tr>
        <w:trPr>
          <w:cantSplit/>
        </w:trPr>
        <w:tc>
          <w:tcPr>
            <w:tcW w:type="dxa" w:w="1656"/>
          </w:tcPr>
          <w:p>
            <w:pPr>
              <w:spacing w:after="0"/>
            </w:pPr>
            <w:r/>
            <w:r>
              <w:rPr>
                <w:sz w:val="15"/>
              </w:rPr>
              <w:t>dev</w:t>
            </w:r>
          </w:p>
        </w:tc>
        <w:tc>
          <w:tcPr>
            <w:tcW w:type="dxa" w:w="3744"/>
          </w:tcPr>
          <w:p>
            <w:pPr>
              <w:spacing w:after="0"/>
            </w:pPr>
            <w:r/>
            <w:r>
              <w:rPr>
                <w:sz w:val="15"/>
              </w:rPr>
              <w:t>turbo run dev</w:t>
            </w:r>
          </w:p>
        </w:tc>
        <w:tc>
          <w:tcPr>
            <w:tcW w:type="dxa" w:w="3960"/>
          </w:tcPr>
          <w:p>
            <w:pPr>
              <w:spacing w:after="0"/>
            </w:pPr>
            <w:r/>
            <w:r>
              <w:rPr>
                <w:sz w:val="15"/>
              </w:rPr>
              <w:t>All workspace dev servers in parallel (Vite ×2, Nuxt, nextreport watch)</w:t>
            </w:r>
          </w:p>
        </w:tc>
      </w:tr>
      <w:tr>
        <w:trPr>
          <w:cantSplit/>
        </w:trPr>
        <w:tc>
          <w:tcPr>
            <w:tcW w:type="dxa" w:w="1656"/>
          </w:tcPr>
          <w:p>
            <w:pPr>
              <w:spacing w:after="0"/>
            </w:pPr>
            <w:r/>
            <w:r>
              <w:rPr>
                <w:sz w:val="15"/>
              </w:rPr>
              <w:t>dev:backend</w:t>
            </w:r>
          </w:p>
        </w:tc>
        <w:tc>
          <w:tcPr>
            <w:tcW w:type="dxa" w:w="3744"/>
          </w:tcPr>
          <w:p>
            <w:pPr>
              <w:spacing w:after="0"/>
            </w:pPr>
            <w:r/>
            <w:r>
              <w:rPr>
                <w:sz w:val="15"/>
              </w:rPr>
              <w:t>go -C apps/backend run ./cmd/server</w:t>
            </w:r>
          </w:p>
        </w:tc>
        <w:tc>
          <w:tcPr>
            <w:tcW w:type="dxa" w:w="3960"/>
          </w:tcPr>
          <w:p>
            <w:pPr>
              <w:spacing w:after="0"/>
            </w:pPr>
            <w:r/>
            <w:r>
              <w:rPr>
                <w:sz w:val="15"/>
              </w:rPr>
              <w:t>Backend only, on :8080</w:t>
            </w:r>
          </w:p>
        </w:tc>
      </w:tr>
      <w:tr>
        <w:trPr>
          <w:cantSplit/>
        </w:trPr>
        <w:tc>
          <w:tcPr>
            <w:tcW w:type="dxa" w:w="1656"/>
          </w:tcPr>
          <w:p>
            <w:pPr>
              <w:spacing w:after="0"/>
            </w:pPr>
            <w:r/>
            <w:r>
              <w:rPr>
                <w:sz w:val="15"/>
              </w:rPr>
              <w:t>build</w:t>
            </w:r>
          </w:p>
        </w:tc>
        <w:tc>
          <w:tcPr>
            <w:tcW w:type="dxa" w:w="3744"/>
          </w:tcPr>
          <w:p>
            <w:pPr>
              <w:spacing w:after="0"/>
            </w:pPr>
            <w:r/>
            <w:r>
              <w:rPr>
                <w:sz w:val="15"/>
              </w:rPr>
              <w:t>turbo run build</w:t>
            </w:r>
          </w:p>
        </w:tc>
        <w:tc>
          <w:tcPr>
            <w:tcW w:type="dxa" w:w="3960"/>
          </w:tcPr>
          <w:p>
            <w:pPr>
              <w:spacing w:after="0"/>
            </w:pPr>
            <w:r/>
            <w:r>
              <w:rPr>
                <w:sz w:val="15"/>
              </w:rPr>
              <w:t>erp/pos Vite builds, b2b Nuxt build, nextreport syntax check</w:t>
            </w:r>
          </w:p>
        </w:tc>
      </w:tr>
      <w:tr>
        <w:trPr>
          <w:cantSplit/>
        </w:trPr>
        <w:tc>
          <w:tcPr>
            <w:tcW w:type="dxa" w:w="1656"/>
          </w:tcPr>
          <w:p>
            <w:pPr>
              <w:spacing w:after="0"/>
            </w:pPr>
            <w:r/>
            <w:r>
              <w:rPr>
                <w:sz w:val="15"/>
              </w:rPr>
              <w:t>build:backend</w:t>
            </w:r>
          </w:p>
        </w:tc>
        <w:tc>
          <w:tcPr>
            <w:tcW w:type="dxa" w:w="3744"/>
          </w:tcPr>
          <w:p>
            <w:pPr>
              <w:spacing w:after="0"/>
            </w:pPr>
            <w:r/>
            <w:r>
              <w:rPr>
                <w:sz w:val="15"/>
              </w:rPr>
              <w:t>CGO_ENABLED=0 go -C apps/backend build -trimpath -ldflags='-s -w'</w:t>
            </w:r>
          </w:p>
        </w:tc>
        <w:tc>
          <w:tcPr>
            <w:tcW w:type="dxa" w:w="3960"/>
          </w:tcPr>
          <w:p>
            <w:pPr>
              <w:spacing w:after="0"/>
            </w:pPr>
            <w:r/>
            <w:r>
              <w:rPr>
                <w:sz w:val="15"/>
              </w:rPr>
              <w:t>Static binary at apps/backend/bin/server</w:t>
            </w:r>
          </w:p>
        </w:tc>
      </w:tr>
      <w:tr>
        <w:trPr>
          <w:cantSplit/>
        </w:trPr>
        <w:tc>
          <w:tcPr>
            <w:tcW w:type="dxa" w:w="1656"/>
          </w:tcPr>
          <w:p>
            <w:pPr>
              <w:spacing w:after="0"/>
            </w:pPr>
            <w:r/>
            <w:r>
              <w:rPr>
                <w:sz w:val="15"/>
              </w:rPr>
              <w:t>test</w:t>
            </w:r>
          </w:p>
        </w:tc>
        <w:tc>
          <w:tcPr>
            <w:tcW w:type="dxa" w:w="3744"/>
          </w:tcPr>
          <w:p>
            <w:pPr>
              <w:spacing w:after="0"/>
            </w:pPr>
            <w:r/>
            <w:r>
              <w:rPr>
                <w:sz w:val="15"/>
              </w:rPr>
              <w:t>turbo run test &amp;&amp; pnpm test:backend</w:t>
            </w:r>
          </w:p>
        </w:tc>
        <w:tc>
          <w:tcPr>
            <w:tcW w:type="dxa" w:w="3960"/>
          </w:tcPr>
          <w:p>
            <w:pPr>
              <w:spacing w:after="0"/>
            </w:pPr>
            <w:r/>
            <w:r>
              <w:rPr>
                <w:sz w:val="15"/>
              </w:rPr>
              <w:t>JS suites, then Go — see finding F-04 for the DB caveat</w:t>
            </w:r>
          </w:p>
        </w:tc>
      </w:tr>
      <w:tr>
        <w:trPr>
          <w:cantSplit/>
        </w:trPr>
        <w:tc>
          <w:tcPr>
            <w:tcW w:type="dxa" w:w="1656"/>
          </w:tcPr>
          <w:p>
            <w:pPr>
              <w:spacing w:after="0"/>
            </w:pPr>
            <w:r/>
            <w:r>
              <w:rPr>
                <w:sz w:val="15"/>
              </w:rPr>
              <w:t>test:backend</w:t>
            </w:r>
          </w:p>
        </w:tc>
        <w:tc>
          <w:tcPr>
            <w:tcW w:type="dxa" w:w="3744"/>
          </w:tcPr>
          <w:p>
            <w:pPr>
              <w:spacing w:after="0"/>
            </w:pPr>
            <w:r/>
            <w:r>
              <w:rPr>
                <w:sz w:val="15"/>
              </w:rPr>
              <w:t>go -C apps/backend test -v ./...</w:t>
            </w:r>
          </w:p>
        </w:tc>
        <w:tc>
          <w:tcPr>
            <w:tcW w:type="dxa" w:w="3960"/>
          </w:tcPr>
          <w:p>
            <w:pPr>
              <w:spacing w:after="0"/>
            </w:pPr>
            <w:r/>
            <w:r>
              <w:rPr>
                <w:sz w:val="15"/>
              </w:rPr>
              <w:t>Go unit + integration (integration skips without DATABASE_URL)</w:t>
            </w:r>
          </w:p>
        </w:tc>
      </w:tr>
      <w:tr>
        <w:trPr>
          <w:cantSplit/>
        </w:trPr>
        <w:tc>
          <w:tcPr>
            <w:tcW w:type="dxa" w:w="1656"/>
          </w:tcPr>
          <w:p>
            <w:pPr>
              <w:spacing w:after="0"/>
            </w:pPr>
            <w:r/>
            <w:r>
              <w:rPr>
                <w:sz w:val="15"/>
              </w:rPr>
              <w:t>lint</w:t>
            </w:r>
          </w:p>
        </w:tc>
        <w:tc>
          <w:tcPr>
            <w:tcW w:type="dxa" w:w="3744"/>
          </w:tcPr>
          <w:p>
            <w:pPr>
              <w:spacing w:after="0"/>
            </w:pPr>
            <w:r/>
            <w:r>
              <w:rPr>
                <w:sz w:val="15"/>
              </w:rPr>
              <w:t>turbo run lint</w:t>
            </w:r>
          </w:p>
        </w:tc>
        <w:tc>
          <w:tcPr>
            <w:tcW w:type="dxa" w:w="3960"/>
          </w:tcPr>
          <w:p>
            <w:pPr>
              <w:spacing w:after="0"/>
            </w:pPr>
            <w:r/>
            <w:r>
              <w:rPr>
                <w:sz w:val="15"/>
              </w:rPr>
              <w:t>Only pos and b2b define a lint script; erp does not</w:t>
            </w:r>
          </w:p>
        </w:tc>
      </w:tr>
      <w:tr>
        <w:trPr>
          <w:cantSplit/>
        </w:trPr>
        <w:tc>
          <w:tcPr>
            <w:tcW w:type="dxa" w:w="1656"/>
          </w:tcPr>
          <w:p>
            <w:pPr>
              <w:spacing w:after="0"/>
            </w:pPr>
            <w:r/>
            <w:r>
              <w:rPr>
                <w:sz w:val="15"/>
              </w:rPr>
              <w:t>typecheck</w:t>
            </w:r>
          </w:p>
        </w:tc>
        <w:tc>
          <w:tcPr>
            <w:tcW w:type="dxa" w:w="3744"/>
          </w:tcPr>
          <w:p>
            <w:pPr>
              <w:spacing w:after="0"/>
            </w:pPr>
            <w:r/>
            <w:r>
              <w:rPr>
                <w:sz w:val="15"/>
              </w:rPr>
              <w:t>turbo run typecheck</w:t>
            </w:r>
          </w:p>
        </w:tc>
        <w:tc>
          <w:tcPr>
            <w:tcW w:type="dxa" w:w="3960"/>
          </w:tcPr>
          <w:p>
            <w:pPr>
              <w:spacing w:after="0"/>
            </w:pPr>
            <w:r/>
            <w:r>
              <w:rPr>
                <w:sz w:val="15"/>
              </w:rPr>
              <w:t>Only b2b defines typecheck (nuxi typecheck)</w:t>
            </w:r>
          </w:p>
        </w:tc>
      </w:tr>
      <w:tr>
        <w:trPr>
          <w:cantSplit/>
        </w:trPr>
        <w:tc>
          <w:tcPr>
            <w:tcW w:type="dxa" w:w="1656"/>
          </w:tcPr>
          <w:p>
            <w:pPr>
              <w:spacing w:after="0"/>
            </w:pPr>
            <w:r/>
            <w:r>
              <w:rPr>
                <w:sz w:val="15"/>
              </w:rPr>
              <w:t>contracts:generate</w:t>
            </w:r>
          </w:p>
        </w:tc>
        <w:tc>
          <w:tcPr>
            <w:tcW w:type="dxa" w:w="3744"/>
          </w:tcPr>
          <w:p>
            <w:pPr>
              <w:spacing w:after="0"/>
            </w:pPr>
            <w:r/>
            <w:r>
              <w:rPr>
                <w:sz w:val="15"/>
              </w:rPr>
              <w:t>python3 scripts/gen-contracts.py</w:t>
            </w:r>
          </w:p>
        </w:tc>
        <w:tc>
          <w:tcPr>
            <w:tcW w:type="dxa" w:w="3960"/>
          </w:tcPr>
          <w:p>
            <w:pPr>
              <w:spacing w:after="0"/>
            </w:pPr>
            <w:r/>
            <w:r>
              <w:rPr>
                <w:sz w:val="15"/>
              </w:rPr>
              <w:t>Regenerates packages/contracts from openapi.yaml</w:t>
            </w:r>
          </w:p>
        </w:tc>
      </w:tr>
      <w:tr>
        <w:trPr>
          <w:cantSplit/>
        </w:trPr>
        <w:tc>
          <w:tcPr>
            <w:tcW w:type="dxa" w:w="1656"/>
          </w:tcPr>
          <w:p>
            <w:pPr>
              <w:spacing w:after="0"/>
            </w:pPr>
            <w:r/>
            <w:r>
              <w:rPr>
                <w:sz w:val="15"/>
              </w:rPr>
              <w:t>permissions:generate</w:t>
            </w:r>
          </w:p>
        </w:tc>
        <w:tc>
          <w:tcPr>
            <w:tcW w:type="dxa" w:w="3744"/>
          </w:tcPr>
          <w:p>
            <w:pPr>
              <w:spacing w:after="0"/>
            </w:pPr>
            <w:r/>
            <w:r>
              <w:rPr>
                <w:sz w:val="15"/>
              </w:rPr>
              <w:t>python3 scripts/gen-permissions.py</w:t>
            </w:r>
          </w:p>
        </w:tc>
        <w:tc>
          <w:tcPr>
            <w:tcW w:type="dxa" w:w="3960"/>
          </w:tcPr>
          <w:p>
            <w:pPr>
              <w:spacing w:after="0"/>
            </w:pPr>
            <w:r/>
            <w:r>
              <w:rPr>
                <w:sz w:val="15"/>
              </w:rPr>
              <w:t>Regenerates packages/permissions from catalog.go</w:t>
            </w:r>
          </w:p>
        </w:tc>
      </w:tr>
      <w:tr>
        <w:trPr>
          <w:cantSplit/>
        </w:trPr>
        <w:tc>
          <w:tcPr>
            <w:tcW w:type="dxa" w:w="1656"/>
          </w:tcPr>
          <w:p>
            <w:pPr>
              <w:spacing w:after="0"/>
            </w:pPr>
            <w:r/>
            <w:r>
              <w:rPr>
                <w:sz w:val="15"/>
              </w:rPr>
              <w:t>drift:check</w:t>
            </w:r>
          </w:p>
        </w:tc>
        <w:tc>
          <w:tcPr>
            <w:tcW w:type="dxa" w:w="3744"/>
          </w:tcPr>
          <w:p>
            <w:pPr>
              <w:spacing w:after="0"/>
            </w:pPr>
            <w:r/>
            <w:r>
              <w:rPr>
                <w:sz w:val="15"/>
              </w:rPr>
              <w:t>python3 scripts/check-drift.py</w:t>
            </w:r>
          </w:p>
        </w:tc>
        <w:tc>
          <w:tcPr>
            <w:tcW w:type="dxa" w:w="3960"/>
          </w:tcPr>
          <w:p>
            <w:pPr>
              <w:spacing w:after="0"/>
            </w:pPr>
            <w:r/>
            <w:r>
              <w:rPr>
                <w:sz w:val="15"/>
              </w:rPr>
              <w:t>Fails if either generated package is stale</w:t>
            </w:r>
          </w:p>
        </w:tc>
      </w:tr>
    </w:tbl>
    <w:p>
      <w:pPr>
        <w:spacing w:after="200"/>
      </w:pPr>
      <w:r>
        <w:rPr>
          <w:i/>
          <w:color w:val="555F6D"/>
          <w:sz w:val="17"/>
        </w:rPr>
        <w:t>Table 14. Root scripts and their real effect</w:t>
      </w:r>
    </w:p>
    <w:p>
      <w:bookmarkStart w:id="1026" w:name="_Toc1026"/>
      <w:pPr>
        <w:pStyle w:val="Heading2"/>
      </w:pPr>
      <w:r>
        <w:t>4.4 Package dependency rules</w:t>
      </w:r>
      <w:bookmarkEnd w:id="1026"/>
    </w:p>
    <w:p>
      <w:pPr>
        <w:keepNext/>
        <w:spacing w:before="80" w:after="40"/>
        <w:jc w:val="center"/>
      </w:pPr>
      <w:r>
        <w:drawing>
          <wp:inline xmlns:a="http://schemas.openxmlformats.org/drawingml/2006/main" xmlns:pic="http://schemas.openxmlformats.org/drawingml/2006/picture">
            <wp:extent cx="6035040" cy="6233740"/>
            <wp:docPr id="2" name="Picture 2"/>
            <wp:cNvGraphicFramePr>
              <a:graphicFrameLocks noChangeAspect="1"/>
            </wp:cNvGraphicFramePr>
            <a:graphic>
              <a:graphicData uri="http://schemas.openxmlformats.org/drawingml/2006/picture">
                <pic:pic>
                  <pic:nvPicPr>
                    <pic:cNvPr id="0" name="fig-package-dependency.png"/>
                    <pic:cNvPicPr/>
                  </pic:nvPicPr>
                  <pic:blipFill>
                    <a:blip r:embed="rId12"/>
                    <a:stretch>
                      <a:fillRect/>
                    </a:stretch>
                  </pic:blipFill>
                  <pic:spPr>
                    <a:xfrm>
                      <a:off x="0" y="0"/>
                      <a:ext cx="6035040" cy="6233740"/>
                    </a:xfrm>
                    <a:prstGeom prst="rect"/>
                  </pic:spPr>
                </pic:pic>
              </a:graphicData>
            </a:graphic>
          </wp:inline>
        </w:drawing>
      </w:r>
    </w:p>
    <w:p>
      <w:pPr>
        <w:spacing w:after="40"/>
        <w:jc w:val="center"/>
      </w:pPr>
      <w:r>
        <w:rPr>
          <w:i/>
          <w:color w:val="555F6D"/>
          <w:sz w:val="17"/>
        </w:rPr>
        <w:t>Figure 2. Package dependency graph. Dashed edges are declared in package.json but have no import in the source (verified by searching for the package specifier).</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304"/>
            <w:shd w:val="clear" w:color="auto" w:fill="1F3A5F"/>
          </w:tcPr>
          <w:p>
            <w:pPr>
              <w:spacing w:after="0"/>
            </w:pPr>
            <w:r/>
            <w:r>
              <w:rPr>
                <w:b/>
                <w:color w:val="FFFFFF"/>
                <w:sz w:val="16"/>
              </w:rPr>
              <w:t>Package</w:t>
            </w:r>
          </w:p>
        </w:tc>
        <w:tc>
          <w:tcPr>
            <w:tcW w:type="dxa" w:w="3024"/>
            <w:shd w:val="clear" w:color="auto" w:fill="1F3A5F"/>
          </w:tcPr>
          <w:p>
            <w:pPr>
              <w:spacing w:after="0"/>
            </w:pPr>
            <w:r/>
            <w:r>
              <w:rPr>
                <w:b/>
                <w:color w:val="FFFFFF"/>
                <w:sz w:val="16"/>
              </w:rPr>
              <w:t>Consumed by</w:t>
            </w:r>
          </w:p>
        </w:tc>
        <w:tc>
          <w:tcPr>
            <w:tcW w:type="dxa" w:w="4032"/>
            <w:shd w:val="clear" w:color="auto" w:fill="1F3A5F"/>
          </w:tcPr>
          <w:p>
            <w:pPr>
              <w:spacing w:after="0"/>
            </w:pPr>
            <w:r/>
            <w:r>
              <w:rPr>
                <w:b/>
                <w:color w:val="FFFFFF"/>
                <w:sz w:val="16"/>
              </w:rPr>
              <w:t>Evidence</w:t>
            </w:r>
          </w:p>
        </w:tc>
      </w:tr>
      <w:tr>
        <w:trPr>
          <w:cantSplit/>
        </w:trPr>
        <w:tc>
          <w:tcPr>
            <w:tcW w:type="dxa" w:w="2304"/>
          </w:tcPr>
          <w:p>
            <w:pPr>
              <w:spacing w:after="0"/>
            </w:pPr>
            <w:r/>
            <w:r>
              <w:rPr>
                <w:sz w:val="16"/>
              </w:rPr>
              <w:t>@keluargamart/contracts</w:t>
            </w:r>
          </w:p>
        </w:tc>
        <w:tc>
          <w:tcPr>
            <w:tcW w:type="dxa" w:w="3024"/>
          </w:tcPr>
          <w:p>
            <w:pPr>
              <w:spacing w:after="0"/>
            </w:pPr>
            <w:r/>
            <w:r>
              <w:rPr>
                <w:sz w:val="16"/>
              </w:rPr>
              <w:t>erp, pos, b2b, api-client</w:t>
            </w:r>
          </w:p>
        </w:tc>
        <w:tc>
          <w:tcPr>
            <w:tcW w:type="dxa" w:w="4032"/>
          </w:tcPr>
          <w:p>
            <w:pPr>
              <w:spacing w:after="0"/>
            </w:pPr>
            <w:r/>
            <w:r>
              <w:rPr>
                <w:sz w:val="16"/>
              </w:rPr>
              <w:t>backendContract.js/.ts import BACKEND_ROUTES from '@keluargamart/contracts/routes'</w:t>
            </w:r>
          </w:p>
        </w:tc>
      </w:tr>
      <w:tr>
        <w:trPr>
          <w:cantSplit/>
        </w:trPr>
        <w:tc>
          <w:tcPr>
            <w:tcW w:type="dxa" w:w="2304"/>
          </w:tcPr>
          <w:p>
            <w:pPr>
              <w:spacing w:after="0"/>
            </w:pPr>
            <w:r/>
            <w:r>
              <w:rPr>
                <w:sz w:val="16"/>
              </w:rPr>
              <w:t>@keluargamart/permissions</w:t>
            </w:r>
          </w:p>
        </w:tc>
        <w:tc>
          <w:tcPr>
            <w:tcW w:type="dxa" w:w="3024"/>
          </w:tcPr>
          <w:p>
            <w:pPr>
              <w:spacing w:after="0"/>
            </w:pPr>
            <w:r/>
            <w:r>
              <w:rPr>
                <w:sz w:val="16"/>
              </w:rPr>
              <w:t>erp, pos</w:t>
            </w:r>
          </w:p>
        </w:tc>
        <w:tc>
          <w:tcPr>
            <w:tcW w:type="dxa" w:w="4032"/>
          </w:tcPr>
          <w:p>
            <w:pPr>
              <w:spacing w:after="0"/>
            </w:pPr>
            <w:r/>
            <w:r>
              <w:rPr>
                <w:sz w:val="16"/>
              </w:rPr>
              <w:t>permissionLabels / auth stores import ALL_PERMISSIONS and ROLES</w:t>
            </w:r>
          </w:p>
        </w:tc>
      </w:tr>
      <w:tr>
        <w:trPr>
          <w:cantSplit/>
        </w:trPr>
        <w:tc>
          <w:tcPr>
            <w:tcW w:type="dxa" w:w="2304"/>
          </w:tcPr>
          <w:p>
            <w:pPr>
              <w:spacing w:after="0"/>
            </w:pPr>
            <w:r/>
            <w:r>
              <w:rPr>
                <w:sz w:val="16"/>
              </w:rPr>
              <w:t>@keluargamart/utils</w:t>
            </w:r>
          </w:p>
        </w:tc>
        <w:tc>
          <w:tcPr>
            <w:tcW w:type="dxa" w:w="3024"/>
          </w:tcPr>
          <w:p>
            <w:pPr>
              <w:spacing w:after="0"/>
            </w:pPr>
            <w:r/>
            <w:r>
              <w:rPr>
                <w:sz w:val="16"/>
              </w:rPr>
              <w:t>erp, pos, b2b, api-client</w:t>
            </w:r>
          </w:p>
        </w:tc>
        <w:tc>
          <w:tcPr>
            <w:tcW w:type="dxa" w:w="4032"/>
          </w:tcPr>
          <w:p>
            <w:pPr>
              <w:spacing w:after="0"/>
            </w:pPr>
            <w:r/>
            <w:r>
              <w:rPr>
                <w:sz w:val="16"/>
              </w:rPr>
              <w:t>currency/date formatting, newIdempotencyKey</w:t>
            </w:r>
          </w:p>
        </w:tc>
      </w:tr>
      <w:tr>
        <w:trPr>
          <w:cantSplit/>
        </w:trPr>
        <w:tc>
          <w:tcPr>
            <w:tcW w:type="dxa" w:w="2304"/>
          </w:tcPr>
          <w:p>
            <w:pPr>
              <w:spacing w:after="0"/>
            </w:pPr>
            <w:r/>
            <w:r>
              <w:rPr>
                <w:sz w:val="16"/>
              </w:rPr>
              <w:t>@keluargamart/api-client</w:t>
            </w:r>
          </w:p>
        </w:tc>
        <w:tc>
          <w:tcPr>
            <w:tcW w:type="dxa" w:w="3024"/>
          </w:tcPr>
          <w:p>
            <w:pPr>
              <w:spacing w:after="0"/>
            </w:pPr>
            <w:r/>
            <w:r>
              <w:rPr>
                <w:sz w:val="16"/>
              </w:rPr>
              <w:t>none</w:t>
            </w:r>
          </w:p>
        </w:tc>
        <w:tc>
          <w:tcPr>
            <w:tcW w:type="dxa" w:w="4032"/>
          </w:tcPr>
          <w:p>
            <w:pPr>
              <w:spacing w:after="0"/>
            </w:pPr>
            <w:r/>
            <w:r>
              <w:rPr>
                <w:sz w:val="16"/>
              </w:rPr>
              <w:t>declared by no app; only its own test imports it</w:t>
            </w:r>
          </w:p>
        </w:tc>
      </w:tr>
      <w:tr>
        <w:trPr>
          <w:cantSplit/>
        </w:trPr>
        <w:tc>
          <w:tcPr>
            <w:tcW w:type="dxa" w:w="2304"/>
          </w:tcPr>
          <w:p>
            <w:pPr>
              <w:spacing w:after="0"/>
            </w:pPr>
            <w:r/>
            <w:r>
              <w:rPr>
                <w:sz w:val="16"/>
              </w:rPr>
              <w:t>@keluargamart/ui</w:t>
            </w:r>
          </w:p>
        </w:tc>
        <w:tc>
          <w:tcPr>
            <w:tcW w:type="dxa" w:w="3024"/>
          </w:tcPr>
          <w:p>
            <w:pPr>
              <w:spacing w:after="0"/>
            </w:pPr>
            <w:r/>
            <w:r>
              <w:rPr>
                <w:sz w:val="16"/>
              </w:rPr>
              <w:t>declared by erp, pos, b2b — imported by none</w:t>
            </w:r>
          </w:p>
        </w:tc>
        <w:tc>
          <w:tcPr>
            <w:tcW w:type="dxa" w:w="4032"/>
          </w:tcPr>
          <w:p>
            <w:pPr>
              <w:spacing w:after="0"/>
            </w:pPr>
            <w:r/>
            <w:r>
              <w:rPr>
                <w:sz w:val="16"/>
              </w:rPr>
              <w:t>no '@keluargamart/ui' specifier exists in any app source</w:t>
            </w:r>
          </w:p>
        </w:tc>
      </w:tr>
    </w:tbl>
    <w:p>
      <w:pPr>
        <w:spacing w:after="200"/>
      </w:pPr>
      <w:r>
        <w:rPr>
          <w:i/>
          <w:color w:val="555F6D"/>
          <w:sz w:val="17"/>
        </w:rPr>
        <w:t>Table 15. Shared package consumption (verified by import search)</w:t>
      </w:r>
    </w:p>
    <w:p>
      <w:pPr>
        <w:spacing w:after="160"/>
        <w:ind w:left="216"/>
        <w:pBdr>
          <w:left w:val="single" w:sz="18" w:space="6" w:color="9B2C2C"/>
        </w:pBdr>
      </w:pPr>
      <w:r>
        <w:rPr>
          <w:b/>
          <w:color w:val="9B2C2C"/>
          <w:sz w:val="19"/>
        </w:rPr>
        <w:t xml:space="preserve">Gap: </w:t>
      </w:r>
      <w:r>
        <w:rPr>
          <w:sz w:val="19"/>
        </w:rPr>
        <w:t>@keluargamart/ui ships eight components and a token stylesheet but no application imports it. The design tokens are therefore duplicated in each app. This is a real drift surface: a token change in packages/ui has no effect on any running application.</w:t>
      </w:r>
    </w:p>
    <w:p>
      <w:bookmarkStart w:id="1027" w:name="_Toc1027"/>
      <w:pPr>
        <w:pStyle w:val="Heading2"/>
      </w:pPr>
      <w:r>
        <w:t>4.5 Existing documentation and its accuracy</w:t>
      </w:r>
      <w:bookmarkEnd w:id="1027"/>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736"/>
            <w:shd w:val="clear" w:color="auto" w:fill="1F3A5F"/>
          </w:tcPr>
          <w:p>
            <w:pPr>
              <w:spacing w:after="0"/>
            </w:pPr>
            <w:r/>
            <w:r>
              <w:rPr>
                <w:b/>
                <w:color w:val="FFFFFF"/>
                <w:sz w:val="16"/>
              </w:rPr>
              <w:t>Document</w:t>
            </w:r>
          </w:p>
        </w:tc>
        <w:tc>
          <w:tcPr>
            <w:tcW w:type="dxa" w:w="1368"/>
            <w:shd w:val="clear" w:color="auto" w:fill="1F3A5F"/>
          </w:tcPr>
          <w:p>
            <w:pPr>
              <w:spacing w:after="0"/>
            </w:pPr>
            <w:r/>
            <w:r>
              <w:rPr>
                <w:b/>
                <w:color w:val="FFFFFF"/>
                <w:sz w:val="16"/>
              </w:rPr>
              <w:t>Accurate?</w:t>
            </w:r>
          </w:p>
        </w:tc>
        <w:tc>
          <w:tcPr>
            <w:tcW w:type="dxa" w:w="5256"/>
            <w:shd w:val="clear" w:color="auto" w:fill="1F3A5F"/>
          </w:tcPr>
          <w:p>
            <w:pPr>
              <w:spacing w:after="0"/>
            </w:pPr>
            <w:r/>
            <w:r>
              <w:rPr>
                <w:b/>
                <w:color w:val="FFFFFF"/>
                <w:sz w:val="16"/>
              </w:rPr>
              <w:t>Notes</w:t>
            </w:r>
          </w:p>
        </w:tc>
      </w:tr>
      <w:tr>
        <w:trPr>
          <w:cantSplit/>
        </w:trPr>
        <w:tc>
          <w:tcPr>
            <w:tcW w:type="dxa" w:w="2736"/>
          </w:tcPr>
          <w:p>
            <w:pPr>
              <w:spacing w:after="0"/>
            </w:pPr>
            <w:r/>
            <w:r>
              <w:rPr>
                <w:sz w:val="16"/>
              </w:rPr>
              <w:t>README.md</w:t>
            </w:r>
          </w:p>
        </w:tc>
        <w:tc>
          <w:tcPr>
            <w:tcW w:type="dxa" w:w="1368"/>
          </w:tcPr>
          <w:p>
            <w:pPr>
              <w:spacing w:after="0"/>
            </w:pPr>
            <w:r/>
            <w:r>
              <w:rPr>
                <w:sz w:val="16"/>
              </w:rPr>
              <w:t>Mostly</w:t>
            </w:r>
          </w:p>
        </w:tc>
        <w:tc>
          <w:tcPr>
            <w:tcW w:type="dxa" w:w="5256"/>
          </w:tcPr>
          <w:p>
            <w:pPr>
              <w:spacing w:after="0"/>
            </w:pPr>
            <w:r/>
            <w:r>
              <w:rPr>
                <w:sz w:val="16"/>
              </w:rPr>
              <w:t>Describes the five apps and the shared packages correctly.</w:t>
            </w:r>
          </w:p>
        </w:tc>
      </w:tr>
      <w:tr>
        <w:trPr>
          <w:cantSplit/>
        </w:trPr>
        <w:tc>
          <w:tcPr>
            <w:tcW w:type="dxa" w:w="2736"/>
          </w:tcPr>
          <w:p>
            <w:pPr>
              <w:spacing w:after="0"/>
            </w:pPr>
            <w:r/>
            <w:r>
              <w:rPr>
                <w:sz w:val="16"/>
              </w:rPr>
              <w:t>AGENTS.md</w:t>
            </w:r>
          </w:p>
        </w:tc>
        <w:tc>
          <w:tcPr>
            <w:tcW w:type="dxa" w:w="1368"/>
          </w:tcPr>
          <w:p>
            <w:pPr>
              <w:spacing w:after="0"/>
            </w:pPr>
            <w:r/>
            <w:r>
              <w:rPr>
                <w:sz w:val="16"/>
              </w:rPr>
              <w:t>Partly</w:t>
            </w:r>
          </w:p>
        </w:tc>
        <w:tc>
          <w:tcPr>
            <w:tcW w:type="dxa" w:w="5256"/>
          </w:tcPr>
          <w:p>
            <w:pPr>
              <w:spacing w:after="0"/>
            </w:pPr>
            <w:r/>
            <w:r>
              <w:rPr>
                <w:sz w:val="16"/>
              </w:rPr>
              <w:t>Wrong migration and RBAC paths (F-02); otherwise a usable rule set.</w:t>
            </w:r>
          </w:p>
        </w:tc>
      </w:tr>
      <w:tr>
        <w:trPr>
          <w:cantSplit/>
        </w:trPr>
        <w:tc>
          <w:tcPr>
            <w:tcW w:type="dxa" w:w="2736"/>
          </w:tcPr>
          <w:p>
            <w:pPr>
              <w:spacing w:after="0"/>
            </w:pPr>
            <w:r/>
            <w:r>
              <w:rPr>
                <w:sz w:val="16"/>
              </w:rPr>
              <w:t>docs/architecture/overview.md</w:t>
            </w:r>
          </w:p>
        </w:tc>
        <w:tc>
          <w:tcPr>
            <w:tcW w:type="dxa" w:w="1368"/>
          </w:tcPr>
          <w:p>
            <w:pPr>
              <w:spacing w:after="0"/>
            </w:pPr>
            <w:r/>
            <w:r>
              <w:rPr>
                <w:sz w:val="16"/>
              </w:rPr>
              <w:t>Partly</w:t>
            </w:r>
          </w:p>
        </w:tc>
        <w:tc>
          <w:tcPr>
            <w:tcW w:type="dxa" w:w="5256"/>
          </w:tcPr>
          <w:p>
            <w:pPr>
              <w:spacing w:after="0"/>
            </w:pPr>
            <w:r/>
            <w:r>
              <w:rPr>
                <w:sz w:val="16"/>
              </w:rPr>
              <w:t>Same wrong paths; also claims a POS offline queue that does not exist (F-17).</w:t>
            </w:r>
          </w:p>
        </w:tc>
      </w:tr>
      <w:tr>
        <w:trPr>
          <w:cantSplit/>
        </w:trPr>
        <w:tc>
          <w:tcPr>
            <w:tcW w:type="dxa" w:w="2736"/>
          </w:tcPr>
          <w:p>
            <w:pPr>
              <w:spacing w:after="0"/>
            </w:pPr>
            <w:r/>
            <w:r>
              <w:rPr>
                <w:sz w:val="16"/>
              </w:rPr>
              <w:t>docs/security/security-baseline.md</w:t>
            </w:r>
          </w:p>
        </w:tc>
        <w:tc>
          <w:tcPr>
            <w:tcW w:type="dxa" w:w="1368"/>
          </w:tcPr>
          <w:p>
            <w:pPr>
              <w:spacing w:after="0"/>
            </w:pPr>
            <w:r/>
            <w:r>
              <w:rPr>
                <w:sz w:val="16"/>
              </w:rPr>
              <w:t>No</w:t>
            </w:r>
          </w:p>
        </w:tc>
        <w:tc>
          <w:tcPr>
            <w:tcW w:type="dxa" w:w="5256"/>
          </w:tcPr>
          <w:p>
            <w:pPr>
              <w:spacing w:after="0"/>
            </w:pPr>
            <w:r/>
            <w:r>
              <w:rPr>
                <w:sz w:val="16"/>
              </w:rPr>
              <w:t>Describes JWT access/refresh tokens with a symmetric key and refresh-token revocation; the implementation uses opaque random bearer tokens (crypto/rand.Text) stored as sha256 hashes with a TTL and no refresh token at all. It also states X-Frame-Options: SAMEORIGIN and Referrer-Policy: strict-origin-when-cross-origin; the middleware sends DENY and no-referrer.</w:t>
            </w:r>
          </w:p>
        </w:tc>
      </w:tr>
      <w:tr>
        <w:trPr>
          <w:cantSplit/>
        </w:trPr>
        <w:tc>
          <w:tcPr>
            <w:tcW w:type="dxa" w:w="2736"/>
          </w:tcPr>
          <w:p>
            <w:pPr>
              <w:spacing w:after="0"/>
            </w:pPr>
            <w:r/>
            <w:r>
              <w:rPr>
                <w:sz w:val="16"/>
              </w:rPr>
              <w:t>docs/development/getting-started.md</w:t>
            </w:r>
          </w:p>
        </w:tc>
        <w:tc>
          <w:tcPr>
            <w:tcW w:type="dxa" w:w="1368"/>
          </w:tcPr>
          <w:p>
            <w:pPr>
              <w:spacing w:after="0"/>
            </w:pPr>
            <w:r/>
            <w:r>
              <w:rPr>
                <w:sz w:val="16"/>
              </w:rPr>
              <w:t>Mostly</w:t>
            </w:r>
          </w:p>
        </w:tc>
        <w:tc>
          <w:tcPr>
            <w:tcW w:type="dxa" w:w="5256"/>
          </w:tcPr>
          <w:p>
            <w:pPr>
              <w:spacing w:after="0"/>
            </w:pPr>
            <w:r/>
            <w:r>
              <w:rPr>
                <w:sz w:val="16"/>
              </w:rPr>
              <w:t>Commands exist; the compose file it names lacks the db/redis/minio/mailpit services it tells you to start.</w:t>
            </w:r>
          </w:p>
        </w:tc>
      </w:tr>
      <w:tr>
        <w:trPr>
          <w:cantSplit/>
        </w:trPr>
        <w:tc>
          <w:tcPr>
            <w:tcW w:type="dxa" w:w="2736"/>
          </w:tcPr>
          <w:p>
            <w:pPr>
              <w:spacing w:after="0"/>
            </w:pPr>
            <w:r/>
            <w:r>
              <w:rPr>
                <w:sz w:val="16"/>
              </w:rPr>
              <w:t>docs/deployment/backup-and-restore.md</w:t>
            </w:r>
          </w:p>
        </w:tc>
        <w:tc>
          <w:tcPr>
            <w:tcW w:type="dxa" w:w="1368"/>
          </w:tcPr>
          <w:p>
            <w:pPr>
              <w:spacing w:after="0"/>
            </w:pPr>
            <w:r/>
            <w:r>
              <w:rPr>
                <w:sz w:val="16"/>
              </w:rPr>
              <w:t>Partly</w:t>
            </w:r>
          </w:p>
        </w:tc>
        <w:tc>
          <w:tcPr>
            <w:tcW w:type="dxa" w:w="5256"/>
          </w:tcPr>
          <w:p>
            <w:pPr>
              <w:spacing w:after="0"/>
            </w:pPr>
            <w:r/>
            <w:r>
              <w:rPr>
                <w:sz w:val="16"/>
              </w:rPr>
              <w:t>Procedure is sound but references scripts/backup-db.sh, which is not in the repository.</w:t>
            </w:r>
          </w:p>
        </w:tc>
      </w:tr>
      <w:tr>
        <w:trPr>
          <w:cantSplit/>
        </w:trPr>
        <w:tc>
          <w:tcPr>
            <w:tcW w:type="dxa" w:w="2736"/>
          </w:tcPr>
          <w:p>
            <w:pPr>
              <w:spacing w:after="0"/>
            </w:pPr>
            <w:r/>
            <w:r>
              <w:rPr>
                <w:sz w:val="16"/>
              </w:rPr>
              <w:t>apps/backend/docs/business-rules.md</w:t>
            </w:r>
          </w:p>
        </w:tc>
        <w:tc>
          <w:tcPr>
            <w:tcW w:type="dxa" w:w="1368"/>
          </w:tcPr>
          <w:p>
            <w:pPr>
              <w:spacing w:after="0"/>
            </w:pPr>
            <w:r/>
            <w:r>
              <w:rPr>
                <w:sz w:val="16"/>
              </w:rPr>
              <w:t>Yes (authoritative)</w:t>
            </w:r>
          </w:p>
        </w:tc>
        <w:tc>
          <w:tcPr>
            <w:tcW w:type="dxa" w:w="5256"/>
          </w:tcPr>
          <w:p>
            <w:pPr>
              <w:spacing w:after="0"/>
            </w:pPr>
            <w:r/>
            <w:r>
              <w:rPr>
                <w:sz w:val="16"/>
              </w:rPr>
              <w:t>576 lines of sourced business rules; the Go implementation follows it closely and cites section numbers in comments.</w:t>
            </w:r>
          </w:p>
        </w:tc>
      </w:tr>
    </w:tbl>
    <w:p>
      <w:pPr>
        <w:spacing w:after="200"/>
      </w:pPr>
      <w:r>
        <w:rPr>
          <w:i/>
          <w:color w:val="555F6D"/>
          <w:sz w:val="17"/>
        </w:rPr>
        <w:t>Table 16. Documentation accuracy assessment</w:t>
      </w:r>
    </w:p>
    <w:p>
      <w:bookmarkStart w:id="1028" w:name="_Toc1028"/>
      <w:pPr>
        <w:pStyle w:val="Heading2"/>
      </w:pPr>
      <w:r>
        <w:t>4.6 Git baseline</w:t>
      </w:r>
      <w:bookmarkEnd w:id="1028"/>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2592"/>
            <w:shd w:val="clear" w:color="auto" w:fill="1F3A5F"/>
          </w:tcPr>
          <w:p>
            <w:pPr>
              <w:spacing w:after="0"/>
            </w:pPr>
            <w:r/>
            <w:r>
              <w:rPr>
                <w:b/>
                <w:color w:val="FFFFFF"/>
                <w:sz w:val="16"/>
              </w:rPr>
              <w:t>Item</w:t>
            </w:r>
          </w:p>
        </w:tc>
        <w:tc>
          <w:tcPr>
            <w:tcW w:type="dxa" w:w="6768"/>
            <w:shd w:val="clear" w:color="auto" w:fill="1F3A5F"/>
          </w:tcPr>
          <w:p>
            <w:pPr>
              <w:spacing w:after="0"/>
            </w:pPr>
            <w:r/>
            <w:r>
              <w:rPr>
                <w:b/>
                <w:color w:val="FFFFFF"/>
                <w:sz w:val="16"/>
              </w:rPr>
              <w:t>Value</w:t>
            </w:r>
          </w:p>
        </w:tc>
      </w:tr>
      <w:tr>
        <w:trPr>
          <w:cantSplit/>
        </w:trPr>
        <w:tc>
          <w:tcPr>
            <w:tcW w:type="dxa" w:w="2592"/>
          </w:tcPr>
          <w:p>
            <w:pPr>
              <w:spacing w:after="0"/>
            </w:pPr>
            <w:r/>
            <w:r>
              <w:rPr>
                <w:sz w:val="16"/>
              </w:rPr>
              <w:t>Branch</w:t>
            </w:r>
          </w:p>
        </w:tc>
        <w:tc>
          <w:tcPr>
            <w:tcW w:type="dxa" w:w="6768"/>
          </w:tcPr>
          <w:p>
            <w:pPr>
              <w:spacing w:after="0"/>
            </w:pPr>
            <w:r/>
            <w:r>
              <w:rPr>
                <w:sz w:val="16"/>
              </w:rPr>
              <w:t>main</w:t>
            </w:r>
          </w:p>
        </w:tc>
      </w:tr>
      <w:tr>
        <w:trPr>
          <w:cantSplit/>
        </w:trPr>
        <w:tc>
          <w:tcPr>
            <w:tcW w:type="dxa" w:w="2592"/>
          </w:tcPr>
          <w:p>
            <w:pPr>
              <w:spacing w:after="0"/>
            </w:pPr>
            <w:r/>
            <w:r>
              <w:rPr>
                <w:sz w:val="16"/>
              </w:rPr>
              <w:t>Commit</w:t>
            </w:r>
          </w:p>
        </w:tc>
        <w:tc>
          <w:tcPr>
            <w:tcW w:type="dxa" w:w="6768"/>
          </w:tcPr>
          <w:p>
            <w:pPr>
              <w:spacing w:after="0"/>
            </w:pPr>
            <w:r/>
            <w:r>
              <w:rPr>
                <w:sz w:val="16"/>
              </w:rPr>
              <w:t>288b6cea77c3aa8c77e314f0bbef48d7bf35828e</w:t>
            </w:r>
          </w:p>
        </w:tc>
      </w:tr>
      <w:tr>
        <w:trPr>
          <w:cantSplit/>
        </w:trPr>
        <w:tc>
          <w:tcPr>
            <w:tcW w:type="dxa" w:w="2592"/>
          </w:tcPr>
          <w:p>
            <w:pPr>
              <w:spacing w:after="0"/>
            </w:pPr>
            <w:r/>
            <w:r>
              <w:rPr>
                <w:sz w:val="16"/>
              </w:rPr>
              <w:t>Commit date</w:t>
            </w:r>
          </w:p>
        </w:tc>
        <w:tc>
          <w:tcPr>
            <w:tcW w:type="dxa" w:w="6768"/>
          </w:tcPr>
          <w:p>
            <w:pPr>
              <w:spacing w:after="0"/>
            </w:pPr>
            <w:r/>
            <w:r>
              <w:rPr>
                <w:sz w:val="16"/>
              </w:rPr>
              <w:t>2026-10-18 11:23:01 +0700</w:t>
            </w:r>
          </w:p>
        </w:tc>
      </w:tr>
      <w:tr>
        <w:trPr>
          <w:cantSplit/>
        </w:trPr>
        <w:tc>
          <w:tcPr>
            <w:tcW w:type="dxa" w:w="2592"/>
          </w:tcPr>
          <w:p>
            <w:pPr>
              <w:spacing w:after="0"/>
            </w:pPr>
            <w:r/>
            <w:r>
              <w:rPr>
                <w:sz w:val="16"/>
              </w:rPr>
              <w:t>Subject</w:t>
            </w:r>
          </w:p>
        </w:tc>
        <w:tc>
          <w:tcPr>
            <w:tcW w:type="dxa" w:w="6768"/>
          </w:tcPr>
          <w:p>
            <w:pPr>
              <w:spacing w:after="0"/>
            </w:pPr>
            <w:r/>
            <w:r>
              <w:rPr>
                <w:sz w:val="16"/>
              </w:rPr>
              <w:t>feat(erp/reports): implement active outlet (AO) ratio and customer base formula</w:t>
            </w:r>
          </w:p>
        </w:tc>
      </w:tr>
      <w:tr>
        <w:trPr>
          <w:cantSplit/>
        </w:trPr>
        <w:tc>
          <w:tcPr>
            <w:tcW w:type="dxa" w:w="2592"/>
          </w:tcPr>
          <w:p>
            <w:pPr>
              <w:spacing w:after="0"/>
            </w:pPr>
            <w:r/>
            <w:r>
              <w:rPr>
                <w:sz w:val="16"/>
              </w:rPr>
              <w:t>Working tree before audit</w:t>
            </w:r>
          </w:p>
        </w:tc>
        <w:tc>
          <w:tcPr>
            <w:tcW w:type="dxa" w:w="6768"/>
          </w:tcPr>
          <w:p>
            <w:pPr>
              <w:spacing w:after="0"/>
            </w:pPr>
            <w:r/>
            <w:r>
              <w:rPr>
                <w:sz w:val="16"/>
              </w:rPr>
              <w:t>clean (git status --porcelain empty)</w:t>
            </w:r>
          </w:p>
        </w:tc>
      </w:tr>
      <w:tr>
        <w:trPr>
          <w:cantSplit/>
        </w:trPr>
        <w:tc>
          <w:tcPr>
            <w:tcW w:type="dxa" w:w="2592"/>
          </w:tcPr>
          <w:p>
            <w:pPr>
              <w:spacing w:after="0"/>
            </w:pPr>
            <w:r/>
            <w:r>
              <w:rPr>
                <w:sz w:val="16"/>
              </w:rPr>
              <w:t>Working tree after audit</w:t>
            </w:r>
          </w:p>
        </w:tc>
        <w:tc>
          <w:tcPr>
            <w:tcW w:type="dxa" w:w="6768"/>
          </w:tcPr>
          <w:p>
            <w:pPr>
              <w:spacing w:after="0"/>
            </w:pPr>
            <w:r/>
            <w:r>
              <w:rPr>
                <w:sz w:val="16"/>
              </w:rPr>
              <w:t>docs/audit/, docs/docgen/, docs/diagrams/ and the temporary route-dump test added</w:t>
            </w:r>
          </w:p>
        </w:tc>
      </w:tr>
      <w:tr>
        <w:trPr>
          <w:cantSplit/>
        </w:trPr>
        <w:tc>
          <w:tcPr>
            <w:tcW w:type="dxa" w:w="2592"/>
          </w:tcPr>
          <w:p>
            <w:pPr>
              <w:spacing w:after="0"/>
            </w:pPr>
            <w:r/>
            <w:r>
              <w:rPr>
                <w:sz w:val="16"/>
              </w:rPr>
              <w:t>Versioning</w:t>
            </w:r>
          </w:p>
        </w:tc>
        <w:tc>
          <w:tcPr>
            <w:tcW w:type="dxa" w:w="6768"/>
          </w:tcPr>
          <w:p>
            <w:pPr>
              <w:spacing w:after="0"/>
            </w:pPr>
            <w:r/>
            <w:r>
              <w:rPr>
                <w:sz w:val="16"/>
              </w:rPr>
              <w:t>No git tags and no release file in the repository; the deploy workflow tags images with the commit SHA and, for v*.*.* tags, the tag name.</w:t>
            </w:r>
          </w:p>
        </w:tc>
      </w:tr>
      <w:tr>
        <w:trPr>
          <w:cantSplit/>
        </w:trPr>
        <w:tc>
          <w:tcPr>
            <w:tcW w:type="dxa" w:w="2592"/>
          </w:tcPr>
          <w:p>
            <w:pPr>
              <w:spacing w:after="0"/>
            </w:pPr>
            <w:r/>
            <w:r>
              <w:rPr>
                <w:sz w:val="16"/>
              </w:rPr>
              <w:t>CHANGELOG.md</w:t>
            </w:r>
          </w:p>
        </w:tc>
        <w:tc>
          <w:tcPr>
            <w:tcW w:type="dxa" w:w="6768"/>
          </w:tcPr>
          <w:p>
            <w:pPr>
              <w:spacing w:after="0"/>
            </w:pPr>
            <w:r/>
            <w:r>
              <w:rPr>
                <w:sz w:val="16"/>
              </w:rPr>
              <w:t>Product-facing release notes, not a per-commit log.</w:t>
            </w:r>
          </w:p>
        </w:tc>
      </w:tr>
    </w:tbl>
    <w:p>
      <w:pPr>
        <w:spacing w:after="200"/>
      </w:pPr>
      <w:r>
        <w:rPr>
          <w:i/>
          <w:color w:val="555F6D"/>
          <w:sz w:val="17"/>
        </w:rPr>
        <w:t>Table 17. Git and release context</w:t>
      </w:r>
    </w:p>
    <w:p>
      <w:bookmarkStart w:id="1029" w:name="_Toc1029"/>
      <w:pPr>
        <w:pStyle w:val="Heading1"/>
        <w:pageBreakBefore/>
      </w:pPr>
      <w:r>
        <w:t>5. Technology stack and dependency overview</w:t>
      </w:r>
      <w:bookmarkEnd w:id="1029"/>
    </w:p>
    <w:p>
      <w:bookmarkStart w:id="1030" w:name="_Toc1030"/>
      <w:pPr>
        <w:pStyle w:val="Heading2"/>
      </w:pPr>
      <w:r>
        <w:t>5.1 Backend</w:t>
      </w:r>
      <w:bookmarkEnd w:id="1030"/>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160"/>
            <w:shd w:val="clear" w:color="auto" w:fill="1F3A5F"/>
          </w:tcPr>
          <w:p>
            <w:pPr>
              <w:spacing w:after="0"/>
            </w:pPr>
            <w:r/>
            <w:r>
              <w:rPr>
                <w:b/>
                <w:color w:val="FFFFFF"/>
                <w:sz w:val="16"/>
              </w:rPr>
              <w:t>Component</w:t>
            </w:r>
          </w:p>
        </w:tc>
        <w:tc>
          <w:tcPr>
            <w:tcW w:type="dxa" w:w="3600"/>
            <w:shd w:val="clear" w:color="auto" w:fill="1F3A5F"/>
          </w:tcPr>
          <w:p>
            <w:pPr>
              <w:spacing w:after="0"/>
            </w:pPr>
            <w:r/>
            <w:r>
              <w:rPr>
                <w:b/>
                <w:color w:val="FFFFFF"/>
                <w:sz w:val="16"/>
              </w:rPr>
              <w:t>Version / choice</w:t>
            </w:r>
          </w:p>
        </w:tc>
        <w:tc>
          <w:tcPr>
            <w:tcW w:type="dxa" w:w="3600"/>
            <w:shd w:val="clear" w:color="auto" w:fill="1F3A5F"/>
          </w:tcPr>
          <w:p>
            <w:pPr>
              <w:spacing w:after="0"/>
            </w:pPr>
            <w:r/>
            <w:r>
              <w:rPr>
                <w:b/>
                <w:color w:val="FFFFFF"/>
                <w:sz w:val="16"/>
              </w:rPr>
              <w:t>Role</w:t>
            </w:r>
          </w:p>
        </w:tc>
      </w:tr>
      <w:tr>
        <w:trPr>
          <w:cantSplit/>
        </w:trPr>
        <w:tc>
          <w:tcPr>
            <w:tcW w:type="dxa" w:w="2160"/>
          </w:tcPr>
          <w:p>
            <w:pPr>
              <w:spacing w:after="0"/>
            </w:pPr>
            <w:r/>
            <w:r>
              <w:rPr>
                <w:sz w:val="16"/>
              </w:rPr>
              <w:t>Language</w:t>
            </w:r>
          </w:p>
        </w:tc>
        <w:tc>
          <w:tcPr>
            <w:tcW w:type="dxa" w:w="3600"/>
          </w:tcPr>
          <w:p>
            <w:pPr>
              <w:spacing w:after="0"/>
            </w:pPr>
            <w:r/>
            <w:r>
              <w:rPr>
                <w:sz w:val="16"/>
              </w:rPr>
              <w:t>Go 1.26.5 (go.mod)</w:t>
            </w:r>
          </w:p>
        </w:tc>
        <w:tc>
          <w:tcPr>
            <w:tcW w:type="dxa" w:w="3600"/>
          </w:tcPr>
          <w:p>
            <w:pPr>
              <w:spacing w:after="0"/>
            </w:pPr>
            <w:r/>
            <w:r>
              <w:rPr>
                <w:sz w:val="16"/>
              </w:rPr>
              <w:t>Backend implementation</w:t>
            </w:r>
          </w:p>
        </w:tc>
      </w:tr>
      <w:tr>
        <w:trPr>
          <w:cantSplit/>
        </w:trPr>
        <w:tc>
          <w:tcPr>
            <w:tcW w:type="dxa" w:w="2160"/>
          </w:tcPr>
          <w:p>
            <w:pPr>
              <w:spacing w:after="0"/>
            </w:pPr>
            <w:r/>
            <w:r>
              <w:rPr>
                <w:sz w:val="16"/>
              </w:rPr>
              <w:t>Router</w:t>
            </w:r>
          </w:p>
        </w:tc>
        <w:tc>
          <w:tcPr>
            <w:tcW w:type="dxa" w:w="3600"/>
          </w:tcPr>
          <w:p>
            <w:pPr>
              <w:spacing w:after="0"/>
            </w:pPr>
            <w:r/>
            <w:r>
              <w:rPr>
                <w:sz w:val="16"/>
              </w:rPr>
              <w:t>github.com/go-chi/chi/v5 v5.3.1</w:t>
            </w:r>
          </w:p>
        </w:tc>
        <w:tc>
          <w:tcPr>
            <w:tcW w:type="dxa" w:w="3600"/>
          </w:tcPr>
          <w:p>
            <w:pPr>
              <w:spacing w:after="0"/>
            </w:pPr>
            <w:r/>
            <w:r>
              <w:rPr>
                <w:sz w:val="16"/>
              </w:rPr>
              <w:t>Route tree, middleware chaining, URL params</w:t>
            </w:r>
          </w:p>
        </w:tc>
      </w:tr>
      <w:tr>
        <w:trPr>
          <w:cantSplit/>
        </w:trPr>
        <w:tc>
          <w:tcPr>
            <w:tcW w:type="dxa" w:w="2160"/>
          </w:tcPr>
          <w:p>
            <w:pPr>
              <w:spacing w:after="0"/>
            </w:pPr>
            <w:r/>
            <w:r>
              <w:rPr>
                <w:sz w:val="16"/>
              </w:rPr>
              <w:t>Database driver</w:t>
            </w:r>
          </w:p>
        </w:tc>
        <w:tc>
          <w:tcPr>
            <w:tcW w:type="dxa" w:w="3600"/>
          </w:tcPr>
          <w:p>
            <w:pPr>
              <w:spacing w:after="0"/>
            </w:pPr>
            <w:r/>
            <w:r>
              <w:rPr>
                <w:sz w:val="16"/>
              </w:rPr>
              <w:t>github.com/jackc/pgx/v5 v5.10.0</w:t>
            </w:r>
          </w:p>
        </w:tc>
        <w:tc>
          <w:tcPr>
            <w:tcW w:type="dxa" w:w="3600"/>
          </w:tcPr>
          <w:p>
            <w:pPr>
              <w:spacing w:after="0"/>
            </w:pPr>
            <w:r/>
            <w:r>
              <w:rPr>
                <w:sz w:val="16"/>
              </w:rPr>
              <w:t>pgxpool + typed queries</w:t>
            </w:r>
          </w:p>
        </w:tc>
      </w:tr>
      <w:tr>
        <w:trPr>
          <w:cantSplit/>
        </w:trPr>
        <w:tc>
          <w:tcPr>
            <w:tcW w:type="dxa" w:w="2160"/>
          </w:tcPr>
          <w:p>
            <w:pPr>
              <w:spacing w:after="0"/>
            </w:pPr>
            <w:r/>
            <w:r>
              <w:rPr>
                <w:sz w:val="16"/>
              </w:rPr>
              <w:t>Cache/client</w:t>
            </w:r>
          </w:p>
        </w:tc>
        <w:tc>
          <w:tcPr>
            <w:tcW w:type="dxa" w:w="3600"/>
          </w:tcPr>
          <w:p>
            <w:pPr>
              <w:spacing w:after="0"/>
            </w:pPr>
            <w:r/>
            <w:r>
              <w:rPr>
                <w:sz w:val="16"/>
              </w:rPr>
              <w:t>github.com/redis/go-redis/v9 v9.22.0</w:t>
            </w:r>
          </w:p>
        </w:tc>
        <w:tc>
          <w:tcPr>
            <w:tcW w:type="dxa" w:w="3600"/>
          </w:tcPr>
          <w:p>
            <w:pPr>
              <w:spacing w:after="0"/>
            </w:pPr>
            <w:r/>
            <w:r>
              <w:rPr>
                <w:sz w:val="16"/>
              </w:rPr>
              <w:t>Rate limiting, idempotency</w:t>
            </w:r>
          </w:p>
        </w:tc>
      </w:tr>
      <w:tr>
        <w:trPr>
          <w:cantSplit/>
        </w:trPr>
        <w:tc>
          <w:tcPr>
            <w:tcW w:type="dxa" w:w="2160"/>
          </w:tcPr>
          <w:p>
            <w:pPr>
              <w:spacing w:after="0"/>
            </w:pPr>
            <w:r/>
            <w:r>
              <w:rPr>
                <w:sz w:val="16"/>
              </w:rPr>
              <w:t>Decimals</w:t>
            </w:r>
          </w:p>
        </w:tc>
        <w:tc>
          <w:tcPr>
            <w:tcW w:type="dxa" w:w="3600"/>
          </w:tcPr>
          <w:p>
            <w:pPr>
              <w:spacing w:after="0"/>
            </w:pPr>
            <w:r/>
            <w:r>
              <w:rPr>
                <w:sz w:val="16"/>
              </w:rPr>
              <w:t>github.com/shopspring/decimal v1.4.0</w:t>
            </w:r>
          </w:p>
        </w:tc>
        <w:tc>
          <w:tcPr>
            <w:tcW w:type="dxa" w:w="3600"/>
          </w:tcPr>
          <w:p>
            <w:pPr>
              <w:spacing w:after="0"/>
            </w:pPr>
            <w:r/>
            <w:r>
              <w:rPr>
                <w:sz w:val="16"/>
              </w:rPr>
              <w:t>All money and quantity arithmetic</w:t>
            </w:r>
          </w:p>
        </w:tc>
      </w:tr>
      <w:tr>
        <w:trPr>
          <w:cantSplit/>
        </w:trPr>
        <w:tc>
          <w:tcPr>
            <w:tcW w:type="dxa" w:w="2160"/>
          </w:tcPr>
          <w:p>
            <w:pPr>
              <w:spacing w:after="0"/>
            </w:pPr>
            <w:r/>
            <w:r>
              <w:rPr>
                <w:sz w:val="16"/>
              </w:rPr>
              <w:t>Password hashing</w:t>
            </w:r>
          </w:p>
        </w:tc>
        <w:tc>
          <w:tcPr>
            <w:tcW w:type="dxa" w:w="3600"/>
          </w:tcPr>
          <w:p>
            <w:pPr>
              <w:spacing w:after="0"/>
            </w:pPr>
            <w:r/>
            <w:r>
              <w:rPr>
                <w:sz w:val="16"/>
              </w:rPr>
              <w:t>golang.org/x/crypto/bcrypt</w:t>
            </w:r>
          </w:p>
        </w:tc>
        <w:tc>
          <w:tcPr>
            <w:tcW w:type="dxa" w:w="3600"/>
          </w:tcPr>
          <w:p>
            <w:pPr>
              <w:spacing w:after="0"/>
            </w:pPr>
            <w:r/>
            <w:r>
              <w:rPr>
                <w:sz w:val="16"/>
              </w:rPr>
              <w:t>User password verification</w:t>
            </w:r>
          </w:p>
        </w:tc>
      </w:tr>
      <w:tr>
        <w:trPr>
          <w:cantSplit/>
        </w:trPr>
        <w:tc>
          <w:tcPr>
            <w:tcW w:type="dxa" w:w="2160"/>
          </w:tcPr>
          <w:p>
            <w:pPr>
              <w:spacing w:after="0"/>
            </w:pPr>
            <w:r/>
            <w:r>
              <w:rPr>
                <w:sz w:val="16"/>
              </w:rPr>
              <w:t>Query generation</w:t>
            </w:r>
          </w:p>
        </w:tc>
        <w:tc>
          <w:tcPr>
            <w:tcW w:type="dxa" w:w="3600"/>
          </w:tcPr>
          <w:p>
            <w:pPr>
              <w:spacing w:after="0"/>
            </w:pPr>
            <w:r/>
            <w:r>
              <w:rPr>
                <w:sz w:val="16"/>
              </w:rPr>
              <w:t>sqlc v2 config (apps/backend/sqlc.yaml)</w:t>
            </w:r>
          </w:p>
        </w:tc>
        <w:tc>
          <w:tcPr>
            <w:tcW w:type="dxa" w:w="3600"/>
          </w:tcPr>
          <w:p>
            <w:pPr>
              <w:spacing w:after="0"/>
            </w:pPr>
            <w:r/>
            <w:r>
              <w:rPr>
                <w:sz w:val="16"/>
              </w:rPr>
              <w:t>531 named queries → internal/db</w:t>
            </w:r>
          </w:p>
        </w:tc>
      </w:tr>
      <w:tr>
        <w:trPr>
          <w:cantSplit/>
        </w:trPr>
        <w:tc>
          <w:tcPr>
            <w:tcW w:type="dxa" w:w="2160"/>
          </w:tcPr>
          <w:p>
            <w:pPr>
              <w:spacing w:after="0"/>
            </w:pPr>
            <w:r/>
            <w:r>
              <w:rPr>
                <w:sz w:val="16"/>
              </w:rPr>
              <w:t>Migrations</w:t>
            </w:r>
          </w:p>
        </w:tc>
        <w:tc>
          <w:tcPr>
            <w:tcW w:type="dxa" w:w="3600"/>
          </w:tcPr>
          <w:p>
            <w:pPr>
              <w:spacing w:after="0"/>
            </w:pPr>
            <w:r/>
            <w:r>
              <w:rPr>
                <w:sz w:val="16"/>
              </w:rPr>
              <w:t>Custom runner (internal/dbmigrate) + embedded SQL</w:t>
            </w:r>
          </w:p>
        </w:tc>
        <w:tc>
          <w:tcPr>
            <w:tcW w:type="dxa" w:w="3600"/>
          </w:tcPr>
          <w:p>
            <w:pPr>
              <w:spacing w:after="0"/>
            </w:pPr>
            <w:r/>
            <w:r>
              <w:rPr>
                <w:sz w:val="16"/>
              </w:rPr>
              <w:t>Applied at boot inside one transaction per file</w:t>
            </w:r>
          </w:p>
        </w:tc>
      </w:tr>
      <w:tr>
        <w:trPr>
          <w:cantSplit/>
        </w:trPr>
        <w:tc>
          <w:tcPr>
            <w:tcW w:type="dxa" w:w="2160"/>
          </w:tcPr>
          <w:p>
            <w:pPr>
              <w:spacing w:after="0"/>
            </w:pPr>
            <w:r/>
            <w:r>
              <w:rPr>
                <w:sz w:val="16"/>
              </w:rPr>
              <w:t>Structured logging</w:t>
            </w:r>
          </w:p>
        </w:tc>
        <w:tc>
          <w:tcPr>
            <w:tcW w:type="dxa" w:w="3600"/>
          </w:tcPr>
          <w:p>
            <w:pPr>
              <w:spacing w:after="0"/>
            </w:pPr>
            <w:r/>
            <w:r>
              <w:rPr>
                <w:sz w:val="16"/>
              </w:rPr>
              <w:t>log/slog (stdlib)</w:t>
            </w:r>
          </w:p>
        </w:tc>
        <w:tc>
          <w:tcPr>
            <w:tcW w:type="dxa" w:w="3600"/>
          </w:tcPr>
          <w:p>
            <w:pPr>
              <w:spacing w:after="0"/>
            </w:pPr>
            <w:r/>
            <w:r>
              <w:rPr>
                <w:sz w:val="16"/>
              </w:rPr>
              <w:t>JSON-ish key/value logs with request IDs</w:t>
            </w:r>
          </w:p>
        </w:tc>
      </w:tr>
    </w:tbl>
    <w:p>
      <w:pPr>
        <w:spacing w:after="200"/>
      </w:pPr>
      <w:r>
        <w:rPr>
          <w:i/>
          <w:color w:val="555F6D"/>
          <w:sz w:val="17"/>
        </w:rPr>
        <w:t>Table 18. Backend dependencies</w:t>
      </w:r>
    </w:p>
    <w:p>
      <w:bookmarkStart w:id="1031" w:name="_Toc1031"/>
      <w:pPr>
        <w:pStyle w:val="Heading2"/>
      </w:pPr>
      <w:r>
        <w:t>5.2 Frontend applications</w:t>
      </w:r>
      <w:bookmarkEnd w:id="1031"/>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1930"/>
        <w:gridCol w:w="1930"/>
        <w:gridCol w:w="1930"/>
        <w:gridCol w:w="1930"/>
        <w:gridCol w:w="1930"/>
      </w:tblGrid>
      <w:tr>
        <w:trPr>
          <w:tblHeader w:val="true"/>
        </w:trPr>
        <w:tc>
          <w:tcPr>
            <w:tcW w:type="dxa" w:w="2160"/>
            <w:shd w:val="clear" w:color="auto" w:fill="1F3A5F"/>
          </w:tcPr>
          <w:p>
            <w:pPr>
              <w:spacing w:after="0"/>
            </w:pPr>
            <w:r/>
            <w:r>
              <w:rPr>
                <w:b/>
                <w:color w:val="FFFFFF"/>
                <w:sz w:val="15"/>
              </w:rPr>
              <w:t>Library</w:t>
            </w:r>
          </w:p>
        </w:tc>
        <w:tc>
          <w:tcPr>
            <w:tcW w:type="dxa" w:w="1584"/>
            <w:shd w:val="clear" w:color="auto" w:fill="1F3A5F"/>
          </w:tcPr>
          <w:p>
            <w:pPr>
              <w:spacing w:after="0"/>
            </w:pPr>
            <w:r/>
            <w:r>
              <w:rPr>
                <w:b/>
                <w:color w:val="FFFFFF"/>
                <w:sz w:val="15"/>
              </w:rPr>
              <w:t>erp</w:t>
            </w:r>
          </w:p>
        </w:tc>
        <w:tc>
          <w:tcPr>
            <w:tcW w:type="dxa" w:w="1584"/>
            <w:shd w:val="clear" w:color="auto" w:fill="1F3A5F"/>
          </w:tcPr>
          <w:p>
            <w:pPr>
              <w:spacing w:after="0"/>
            </w:pPr>
            <w:r/>
            <w:r>
              <w:rPr>
                <w:b/>
                <w:color w:val="FFFFFF"/>
                <w:sz w:val="15"/>
              </w:rPr>
              <w:t>pos</w:t>
            </w:r>
          </w:p>
        </w:tc>
        <w:tc>
          <w:tcPr>
            <w:tcW w:type="dxa" w:w="1584"/>
            <w:shd w:val="clear" w:color="auto" w:fill="1F3A5F"/>
          </w:tcPr>
          <w:p>
            <w:pPr>
              <w:spacing w:after="0"/>
            </w:pPr>
            <w:r/>
            <w:r>
              <w:rPr>
                <w:b/>
                <w:color w:val="FFFFFF"/>
                <w:sz w:val="15"/>
              </w:rPr>
              <w:t>b2b</w:t>
            </w:r>
          </w:p>
        </w:tc>
        <w:tc>
          <w:tcPr>
            <w:tcW w:type="dxa" w:w="2448"/>
            <w:shd w:val="clear" w:color="auto" w:fill="1F3A5F"/>
          </w:tcPr>
          <w:p>
            <w:pPr>
              <w:spacing w:after="0"/>
            </w:pPr>
            <w:r/>
            <w:r>
              <w:rPr>
                <w:b/>
                <w:color w:val="FFFFFF"/>
                <w:sz w:val="15"/>
              </w:rPr>
              <w:t>Purpose</w:t>
            </w:r>
          </w:p>
        </w:tc>
      </w:tr>
      <w:tr>
        <w:trPr>
          <w:cantSplit/>
        </w:trPr>
        <w:tc>
          <w:tcPr>
            <w:tcW w:type="dxa" w:w="2160"/>
          </w:tcPr>
          <w:p>
            <w:pPr>
              <w:spacing w:after="0"/>
            </w:pPr>
            <w:r/>
            <w:r>
              <w:rPr>
                <w:sz w:val="15"/>
              </w:rPr>
              <w:t>vue</w:t>
            </w:r>
          </w:p>
        </w:tc>
        <w:tc>
          <w:tcPr>
            <w:tcW w:type="dxa" w:w="1584"/>
          </w:tcPr>
          <w:p>
            <w:pPr>
              <w:spacing w:after="0"/>
            </w:pPr>
            <w:r/>
            <w:r>
              <w:rPr>
                <w:sz w:val="15"/>
              </w:rPr>
              <w:t>3.5.41</w:t>
            </w:r>
          </w:p>
        </w:tc>
        <w:tc>
          <w:tcPr>
            <w:tcW w:type="dxa" w:w="1584"/>
          </w:tcPr>
          <w:p>
            <w:pPr>
              <w:spacing w:after="0"/>
            </w:pPr>
            <w:r/>
            <w:r>
              <w:rPr>
                <w:sz w:val="15"/>
              </w:rPr>
              <w:t>3.5.41</w:t>
            </w:r>
          </w:p>
        </w:tc>
        <w:tc>
          <w:tcPr>
            <w:tcW w:type="dxa" w:w="1584"/>
          </w:tcPr>
          <w:p>
            <w:pPr>
              <w:spacing w:after="0"/>
            </w:pPr>
            <w:r/>
            <w:r>
              <w:rPr>
                <w:sz w:val="15"/>
              </w:rPr>
              <w:t>3.5.41</w:t>
            </w:r>
          </w:p>
        </w:tc>
        <w:tc>
          <w:tcPr>
            <w:tcW w:type="dxa" w:w="2448"/>
          </w:tcPr>
          <w:p>
            <w:pPr>
              <w:spacing w:after="0"/>
            </w:pPr>
            <w:r/>
            <w:r>
              <w:rPr>
                <w:sz w:val="15"/>
              </w:rPr>
              <w:t>UI framework</w:t>
            </w:r>
          </w:p>
        </w:tc>
      </w:tr>
      <w:tr>
        <w:trPr>
          <w:cantSplit/>
        </w:trPr>
        <w:tc>
          <w:tcPr>
            <w:tcW w:type="dxa" w:w="2160"/>
          </w:tcPr>
          <w:p>
            <w:pPr>
              <w:spacing w:after="0"/>
            </w:pPr>
            <w:r/>
            <w:r>
              <w:rPr>
                <w:sz w:val="15"/>
              </w:rPr>
              <w:t>vite</w:t>
            </w:r>
          </w:p>
        </w:tc>
        <w:tc>
          <w:tcPr>
            <w:tcW w:type="dxa" w:w="1584"/>
          </w:tcPr>
          <w:p>
            <w:pPr>
              <w:spacing w:after="0"/>
            </w:pPr>
            <w:r/>
            <w:r>
              <w:rPr>
                <w:sz w:val="15"/>
              </w:rPr>
              <w:t>8.2.1</w:t>
            </w:r>
          </w:p>
        </w:tc>
        <w:tc>
          <w:tcPr>
            <w:tcW w:type="dxa" w:w="1584"/>
          </w:tcPr>
          <w:p>
            <w:pPr>
              <w:spacing w:after="0"/>
            </w:pPr>
            <w:r/>
            <w:r>
              <w:rPr>
                <w:sz w:val="15"/>
              </w:rPr>
              <w:t>8.2.1</w:t>
            </w:r>
          </w:p>
        </w:tc>
        <w:tc>
          <w:tcPr>
            <w:tcW w:type="dxa" w:w="1584"/>
          </w:tcPr>
          <w:p>
            <w:pPr>
              <w:spacing w:after="0"/>
            </w:pPr>
            <w:r/>
            <w:r>
              <w:rPr>
                <w:sz w:val="15"/>
              </w:rPr>
              <w:t>—</w:t>
            </w:r>
          </w:p>
        </w:tc>
        <w:tc>
          <w:tcPr>
            <w:tcW w:type="dxa" w:w="2448"/>
          </w:tcPr>
          <w:p>
            <w:pPr>
              <w:spacing w:after="0"/>
            </w:pPr>
            <w:r/>
            <w:r>
              <w:rPr>
                <w:sz w:val="15"/>
              </w:rPr>
              <w:t>Dev server and bundler</w:t>
            </w:r>
          </w:p>
        </w:tc>
      </w:tr>
      <w:tr>
        <w:trPr>
          <w:cantSplit/>
        </w:trPr>
        <w:tc>
          <w:tcPr>
            <w:tcW w:type="dxa" w:w="2160"/>
          </w:tcPr>
          <w:p>
            <w:pPr>
              <w:spacing w:after="0"/>
            </w:pPr>
            <w:r/>
            <w:r>
              <w:rPr>
                <w:sz w:val="15"/>
              </w:rPr>
              <w:t>nuxt</w:t>
            </w:r>
          </w:p>
        </w:tc>
        <w:tc>
          <w:tcPr>
            <w:tcW w:type="dxa" w:w="1584"/>
          </w:tcPr>
          <w:p>
            <w:pPr>
              <w:spacing w:after="0"/>
            </w:pPr>
            <w:r/>
            <w:r>
              <w:rPr>
                <w:sz w:val="15"/>
              </w:rPr>
              <w:t>—</w:t>
            </w:r>
          </w:p>
        </w:tc>
        <w:tc>
          <w:tcPr>
            <w:tcW w:type="dxa" w:w="1584"/>
          </w:tcPr>
          <w:p>
            <w:pPr>
              <w:spacing w:after="0"/>
            </w:pPr>
            <w:r/>
            <w:r>
              <w:rPr>
                <w:sz w:val="15"/>
              </w:rPr>
              <w:t>—</w:t>
            </w:r>
          </w:p>
        </w:tc>
        <w:tc>
          <w:tcPr>
            <w:tcW w:type="dxa" w:w="1584"/>
          </w:tcPr>
          <w:p>
            <w:pPr>
              <w:spacing w:after="0"/>
            </w:pPr>
            <w:r/>
            <w:r>
              <w:rPr>
                <w:sz w:val="15"/>
              </w:rPr>
              <w:t>4.x</w:t>
            </w:r>
          </w:p>
        </w:tc>
        <w:tc>
          <w:tcPr>
            <w:tcW w:type="dxa" w:w="2448"/>
          </w:tcPr>
          <w:p>
            <w:pPr>
              <w:spacing w:after="0"/>
            </w:pPr>
            <w:r/>
            <w:r>
              <w:rPr>
                <w:sz w:val="15"/>
              </w:rPr>
              <w:t>SSR framework with Nitro server</w:t>
            </w:r>
          </w:p>
        </w:tc>
      </w:tr>
      <w:tr>
        <w:trPr>
          <w:cantSplit/>
        </w:trPr>
        <w:tc>
          <w:tcPr>
            <w:tcW w:type="dxa" w:w="2160"/>
          </w:tcPr>
          <w:p>
            <w:pPr>
              <w:spacing w:after="0"/>
            </w:pPr>
            <w:r/>
            <w:r>
              <w:rPr>
                <w:sz w:val="15"/>
              </w:rPr>
              <w:t>vue-router</w:t>
            </w:r>
          </w:p>
        </w:tc>
        <w:tc>
          <w:tcPr>
            <w:tcW w:type="dxa" w:w="1584"/>
          </w:tcPr>
          <w:p>
            <w:pPr>
              <w:spacing w:after="0"/>
            </w:pPr>
            <w:r/>
            <w:r>
              <w:rPr>
                <w:sz w:val="15"/>
              </w:rPr>
              <w:t>5.2.0</w:t>
            </w:r>
          </w:p>
        </w:tc>
        <w:tc>
          <w:tcPr>
            <w:tcW w:type="dxa" w:w="1584"/>
          </w:tcPr>
          <w:p>
            <w:pPr>
              <w:spacing w:after="0"/>
            </w:pPr>
            <w:r/>
            <w:r>
              <w:rPr>
                <w:sz w:val="15"/>
              </w:rPr>
              <w:t>5.2.0</w:t>
            </w:r>
          </w:p>
        </w:tc>
        <w:tc>
          <w:tcPr>
            <w:tcW w:type="dxa" w:w="1584"/>
          </w:tcPr>
          <w:p>
            <w:pPr>
              <w:spacing w:after="0"/>
            </w:pPr>
            <w:r/>
            <w:r>
              <w:rPr>
                <w:sz w:val="15"/>
              </w:rPr>
              <w:t>Nuxt router</w:t>
            </w:r>
          </w:p>
        </w:tc>
        <w:tc>
          <w:tcPr>
            <w:tcW w:type="dxa" w:w="2448"/>
          </w:tcPr>
          <w:p>
            <w:pPr>
              <w:spacing w:after="0"/>
            </w:pPr>
            <w:r/>
            <w:r>
              <w:rPr>
                <w:sz w:val="15"/>
              </w:rPr>
              <w:t>Client routing</w:t>
            </w:r>
          </w:p>
        </w:tc>
      </w:tr>
      <w:tr>
        <w:trPr>
          <w:cantSplit/>
        </w:trPr>
        <w:tc>
          <w:tcPr>
            <w:tcW w:type="dxa" w:w="2160"/>
          </w:tcPr>
          <w:p>
            <w:pPr>
              <w:spacing w:after="0"/>
            </w:pPr>
            <w:r/>
            <w:r>
              <w:rPr>
                <w:sz w:val="15"/>
              </w:rPr>
              <w:t>pinia</w:t>
            </w:r>
          </w:p>
        </w:tc>
        <w:tc>
          <w:tcPr>
            <w:tcW w:type="dxa" w:w="1584"/>
          </w:tcPr>
          <w:p>
            <w:pPr>
              <w:spacing w:after="0"/>
            </w:pPr>
            <w:r/>
            <w:r>
              <w:rPr>
                <w:sz w:val="15"/>
              </w:rPr>
              <w:t>4.0.2</w:t>
            </w:r>
          </w:p>
        </w:tc>
        <w:tc>
          <w:tcPr>
            <w:tcW w:type="dxa" w:w="1584"/>
          </w:tcPr>
          <w:p>
            <w:pPr>
              <w:spacing w:after="0"/>
            </w:pPr>
            <w:r/>
            <w:r>
              <w:rPr>
                <w:sz w:val="15"/>
              </w:rPr>
              <w:t>4.0.2</w:t>
            </w:r>
          </w:p>
        </w:tc>
        <w:tc>
          <w:tcPr>
            <w:tcW w:type="dxa" w:w="1584"/>
          </w:tcPr>
          <w:p>
            <w:pPr>
              <w:spacing w:after="0"/>
            </w:pPr>
            <w:r/>
            <w:r>
              <w:rPr>
                <w:sz w:val="15"/>
              </w:rPr>
              <w:t>4.0.2</w:t>
            </w:r>
          </w:p>
        </w:tc>
        <w:tc>
          <w:tcPr>
            <w:tcW w:type="dxa" w:w="2448"/>
          </w:tcPr>
          <w:p>
            <w:pPr>
              <w:spacing w:after="0"/>
            </w:pPr>
            <w:r/>
            <w:r>
              <w:rPr>
                <w:sz w:val="15"/>
              </w:rPr>
              <w:t>State stores</w:t>
            </w:r>
          </w:p>
        </w:tc>
      </w:tr>
      <w:tr>
        <w:trPr>
          <w:cantSplit/>
        </w:trPr>
        <w:tc>
          <w:tcPr>
            <w:tcW w:type="dxa" w:w="2160"/>
          </w:tcPr>
          <w:p>
            <w:pPr>
              <w:spacing w:after="0"/>
            </w:pPr>
            <w:r/>
            <w:r>
              <w:rPr>
                <w:sz w:val="15"/>
              </w:rPr>
              <w:t>axios</w:t>
            </w:r>
          </w:p>
        </w:tc>
        <w:tc>
          <w:tcPr>
            <w:tcW w:type="dxa" w:w="1584"/>
          </w:tcPr>
          <w:p>
            <w:pPr>
              <w:spacing w:after="0"/>
            </w:pPr>
            <w:r/>
            <w:r>
              <w:rPr>
                <w:sz w:val="15"/>
              </w:rPr>
              <w:t>1.19.0</w:t>
            </w:r>
          </w:p>
        </w:tc>
        <w:tc>
          <w:tcPr>
            <w:tcW w:type="dxa" w:w="1584"/>
          </w:tcPr>
          <w:p>
            <w:pPr>
              <w:spacing w:after="0"/>
            </w:pPr>
            <w:r/>
            <w:r>
              <w:rPr>
                <w:sz w:val="15"/>
              </w:rPr>
              <w:t>1.19.0</w:t>
            </w:r>
          </w:p>
        </w:tc>
        <w:tc>
          <w:tcPr>
            <w:tcW w:type="dxa" w:w="1584"/>
          </w:tcPr>
          <w:p>
            <w:pPr>
              <w:spacing w:after="0"/>
            </w:pPr>
            <w:r/>
            <w:r>
              <w:rPr>
                <w:sz w:val="15"/>
              </w:rPr>
              <w:t>1.7.0</w:t>
            </w:r>
          </w:p>
        </w:tc>
        <w:tc>
          <w:tcPr>
            <w:tcW w:type="dxa" w:w="2448"/>
          </w:tcPr>
          <w:p>
            <w:pPr>
              <w:spacing w:after="0"/>
            </w:pPr>
            <w:r/>
            <w:r>
              <w:rPr>
                <w:sz w:val="15"/>
              </w:rPr>
              <w:t>HTTP client</w:t>
            </w:r>
          </w:p>
        </w:tc>
      </w:tr>
      <w:tr>
        <w:trPr>
          <w:cantSplit/>
        </w:trPr>
        <w:tc>
          <w:tcPr>
            <w:tcW w:type="dxa" w:w="2160"/>
          </w:tcPr>
          <w:p>
            <w:pPr>
              <w:spacing w:after="0"/>
            </w:pPr>
            <w:r/>
            <w:r>
              <w:rPr>
                <w:sz w:val="15"/>
              </w:rPr>
              <w:t>primevue</w:t>
            </w:r>
          </w:p>
        </w:tc>
        <w:tc>
          <w:tcPr>
            <w:tcW w:type="dxa" w:w="1584"/>
          </w:tcPr>
          <w:p>
            <w:pPr>
              <w:spacing w:after="0"/>
            </w:pPr>
            <w:r/>
            <w:r>
              <w:rPr>
                <w:sz w:val="15"/>
              </w:rPr>
              <w:t>4.5.5</w:t>
            </w:r>
          </w:p>
        </w:tc>
        <w:tc>
          <w:tcPr>
            <w:tcW w:type="dxa" w:w="1584"/>
          </w:tcPr>
          <w:p>
            <w:pPr>
              <w:spacing w:after="0"/>
            </w:pPr>
            <w:r/>
            <w:r>
              <w:rPr>
                <w:sz w:val="15"/>
              </w:rPr>
              <w:t>—</w:t>
            </w:r>
          </w:p>
        </w:tc>
        <w:tc>
          <w:tcPr>
            <w:tcW w:type="dxa" w:w="1584"/>
          </w:tcPr>
          <w:p>
            <w:pPr>
              <w:spacing w:after="0"/>
            </w:pPr>
            <w:r/>
            <w:r>
              <w:rPr>
                <w:sz w:val="15"/>
              </w:rPr>
              <w:t>—</w:t>
            </w:r>
          </w:p>
        </w:tc>
        <w:tc>
          <w:tcPr>
            <w:tcW w:type="dxa" w:w="2448"/>
          </w:tcPr>
          <w:p>
            <w:pPr>
              <w:spacing w:after="0"/>
            </w:pPr>
            <w:r/>
            <w:r>
              <w:rPr>
                <w:sz w:val="15"/>
              </w:rPr>
              <w:t>ERP component library (themed)</w:t>
            </w:r>
          </w:p>
        </w:tc>
      </w:tr>
      <w:tr>
        <w:trPr>
          <w:cantSplit/>
        </w:trPr>
        <w:tc>
          <w:tcPr>
            <w:tcW w:type="dxa" w:w="2160"/>
          </w:tcPr>
          <w:p>
            <w:pPr>
              <w:spacing w:after="0"/>
            </w:pPr>
            <w:r/>
            <w:r>
              <w:rPr>
                <w:sz w:val="15"/>
              </w:rPr>
              <w:t>@nuxt/ui</w:t>
            </w:r>
          </w:p>
        </w:tc>
        <w:tc>
          <w:tcPr>
            <w:tcW w:type="dxa" w:w="1584"/>
          </w:tcPr>
          <w:p>
            <w:pPr>
              <w:spacing w:after="0"/>
            </w:pPr>
            <w:r/>
            <w:r>
              <w:rPr>
                <w:sz w:val="15"/>
              </w:rPr>
              <w:t>—</w:t>
            </w:r>
          </w:p>
        </w:tc>
        <w:tc>
          <w:tcPr>
            <w:tcW w:type="dxa" w:w="1584"/>
          </w:tcPr>
          <w:p>
            <w:pPr>
              <w:spacing w:after="0"/>
            </w:pPr>
            <w:r/>
            <w:r>
              <w:rPr>
                <w:sz w:val="15"/>
              </w:rPr>
              <w:t>—</w:t>
            </w:r>
          </w:p>
        </w:tc>
        <w:tc>
          <w:tcPr>
            <w:tcW w:type="dxa" w:w="1584"/>
          </w:tcPr>
          <w:p>
            <w:pPr>
              <w:spacing w:after="0"/>
            </w:pPr>
            <w:r/>
            <w:r>
              <w:rPr>
                <w:sz w:val="15"/>
              </w:rPr>
              <w:t>4.x</w:t>
            </w:r>
          </w:p>
        </w:tc>
        <w:tc>
          <w:tcPr>
            <w:tcW w:type="dxa" w:w="2448"/>
          </w:tcPr>
          <w:p>
            <w:pPr>
              <w:spacing w:after="0"/>
            </w:pPr>
            <w:r/>
            <w:r>
              <w:rPr>
                <w:sz w:val="15"/>
              </w:rPr>
              <w:t>B2B component library</w:t>
            </w:r>
          </w:p>
        </w:tc>
      </w:tr>
      <w:tr>
        <w:trPr>
          <w:cantSplit/>
        </w:trPr>
        <w:tc>
          <w:tcPr>
            <w:tcW w:type="dxa" w:w="2160"/>
          </w:tcPr>
          <w:p>
            <w:pPr>
              <w:spacing w:after="0"/>
            </w:pPr>
            <w:r/>
            <w:r>
              <w:rPr>
                <w:sz w:val="15"/>
              </w:rPr>
              <w:t>tailwindcss</w:t>
            </w:r>
          </w:p>
        </w:tc>
        <w:tc>
          <w:tcPr>
            <w:tcW w:type="dxa" w:w="1584"/>
          </w:tcPr>
          <w:p>
            <w:pPr>
              <w:spacing w:after="0"/>
            </w:pPr>
            <w:r/>
            <w:r>
              <w:rPr>
                <w:sz w:val="15"/>
              </w:rPr>
              <w:t>4.3.3</w:t>
            </w:r>
          </w:p>
        </w:tc>
        <w:tc>
          <w:tcPr>
            <w:tcW w:type="dxa" w:w="1584"/>
          </w:tcPr>
          <w:p>
            <w:pPr>
              <w:spacing w:after="0"/>
            </w:pPr>
            <w:r/>
            <w:r>
              <w:rPr>
                <w:sz w:val="15"/>
              </w:rPr>
              <w:t>4.3.3</w:t>
            </w:r>
          </w:p>
        </w:tc>
        <w:tc>
          <w:tcPr>
            <w:tcW w:type="dxa" w:w="1584"/>
          </w:tcPr>
          <w:p>
            <w:pPr>
              <w:spacing w:after="0"/>
            </w:pPr>
            <w:r/>
            <w:r>
              <w:rPr>
                <w:sz w:val="15"/>
              </w:rPr>
              <w:t>(via @nuxt/ui)</w:t>
            </w:r>
          </w:p>
        </w:tc>
        <w:tc>
          <w:tcPr>
            <w:tcW w:type="dxa" w:w="2448"/>
          </w:tcPr>
          <w:p>
            <w:pPr>
              <w:spacing w:after="0"/>
            </w:pPr>
            <w:r/>
            <w:r>
              <w:rPr>
                <w:sz w:val="15"/>
              </w:rPr>
              <w:t>Utility CSS</w:t>
            </w:r>
          </w:p>
        </w:tc>
      </w:tr>
      <w:tr>
        <w:trPr>
          <w:cantSplit/>
        </w:trPr>
        <w:tc>
          <w:tcPr>
            <w:tcW w:type="dxa" w:w="2160"/>
          </w:tcPr>
          <w:p>
            <w:pPr>
              <w:spacing w:after="0"/>
            </w:pPr>
            <w:r/>
            <w:r>
              <w:rPr>
                <w:sz w:val="15"/>
              </w:rPr>
              <w:t>chart.js / vue-chartjs</w:t>
            </w:r>
          </w:p>
        </w:tc>
        <w:tc>
          <w:tcPr>
            <w:tcW w:type="dxa" w:w="1584"/>
          </w:tcPr>
          <w:p>
            <w:pPr>
              <w:spacing w:after="0"/>
            </w:pPr>
            <w:r/>
            <w:r>
              <w:rPr>
                <w:sz w:val="15"/>
              </w:rPr>
              <w:t>4.5.1 / 5.3.4</w:t>
            </w:r>
          </w:p>
        </w:tc>
        <w:tc>
          <w:tcPr>
            <w:tcW w:type="dxa" w:w="1584"/>
          </w:tcPr>
          <w:p>
            <w:pPr>
              <w:spacing w:after="0"/>
            </w:pPr>
            <w:r/>
            <w:r>
              <w:rPr>
                <w:sz w:val="15"/>
              </w:rPr>
              <w:t>—</w:t>
            </w:r>
          </w:p>
        </w:tc>
        <w:tc>
          <w:tcPr>
            <w:tcW w:type="dxa" w:w="1584"/>
          </w:tcPr>
          <w:p>
            <w:pPr>
              <w:spacing w:after="0"/>
            </w:pPr>
            <w:r/>
            <w:r>
              <w:rPr>
                <w:sz w:val="15"/>
              </w:rPr>
              <w:t>4.5.1 / 5.3.4</w:t>
            </w:r>
          </w:p>
        </w:tc>
        <w:tc>
          <w:tcPr>
            <w:tcW w:type="dxa" w:w="2448"/>
          </w:tcPr>
          <w:p>
            <w:pPr>
              <w:spacing w:after="0"/>
            </w:pPr>
            <w:r/>
            <w:r>
              <w:rPr>
                <w:sz w:val="15"/>
              </w:rPr>
              <w:t>Dashboard charts</w:t>
            </w:r>
          </w:p>
        </w:tc>
      </w:tr>
      <w:tr>
        <w:trPr>
          <w:cantSplit/>
        </w:trPr>
        <w:tc>
          <w:tcPr>
            <w:tcW w:type="dxa" w:w="2160"/>
          </w:tcPr>
          <w:p>
            <w:pPr>
              <w:spacing w:after="0"/>
            </w:pPr>
            <w:r/>
            <w:r>
              <w:rPr>
                <w:sz w:val="15"/>
              </w:rPr>
              <w:t>leaflet</w:t>
            </w:r>
          </w:p>
        </w:tc>
        <w:tc>
          <w:tcPr>
            <w:tcW w:type="dxa" w:w="1584"/>
          </w:tcPr>
          <w:p>
            <w:pPr>
              <w:spacing w:after="0"/>
            </w:pPr>
            <w:r/>
            <w:r>
              <w:rPr>
                <w:sz w:val="15"/>
              </w:rPr>
              <w:t>1.9.4</w:t>
            </w:r>
          </w:p>
        </w:tc>
        <w:tc>
          <w:tcPr>
            <w:tcW w:type="dxa" w:w="1584"/>
          </w:tcPr>
          <w:p>
            <w:pPr>
              <w:spacing w:after="0"/>
            </w:pPr>
            <w:r/>
            <w:r>
              <w:rPr>
                <w:sz w:val="15"/>
              </w:rPr>
              <w:t>—</w:t>
            </w:r>
          </w:p>
        </w:tc>
        <w:tc>
          <w:tcPr>
            <w:tcW w:type="dxa" w:w="1584"/>
          </w:tcPr>
          <w:p>
            <w:pPr>
              <w:spacing w:after="0"/>
            </w:pPr>
            <w:r/>
            <w:r>
              <w:rPr>
                <w:sz w:val="15"/>
              </w:rPr>
              <w:t>1.9.4</w:t>
            </w:r>
          </w:p>
        </w:tc>
        <w:tc>
          <w:tcPr>
            <w:tcW w:type="dxa" w:w="2448"/>
          </w:tcPr>
          <w:p>
            <w:pPr>
              <w:spacing w:after="0"/>
            </w:pPr>
            <w:r/>
            <w:r>
              <w:rPr>
                <w:sz w:val="15"/>
              </w:rPr>
              <w:t>Maps (OSM tiles)</w:t>
            </w:r>
          </w:p>
        </w:tc>
      </w:tr>
      <w:tr>
        <w:trPr>
          <w:cantSplit/>
        </w:trPr>
        <w:tc>
          <w:tcPr>
            <w:tcW w:type="dxa" w:w="2160"/>
          </w:tcPr>
          <w:p>
            <w:pPr>
              <w:spacing w:after="0"/>
            </w:pPr>
            <w:r/>
            <w:r>
              <w:rPr>
                <w:sz w:val="15"/>
              </w:rPr>
              <w:t>zxing-wasm</w:t>
            </w:r>
          </w:p>
        </w:tc>
        <w:tc>
          <w:tcPr>
            <w:tcW w:type="dxa" w:w="1584"/>
          </w:tcPr>
          <w:p>
            <w:pPr>
              <w:spacing w:after="0"/>
            </w:pPr>
            <w:r/>
            <w:r>
              <w:rPr>
                <w:sz w:val="15"/>
              </w:rPr>
              <w:t>3.1.3</w:t>
            </w:r>
          </w:p>
        </w:tc>
        <w:tc>
          <w:tcPr>
            <w:tcW w:type="dxa" w:w="1584"/>
          </w:tcPr>
          <w:p>
            <w:pPr>
              <w:spacing w:after="0"/>
            </w:pPr>
            <w:r/>
            <w:r>
              <w:rPr>
                <w:sz w:val="15"/>
              </w:rPr>
              <w:t>3.1.3</w:t>
            </w:r>
          </w:p>
        </w:tc>
        <w:tc>
          <w:tcPr>
            <w:tcW w:type="dxa" w:w="1584"/>
          </w:tcPr>
          <w:p>
            <w:pPr>
              <w:spacing w:after="0"/>
            </w:pPr>
            <w:r/>
            <w:r>
              <w:rPr>
                <w:sz w:val="15"/>
              </w:rPr>
              <w:t>—</w:t>
            </w:r>
          </w:p>
        </w:tc>
        <w:tc>
          <w:tcPr>
            <w:tcW w:type="dxa" w:w="2448"/>
          </w:tcPr>
          <w:p>
            <w:pPr>
              <w:spacing w:after="0"/>
            </w:pPr>
            <w:r/>
            <w:r>
              <w:rPr>
                <w:sz w:val="15"/>
              </w:rPr>
              <w:t>Barcode decoding in WASM</w:t>
            </w:r>
          </w:p>
        </w:tc>
      </w:tr>
      <w:tr>
        <w:trPr>
          <w:cantSplit/>
        </w:trPr>
        <w:tc>
          <w:tcPr>
            <w:tcW w:type="dxa" w:w="2160"/>
          </w:tcPr>
          <w:p>
            <w:pPr>
              <w:spacing w:after="0"/>
            </w:pPr>
            <w:r/>
            <w:r>
              <w:rPr>
                <w:sz w:val="15"/>
              </w:rPr>
              <w:t>barcode-detector</w:t>
            </w:r>
          </w:p>
        </w:tc>
        <w:tc>
          <w:tcPr>
            <w:tcW w:type="dxa" w:w="1584"/>
          </w:tcPr>
          <w:p>
            <w:pPr>
              <w:spacing w:after="0"/>
            </w:pPr>
            <w:r/>
            <w:r>
              <w:rPr>
                <w:sz w:val="15"/>
              </w:rPr>
              <w:t>3.2.2</w:t>
            </w:r>
          </w:p>
        </w:tc>
        <w:tc>
          <w:tcPr>
            <w:tcW w:type="dxa" w:w="1584"/>
          </w:tcPr>
          <w:p>
            <w:pPr>
              <w:spacing w:after="0"/>
            </w:pPr>
            <w:r/>
            <w:r>
              <w:rPr>
                <w:sz w:val="15"/>
              </w:rPr>
              <w:t>3.2.2</w:t>
            </w:r>
          </w:p>
        </w:tc>
        <w:tc>
          <w:tcPr>
            <w:tcW w:type="dxa" w:w="1584"/>
          </w:tcPr>
          <w:p>
            <w:pPr>
              <w:spacing w:after="0"/>
            </w:pPr>
            <w:r/>
            <w:r>
              <w:rPr>
                <w:sz w:val="15"/>
              </w:rPr>
              <w:t>—</w:t>
            </w:r>
          </w:p>
        </w:tc>
        <w:tc>
          <w:tcPr>
            <w:tcW w:type="dxa" w:w="2448"/>
          </w:tcPr>
          <w:p>
            <w:pPr>
              <w:spacing w:after="0"/>
            </w:pPr>
            <w:r/>
            <w:r>
              <w:rPr>
                <w:sz w:val="15"/>
              </w:rPr>
              <w:t>BarcodeDetector polyfill</w:t>
            </w:r>
          </w:p>
        </w:tc>
      </w:tr>
      <w:tr>
        <w:trPr>
          <w:cantSplit/>
        </w:trPr>
        <w:tc>
          <w:tcPr>
            <w:tcW w:type="dxa" w:w="2160"/>
          </w:tcPr>
          <w:p>
            <w:pPr>
              <w:spacing w:after="0"/>
            </w:pPr>
            <w:r/>
            <w:r>
              <w:rPr>
                <w:sz w:val="15"/>
              </w:rPr>
              <w:t>exceljs</w:t>
            </w:r>
          </w:p>
        </w:tc>
        <w:tc>
          <w:tcPr>
            <w:tcW w:type="dxa" w:w="1584"/>
          </w:tcPr>
          <w:p>
            <w:pPr>
              <w:spacing w:after="0"/>
            </w:pPr>
            <w:r/>
            <w:r>
              <w:rPr>
                <w:sz w:val="15"/>
              </w:rPr>
              <w:t>4.4.0</w:t>
            </w:r>
          </w:p>
        </w:tc>
        <w:tc>
          <w:tcPr>
            <w:tcW w:type="dxa" w:w="1584"/>
          </w:tcPr>
          <w:p>
            <w:pPr>
              <w:spacing w:after="0"/>
            </w:pPr>
            <w:r/>
            <w:r>
              <w:rPr>
                <w:sz w:val="15"/>
              </w:rPr>
              <w:t>4.4.0</w:t>
            </w:r>
          </w:p>
        </w:tc>
        <w:tc>
          <w:tcPr>
            <w:tcW w:type="dxa" w:w="1584"/>
          </w:tcPr>
          <w:p>
            <w:pPr>
              <w:spacing w:after="0"/>
            </w:pPr>
            <w:r/>
            <w:r>
              <w:rPr>
                <w:sz w:val="15"/>
              </w:rPr>
              <w:t>—</w:t>
            </w:r>
          </w:p>
        </w:tc>
        <w:tc>
          <w:tcPr>
            <w:tcW w:type="dxa" w:w="2448"/>
          </w:tcPr>
          <w:p>
            <w:pPr>
              <w:spacing w:after="0"/>
            </w:pPr>
            <w:r/>
            <w:r>
              <w:rPr>
                <w:sz w:val="15"/>
              </w:rPr>
              <w:t>Client-side XLSX export</w:t>
            </w:r>
          </w:p>
        </w:tc>
      </w:tr>
      <w:tr>
        <w:trPr>
          <w:cantSplit/>
        </w:trPr>
        <w:tc>
          <w:tcPr>
            <w:tcW w:type="dxa" w:w="2160"/>
          </w:tcPr>
          <w:p>
            <w:pPr>
              <w:spacing w:after="0"/>
            </w:pPr>
            <w:r/>
            <w:r>
              <w:rPr>
                <w:sz w:val="15"/>
              </w:rPr>
              <w:t>@phosphor-icons/vue</w:t>
            </w:r>
          </w:p>
        </w:tc>
        <w:tc>
          <w:tcPr>
            <w:tcW w:type="dxa" w:w="1584"/>
          </w:tcPr>
          <w:p>
            <w:pPr>
              <w:spacing w:after="0"/>
            </w:pPr>
            <w:r/>
            <w:r>
              <w:rPr>
                <w:sz w:val="15"/>
              </w:rPr>
              <w:t>2.2.1</w:t>
            </w:r>
          </w:p>
        </w:tc>
        <w:tc>
          <w:tcPr>
            <w:tcW w:type="dxa" w:w="1584"/>
          </w:tcPr>
          <w:p>
            <w:pPr>
              <w:spacing w:after="0"/>
            </w:pPr>
            <w:r/>
            <w:r>
              <w:rPr>
                <w:sz w:val="15"/>
              </w:rPr>
              <w:t>2.2.1</w:t>
            </w:r>
          </w:p>
        </w:tc>
        <w:tc>
          <w:tcPr>
            <w:tcW w:type="dxa" w:w="1584"/>
          </w:tcPr>
          <w:p>
            <w:pPr>
              <w:spacing w:after="0"/>
            </w:pPr>
            <w:r/>
            <w:r>
              <w:rPr>
                <w:sz w:val="15"/>
              </w:rPr>
              <w:t>—</w:t>
            </w:r>
          </w:p>
        </w:tc>
        <w:tc>
          <w:tcPr>
            <w:tcW w:type="dxa" w:w="2448"/>
          </w:tcPr>
          <w:p>
            <w:pPr>
              <w:spacing w:after="0"/>
            </w:pPr>
            <w:r/>
            <w:r>
              <w:rPr>
                <w:sz w:val="15"/>
              </w:rPr>
              <w:t>Icon set</w:t>
            </w:r>
          </w:p>
        </w:tc>
      </w:tr>
    </w:tbl>
    <w:p>
      <w:pPr>
        <w:spacing w:after="200"/>
      </w:pPr>
      <w:r>
        <w:rPr>
          <w:i/>
          <w:color w:val="555F6D"/>
          <w:sz w:val="17"/>
        </w:rPr>
        <w:t>Table 19. Frontend dependency matrix (declared versions)</w:t>
      </w:r>
    </w:p>
    <w:p>
      <w:bookmarkStart w:id="1032" w:name="_Toc1032"/>
      <w:pPr>
        <w:pStyle w:val="Heading2"/>
      </w:pPr>
      <w:r>
        <w:t>5.3 Reporting engine</w:t>
      </w:r>
      <w:bookmarkEnd w:id="1032"/>
    </w:p>
    <w:p>
      <w:r>
        <w:rPr>
          <w:i w:val="0"/>
        </w:rPr>
        <w:t>apps/nextreport is a 260-line Node HTTP server. It accepts POST /render with a JSON template and data, runs the vendored NextReport engine (engine/index.js) to produce HTML, and — for format=pdf — renders that HTML through Puppeteer/Chromium with printBackground and zero margins. GET /health and / returns a version banner; POST /validate checks a template against the engine's schema. It has no authentication of its own; it is reachable only on the internal container network.</w:t>
      </w:r>
    </w:p>
    <w:p>
      <w:bookmarkStart w:id="1033" w:name="_Toc1033"/>
      <w:pPr>
        <w:pStyle w:val="Heading2"/>
      </w:pPr>
      <w:r>
        <w:t>5.4 Build-time tooling</w:t>
      </w:r>
      <w:bookmarkEnd w:id="1033"/>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880"/>
            <w:shd w:val="clear" w:color="auto" w:fill="1F3A5F"/>
          </w:tcPr>
          <w:p>
            <w:pPr>
              <w:spacing w:after="0"/>
            </w:pPr>
            <w:r/>
            <w:r>
              <w:rPr>
                <w:b/>
                <w:color w:val="FFFFFF"/>
                <w:sz w:val="16"/>
              </w:rPr>
              <w:t>Tool</w:t>
            </w:r>
          </w:p>
        </w:tc>
        <w:tc>
          <w:tcPr>
            <w:tcW w:type="dxa" w:w="2592"/>
            <w:shd w:val="clear" w:color="auto" w:fill="1F3A5F"/>
          </w:tcPr>
          <w:p>
            <w:pPr>
              <w:spacing w:after="0"/>
            </w:pPr>
            <w:r/>
            <w:r>
              <w:rPr>
                <w:b/>
                <w:color w:val="FFFFFF"/>
                <w:sz w:val="16"/>
              </w:rPr>
              <w:t>Version</w:t>
            </w:r>
          </w:p>
        </w:tc>
        <w:tc>
          <w:tcPr>
            <w:tcW w:type="dxa" w:w="3888"/>
            <w:shd w:val="clear" w:color="auto" w:fill="1F3A5F"/>
          </w:tcPr>
          <w:p>
            <w:pPr>
              <w:spacing w:after="0"/>
            </w:pPr>
            <w:r/>
            <w:r>
              <w:rPr>
                <w:b/>
                <w:color w:val="FFFFFF"/>
                <w:sz w:val="16"/>
              </w:rPr>
              <w:t>Used by</w:t>
            </w:r>
          </w:p>
        </w:tc>
      </w:tr>
      <w:tr>
        <w:trPr>
          <w:cantSplit/>
        </w:trPr>
        <w:tc>
          <w:tcPr>
            <w:tcW w:type="dxa" w:w="2880"/>
          </w:tcPr>
          <w:p>
            <w:pPr>
              <w:spacing w:after="0"/>
            </w:pPr>
            <w:r/>
            <w:r>
              <w:rPr>
                <w:sz w:val="16"/>
              </w:rPr>
              <w:t>Turbo</w:t>
            </w:r>
          </w:p>
        </w:tc>
        <w:tc>
          <w:tcPr>
            <w:tcW w:type="dxa" w:w="2592"/>
          </w:tcPr>
          <w:p>
            <w:pPr>
              <w:spacing w:after="0"/>
            </w:pPr>
            <w:r/>
            <w:r>
              <w:rPr>
                <w:sz w:val="16"/>
              </w:rPr>
              <w:t>^2.1.0</w:t>
            </w:r>
          </w:p>
        </w:tc>
        <w:tc>
          <w:tcPr>
            <w:tcW w:type="dxa" w:w="3888"/>
          </w:tcPr>
          <w:p>
            <w:pPr>
              <w:spacing w:after="0"/>
            </w:pPr>
            <w:r/>
            <w:r>
              <w:rPr>
                <w:sz w:val="16"/>
              </w:rPr>
              <w:t>Workspace task orchestration</w:t>
            </w:r>
          </w:p>
        </w:tc>
      </w:tr>
      <w:tr>
        <w:trPr>
          <w:cantSplit/>
        </w:trPr>
        <w:tc>
          <w:tcPr>
            <w:tcW w:type="dxa" w:w="2880"/>
          </w:tcPr>
          <w:p>
            <w:pPr>
              <w:spacing w:after="0"/>
            </w:pPr>
            <w:r/>
            <w:r>
              <w:rPr>
                <w:sz w:val="16"/>
              </w:rPr>
              <w:t>TypeScript</w:t>
            </w:r>
          </w:p>
        </w:tc>
        <w:tc>
          <w:tcPr>
            <w:tcW w:type="dxa" w:w="2592"/>
          </w:tcPr>
          <w:p>
            <w:pPr>
              <w:spacing w:after="0"/>
            </w:pPr>
            <w:r/>
            <w:r>
              <w:rPr>
                <w:sz w:val="16"/>
              </w:rPr>
              <w:t>^5.9.3</w:t>
            </w:r>
          </w:p>
        </w:tc>
        <w:tc>
          <w:tcPr>
            <w:tcW w:type="dxa" w:w="3888"/>
          </w:tcPr>
          <w:p>
            <w:pPr>
              <w:spacing w:after="0"/>
            </w:pPr>
            <w:r/>
            <w:r>
              <w:rPr>
                <w:sz w:val="16"/>
              </w:rPr>
              <w:t>Package typings and b2b typecheck</w:t>
            </w:r>
          </w:p>
        </w:tc>
      </w:tr>
      <w:tr>
        <w:trPr>
          <w:cantSplit/>
        </w:trPr>
        <w:tc>
          <w:tcPr>
            <w:tcW w:type="dxa" w:w="2880"/>
          </w:tcPr>
          <w:p>
            <w:pPr>
              <w:spacing w:after="0"/>
            </w:pPr>
            <w:r/>
            <w:r>
              <w:rPr>
                <w:sz w:val="16"/>
              </w:rPr>
              <w:t>Python 3.11 (CI) / 3.14 (audit host)</w:t>
            </w:r>
          </w:p>
        </w:tc>
        <w:tc>
          <w:tcPr>
            <w:tcW w:type="dxa" w:w="2592"/>
          </w:tcPr>
          <w:p>
            <w:pPr>
              <w:spacing w:after="0"/>
            </w:pPr>
            <w:r/>
            <w:r>
              <w:rPr>
                <w:sz w:val="16"/>
              </w:rPr>
              <w:t>—</w:t>
            </w:r>
          </w:p>
        </w:tc>
        <w:tc>
          <w:tcPr>
            <w:tcW w:type="dxa" w:w="3888"/>
          </w:tcPr>
          <w:p>
            <w:pPr>
              <w:spacing w:after="0"/>
            </w:pPr>
            <w:r/>
            <w:r>
              <w:rPr>
                <w:sz w:val="16"/>
              </w:rPr>
              <w:t>Drift guard and contract generators</w:t>
            </w:r>
          </w:p>
        </w:tc>
      </w:tr>
      <w:tr>
        <w:trPr>
          <w:cantSplit/>
        </w:trPr>
        <w:tc>
          <w:tcPr>
            <w:tcW w:type="dxa" w:w="2880"/>
          </w:tcPr>
          <w:p>
            <w:pPr>
              <w:spacing w:after="0"/>
            </w:pPr>
            <w:r/>
            <w:r>
              <w:rPr>
                <w:sz w:val="16"/>
              </w:rPr>
              <w:t>PyYAML</w:t>
            </w:r>
          </w:p>
        </w:tc>
        <w:tc>
          <w:tcPr>
            <w:tcW w:type="dxa" w:w="2592"/>
          </w:tcPr>
          <w:p>
            <w:pPr>
              <w:spacing w:after="0"/>
            </w:pPr>
            <w:r/>
            <w:r>
              <w:rPr>
                <w:sz w:val="16"/>
              </w:rPr>
              <w:t>installed by CI</w:t>
            </w:r>
          </w:p>
        </w:tc>
        <w:tc>
          <w:tcPr>
            <w:tcW w:type="dxa" w:w="3888"/>
          </w:tcPr>
          <w:p>
            <w:pPr>
              <w:spacing w:after="0"/>
            </w:pPr>
            <w:r/>
            <w:r>
              <w:rPr>
                <w:sz w:val="16"/>
              </w:rPr>
              <w:t>scripts/check-drift.py, scripts/gen-*.py</w:t>
            </w:r>
          </w:p>
        </w:tc>
      </w:tr>
      <w:tr>
        <w:trPr>
          <w:cantSplit/>
        </w:trPr>
        <w:tc>
          <w:tcPr>
            <w:tcW w:type="dxa" w:w="2880"/>
          </w:tcPr>
          <w:p>
            <w:pPr>
              <w:spacing w:after="0"/>
            </w:pPr>
            <w:r/>
            <w:r>
              <w:rPr>
                <w:sz w:val="16"/>
              </w:rPr>
              <w:t>puppeteer</w:t>
            </w:r>
          </w:p>
        </w:tc>
        <w:tc>
          <w:tcPr>
            <w:tcW w:type="dxa" w:w="2592"/>
          </w:tcPr>
          <w:p>
            <w:pPr>
              <w:spacing w:after="0"/>
            </w:pPr>
            <w:r/>
            <w:r>
              <w:rPr>
                <w:sz w:val="16"/>
              </w:rPr>
              <w:t>^24.40.0</w:t>
            </w:r>
          </w:p>
        </w:tc>
        <w:tc>
          <w:tcPr>
            <w:tcW w:type="dxa" w:w="3888"/>
          </w:tcPr>
          <w:p>
            <w:pPr>
              <w:spacing w:after="0"/>
            </w:pPr>
            <w:r/>
            <w:r>
              <w:rPr>
                <w:sz w:val="16"/>
              </w:rPr>
              <w:t>NextReport PDF rendering (and, locally, the diagram renderer used for this document)</w:t>
            </w:r>
          </w:p>
        </w:tc>
      </w:tr>
    </w:tbl>
    <w:p>
      <w:pPr>
        <w:spacing w:after="200"/>
      </w:pPr>
      <w:r>
        <w:rPr>
          <w:i/>
          <w:color w:val="555F6D"/>
          <w:sz w:val="17"/>
        </w:rPr>
        <w:t>Table 20. Build-time tooling</w:t>
      </w:r>
    </w:p>
    <w:p>
      <w:bookmarkStart w:id="1034" w:name="_Toc1034"/>
      <w:pPr>
        <w:pStyle w:val="Heading1"/>
        <w:pageBreakBefore/>
      </w:pPr>
      <w:r>
        <w:t>6. Application inventory</w:t>
      </w:r>
      <w:bookmarkEnd w:id="1034"/>
    </w:p>
    <w:p>
      <w:r>
        <w:rPr>
          <w:i w:val="0"/>
        </w:rPr>
        <w:t>Five applications are present and implemented. All five have a Dockerfile, a package manifest and an entry point. No application in the repository is a stub.</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648" w:type="dxa"/>
      </w:tblPr>
      <w:tblGrid>
        <w:gridCol w:w="1930"/>
        <w:gridCol w:w="1930"/>
        <w:gridCol w:w="1930"/>
        <w:gridCol w:w="1930"/>
        <w:gridCol w:w="1930"/>
      </w:tblGrid>
      <w:tr>
        <w:trPr>
          <w:tblHeader w:val="true"/>
        </w:trPr>
        <w:tc>
          <w:tcPr>
            <w:tcW w:type="dxa" w:w="1103"/>
            <w:shd w:val="clear" w:color="auto" w:fill="1F3A5F"/>
          </w:tcPr>
          <w:p>
            <w:pPr>
              <w:spacing w:after="0"/>
            </w:pPr>
            <w:r/>
            <w:r>
              <w:rPr>
                <w:b/>
                <w:color w:val="FFFFFF"/>
                <w:sz w:val="15"/>
              </w:rPr>
              <w:t>App</w:t>
            </w:r>
          </w:p>
        </w:tc>
        <w:tc>
          <w:tcPr>
            <w:tcW w:type="dxa" w:w="2550"/>
            <w:shd w:val="clear" w:color="auto" w:fill="1F3A5F"/>
          </w:tcPr>
          <w:p>
            <w:pPr>
              <w:spacing w:after="0"/>
            </w:pPr>
            <w:r/>
            <w:r>
              <w:rPr>
                <w:b/>
                <w:color w:val="FFFFFF"/>
                <w:sz w:val="15"/>
              </w:rPr>
              <w:t>Entry point</w:t>
            </w:r>
          </w:p>
        </w:tc>
        <w:tc>
          <w:tcPr>
            <w:tcW w:type="dxa" w:w="1930"/>
            <w:shd w:val="clear" w:color="auto" w:fill="1F3A5F"/>
          </w:tcPr>
          <w:p>
            <w:pPr>
              <w:spacing w:after="0"/>
            </w:pPr>
            <w:r/>
            <w:r>
              <w:rPr>
                <w:b/>
                <w:color w:val="FFFFFF"/>
                <w:sz w:val="15"/>
              </w:rPr>
              <w:t>Dev command</w:t>
            </w:r>
          </w:p>
        </w:tc>
        <w:tc>
          <w:tcPr>
            <w:tcW w:type="dxa" w:w="2205"/>
            <w:shd w:val="clear" w:color="auto" w:fill="1F3A5F"/>
          </w:tcPr>
          <w:p>
            <w:pPr>
              <w:spacing w:after="0"/>
            </w:pPr>
            <w:r/>
            <w:r>
              <w:rPr>
                <w:b/>
                <w:color w:val="FFFFFF"/>
                <w:sz w:val="15"/>
              </w:rPr>
              <w:t>Prod execution</w:t>
            </w:r>
          </w:p>
        </w:tc>
        <w:tc>
          <w:tcPr>
            <w:tcW w:type="dxa" w:w="1861"/>
            <w:shd w:val="clear" w:color="auto" w:fill="1F3A5F"/>
          </w:tcPr>
          <w:p>
            <w:pPr>
              <w:spacing w:after="0"/>
            </w:pPr>
            <w:r/>
            <w:r>
              <w:rPr>
                <w:b/>
                <w:color w:val="FFFFFF"/>
                <w:sz w:val="15"/>
              </w:rPr>
              <w:t>Status</w:t>
            </w:r>
          </w:p>
        </w:tc>
      </w:tr>
      <w:tr>
        <w:trPr>
          <w:cantSplit/>
        </w:trPr>
        <w:tc>
          <w:tcPr>
            <w:tcW w:type="dxa" w:w="1103"/>
          </w:tcPr>
          <w:p>
            <w:pPr>
              <w:spacing w:after="0"/>
            </w:pPr>
            <w:r/>
            <w:r>
              <w:rPr>
                <w:sz w:val="15"/>
              </w:rPr>
              <w:t>backend</w:t>
            </w:r>
          </w:p>
        </w:tc>
        <w:tc>
          <w:tcPr>
            <w:tcW w:type="dxa" w:w="2550"/>
          </w:tcPr>
          <w:p>
            <w:pPr>
              <w:spacing w:after="0"/>
            </w:pPr>
            <w:r/>
            <w:r>
              <w:rPr>
                <w:sz w:val="15"/>
              </w:rPr>
              <w:t>cmd/server/main.go → run() → router()</w:t>
            </w:r>
          </w:p>
        </w:tc>
        <w:tc>
          <w:tcPr>
            <w:tcW w:type="dxa" w:w="1930"/>
          </w:tcPr>
          <w:p>
            <w:pPr>
              <w:spacing w:after="0"/>
            </w:pPr>
            <w:r/>
            <w:r>
              <w:rPr>
                <w:sz w:val="15"/>
              </w:rPr>
              <w:t>pnpm dev:backend</w:t>
            </w:r>
          </w:p>
        </w:tc>
        <w:tc>
          <w:tcPr>
            <w:tcW w:type="dxa" w:w="2205"/>
          </w:tcPr>
          <w:p>
            <w:pPr>
              <w:spacing w:after="0"/>
            </w:pPr>
            <w:r/>
            <w:r>
              <w:rPr>
                <w:sz w:val="15"/>
              </w:rPr>
              <w:t>Static binary /app/server, non-root uid 10001</w:t>
            </w:r>
          </w:p>
        </w:tc>
        <w:tc>
          <w:tcPr>
            <w:tcW w:type="dxa" w:w="1861"/>
          </w:tcPr>
          <w:p>
            <w:pPr>
              <w:spacing w:after="0"/>
            </w:pPr>
            <w:r/>
            <w:r>
              <w:rPr>
                <w:sz w:val="15"/>
              </w:rPr>
              <w:t>Implemented; 35 internal packages</w:t>
            </w:r>
          </w:p>
        </w:tc>
      </w:tr>
      <w:tr>
        <w:trPr>
          <w:cantSplit/>
        </w:trPr>
        <w:tc>
          <w:tcPr>
            <w:tcW w:type="dxa" w:w="1103"/>
          </w:tcPr>
          <w:p>
            <w:pPr>
              <w:spacing w:after="0"/>
            </w:pPr>
            <w:r/>
            <w:r>
              <w:rPr>
                <w:sz w:val="15"/>
              </w:rPr>
              <w:t>erp</w:t>
            </w:r>
          </w:p>
        </w:tc>
        <w:tc>
          <w:tcPr>
            <w:tcW w:type="dxa" w:w="2550"/>
          </w:tcPr>
          <w:p>
            <w:pPr>
              <w:spacing w:after="0"/>
            </w:pPr>
            <w:r/>
            <w:r>
              <w:rPr>
                <w:sz w:val="15"/>
              </w:rPr>
              <w:t>src/main.js → App.vue → router/index.js</w:t>
            </w:r>
          </w:p>
        </w:tc>
        <w:tc>
          <w:tcPr>
            <w:tcW w:type="dxa" w:w="1930"/>
          </w:tcPr>
          <w:p>
            <w:pPr>
              <w:spacing w:after="0"/>
            </w:pPr>
            <w:r/>
            <w:r>
              <w:rPr>
                <w:sz w:val="15"/>
              </w:rPr>
              <w:t>pnpm --filter @keluargamart/erp dev</w:t>
            </w:r>
          </w:p>
        </w:tc>
        <w:tc>
          <w:tcPr>
            <w:tcW w:type="dxa" w:w="2205"/>
          </w:tcPr>
          <w:p>
            <w:pPr>
              <w:spacing w:after="0"/>
            </w:pPr>
            <w:r/>
            <w:r>
              <w:rPr>
                <w:sz w:val="15"/>
              </w:rPr>
              <w:t>nginx 1.29-alpine serving dist/, /api and /uploads proxied</w:t>
            </w:r>
          </w:p>
        </w:tc>
        <w:tc>
          <w:tcPr>
            <w:tcW w:type="dxa" w:w="1861"/>
          </w:tcPr>
          <w:p>
            <w:pPr>
              <w:spacing w:after="0"/>
            </w:pPr>
            <w:r/>
            <w:r>
              <w:rPr>
                <w:sz w:val="15"/>
              </w:rPr>
              <w:t>Implemented; 72 pages, 90 components</w:t>
            </w:r>
          </w:p>
        </w:tc>
      </w:tr>
      <w:tr>
        <w:trPr>
          <w:cantSplit/>
        </w:trPr>
        <w:tc>
          <w:tcPr>
            <w:tcW w:type="dxa" w:w="1103"/>
          </w:tcPr>
          <w:p>
            <w:pPr>
              <w:spacing w:after="0"/>
            </w:pPr>
            <w:r/>
            <w:r>
              <w:rPr>
                <w:sz w:val="15"/>
              </w:rPr>
              <w:t>pos</w:t>
            </w:r>
          </w:p>
        </w:tc>
        <w:tc>
          <w:tcPr>
            <w:tcW w:type="dxa" w:w="2550"/>
          </w:tcPr>
          <w:p>
            <w:pPr>
              <w:spacing w:after="0"/>
            </w:pPr>
            <w:r/>
            <w:r>
              <w:rPr>
                <w:sz w:val="15"/>
              </w:rPr>
              <w:t>src/main.js → App.vue → router/index.js</w:t>
            </w:r>
          </w:p>
        </w:tc>
        <w:tc>
          <w:tcPr>
            <w:tcW w:type="dxa" w:w="1930"/>
          </w:tcPr>
          <w:p>
            <w:pPr>
              <w:spacing w:after="0"/>
            </w:pPr>
            <w:r/>
            <w:r>
              <w:rPr>
                <w:sz w:val="15"/>
              </w:rPr>
              <w:t>pnpm --filter @keluargamart/pos dev</w:t>
            </w:r>
          </w:p>
        </w:tc>
        <w:tc>
          <w:tcPr>
            <w:tcW w:type="dxa" w:w="2205"/>
          </w:tcPr>
          <w:p>
            <w:pPr>
              <w:spacing w:after="0"/>
            </w:pPr>
            <w:r/>
            <w:r>
              <w:rPr>
                <w:sz w:val="15"/>
              </w:rPr>
              <w:t>nginx 1.29-alpine serving dist/, /api and /uploads proxied</w:t>
            </w:r>
          </w:p>
        </w:tc>
        <w:tc>
          <w:tcPr>
            <w:tcW w:type="dxa" w:w="1861"/>
          </w:tcPr>
          <w:p>
            <w:pPr>
              <w:spacing w:after="0"/>
            </w:pPr>
            <w:r/>
            <w:r>
              <w:rPr>
                <w:sz w:val="15"/>
              </w:rPr>
              <w:t>Implemented; 8 pages, 42 components</w:t>
            </w:r>
          </w:p>
        </w:tc>
      </w:tr>
      <w:tr>
        <w:trPr>
          <w:cantSplit/>
        </w:trPr>
        <w:tc>
          <w:tcPr>
            <w:tcW w:type="dxa" w:w="1103"/>
          </w:tcPr>
          <w:p>
            <w:pPr>
              <w:spacing w:after="0"/>
            </w:pPr>
            <w:r/>
            <w:r>
              <w:rPr>
                <w:sz w:val="15"/>
              </w:rPr>
              <w:t>b2b</w:t>
            </w:r>
          </w:p>
        </w:tc>
        <w:tc>
          <w:tcPr>
            <w:tcW w:type="dxa" w:w="2550"/>
          </w:tcPr>
          <w:p>
            <w:pPr>
              <w:spacing w:after="0"/>
            </w:pPr>
            <w:r/>
            <w:r>
              <w:rPr>
                <w:sz w:val="15"/>
              </w:rPr>
              <w:t>app/app.vue + Nuxt file routing + server/api/v1/[...path].ts</w:t>
            </w:r>
          </w:p>
        </w:tc>
        <w:tc>
          <w:tcPr>
            <w:tcW w:type="dxa" w:w="1930"/>
          </w:tcPr>
          <w:p>
            <w:pPr>
              <w:spacing w:after="0"/>
            </w:pPr>
            <w:r/>
            <w:r>
              <w:rPr>
                <w:sz w:val="15"/>
              </w:rPr>
              <w:t>pnpm --filter @keluargamart/b2b dev</w:t>
            </w:r>
          </w:p>
        </w:tc>
        <w:tc>
          <w:tcPr>
            <w:tcW w:type="dxa" w:w="2205"/>
          </w:tcPr>
          <w:p>
            <w:pPr>
              <w:spacing w:after="0"/>
            </w:pPr>
            <w:r/>
            <w:r>
              <w:rPr>
                <w:sz w:val="15"/>
              </w:rPr>
              <w:t>Nitro node server (.output/server)</w:t>
            </w:r>
          </w:p>
        </w:tc>
        <w:tc>
          <w:tcPr>
            <w:tcW w:type="dxa" w:w="1861"/>
          </w:tcPr>
          <w:p>
            <w:pPr>
              <w:spacing w:after="0"/>
            </w:pPr>
            <w:r/>
            <w:r>
              <w:rPr>
                <w:sz w:val="15"/>
              </w:rPr>
              <w:t>Implemented; 42 pages, 17 components</w:t>
            </w:r>
          </w:p>
        </w:tc>
      </w:tr>
      <w:tr>
        <w:trPr>
          <w:cantSplit/>
        </w:trPr>
        <w:tc>
          <w:tcPr>
            <w:tcW w:type="dxa" w:w="1103"/>
          </w:tcPr>
          <w:p>
            <w:pPr>
              <w:spacing w:after="0"/>
            </w:pPr>
            <w:r/>
            <w:r>
              <w:rPr>
                <w:sz w:val="15"/>
              </w:rPr>
              <w:t>nextreport</w:t>
            </w:r>
          </w:p>
        </w:tc>
        <w:tc>
          <w:tcPr>
            <w:tcW w:type="dxa" w:w="2550"/>
          </w:tcPr>
          <w:p>
            <w:pPr>
              <w:spacing w:after="0"/>
            </w:pPr>
            <w:r/>
            <w:r>
              <w:rPr>
                <w:sz w:val="15"/>
              </w:rPr>
              <w:t>server.mjs</w:t>
            </w:r>
          </w:p>
        </w:tc>
        <w:tc>
          <w:tcPr>
            <w:tcW w:type="dxa" w:w="1930"/>
          </w:tcPr>
          <w:p>
            <w:pPr>
              <w:spacing w:after="0"/>
            </w:pPr>
            <w:r/>
            <w:r>
              <w:rPr>
                <w:sz w:val="15"/>
              </w:rPr>
              <w:t>pnpm --filter @keluargamart/nextreport dev</w:t>
            </w:r>
          </w:p>
        </w:tc>
        <w:tc>
          <w:tcPr>
            <w:tcW w:type="dxa" w:w="2205"/>
          </w:tcPr>
          <w:p>
            <w:pPr>
              <w:spacing w:after="0"/>
            </w:pPr>
            <w:r/>
            <w:r>
              <w:rPr>
                <w:sz w:val="15"/>
              </w:rPr>
              <w:t>node server.mjs in node:22-slim with Chromium</w:t>
            </w:r>
          </w:p>
        </w:tc>
        <w:tc>
          <w:tcPr>
            <w:tcW w:type="dxa" w:w="1861"/>
          </w:tcPr>
          <w:p>
            <w:pPr>
              <w:spacing w:after="0"/>
            </w:pPr>
            <w:r/>
            <w:r>
              <w:rPr>
                <w:sz w:val="15"/>
              </w:rPr>
              <w:t>Implemented; 3 HTTP endpoints</w:t>
            </w:r>
          </w:p>
        </w:tc>
      </w:tr>
    </w:tbl>
    <w:p>
      <w:pPr>
        <w:spacing w:after="200"/>
      </w:pPr>
      <w:r>
        <w:rPr>
          <w:i/>
          <w:color w:val="555F6D"/>
          <w:sz w:val="17"/>
        </w:rPr>
        <w:t>Table 21. Application inventory</w:t>
      </w:r>
    </w:p>
    <w:p>
      <w:bookmarkStart w:id="1035" w:name="_Toc1035"/>
      <w:pPr>
        <w:pStyle w:val="Heading2"/>
      </w:pPr>
      <w:r>
        <w:t>6.1 Modules that are libraries, not applications</w:t>
      </w:r>
      <w:bookmarkEnd w:id="1035"/>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736"/>
            <w:shd w:val="clear" w:color="auto" w:fill="1F3A5F"/>
          </w:tcPr>
          <w:p>
            <w:pPr>
              <w:spacing w:after="0"/>
            </w:pPr>
            <w:r/>
            <w:r>
              <w:rPr>
                <w:b/>
                <w:color w:val="FFFFFF"/>
                <w:sz w:val="16"/>
              </w:rPr>
              <w:t>Directory</w:t>
            </w:r>
          </w:p>
        </w:tc>
        <w:tc>
          <w:tcPr>
            <w:tcW w:type="dxa" w:w="1872"/>
            <w:shd w:val="clear" w:color="auto" w:fill="1F3A5F"/>
          </w:tcPr>
          <w:p>
            <w:pPr>
              <w:spacing w:after="0"/>
            </w:pPr>
            <w:r/>
            <w:r>
              <w:rPr>
                <w:b/>
                <w:color w:val="FFFFFF"/>
                <w:sz w:val="16"/>
              </w:rPr>
              <w:t>Nature</w:t>
            </w:r>
          </w:p>
        </w:tc>
        <w:tc>
          <w:tcPr>
            <w:tcW w:type="dxa" w:w="4752"/>
            <w:shd w:val="clear" w:color="auto" w:fill="1F3A5F"/>
          </w:tcPr>
          <w:p>
            <w:pPr>
              <w:spacing w:after="0"/>
            </w:pPr>
            <w:r/>
            <w:r>
              <w:rPr>
                <w:b/>
                <w:color w:val="FFFFFF"/>
                <w:sz w:val="16"/>
              </w:rPr>
              <w:t>Why it is not an application</w:t>
            </w:r>
          </w:p>
        </w:tc>
      </w:tr>
      <w:tr>
        <w:trPr>
          <w:cantSplit/>
        </w:trPr>
        <w:tc>
          <w:tcPr>
            <w:tcW w:type="dxa" w:w="2736"/>
          </w:tcPr>
          <w:p>
            <w:pPr>
              <w:spacing w:after="0"/>
            </w:pPr>
            <w:r/>
            <w:r>
              <w:rPr>
                <w:sz w:val="16"/>
              </w:rPr>
              <w:t>apps/backend/cmd/seedctl</w:t>
            </w:r>
          </w:p>
        </w:tc>
        <w:tc>
          <w:tcPr>
            <w:tcW w:type="dxa" w:w="1872"/>
          </w:tcPr>
          <w:p>
            <w:pPr>
              <w:spacing w:after="0"/>
            </w:pPr>
            <w:r/>
            <w:r>
              <w:rPr>
                <w:sz w:val="16"/>
              </w:rPr>
              <w:t>One-off CLI</w:t>
            </w:r>
          </w:p>
        </w:tc>
        <w:tc>
          <w:tcPr>
            <w:tcW w:type="dxa" w:w="4752"/>
          </w:tcPr>
          <w:p>
            <w:pPr>
              <w:spacing w:after="0"/>
            </w:pPr>
            <w:r/>
            <w:r>
              <w:rPr>
                <w:sz w:val="16"/>
              </w:rPr>
              <w:t>Applies seed.sql or runs a verification query; no server</w:t>
            </w:r>
          </w:p>
        </w:tc>
      </w:tr>
      <w:tr>
        <w:trPr>
          <w:cantSplit/>
        </w:trPr>
        <w:tc>
          <w:tcPr>
            <w:tcW w:type="dxa" w:w="2736"/>
          </w:tcPr>
          <w:p>
            <w:pPr>
              <w:spacing w:after="0"/>
            </w:pPr>
            <w:r/>
            <w:r>
              <w:rPr>
                <w:sz w:val="16"/>
              </w:rPr>
              <w:t>apps/backend/cmd/importer</w:t>
            </w:r>
          </w:p>
        </w:tc>
        <w:tc>
          <w:tcPr>
            <w:tcW w:type="dxa" w:w="1872"/>
          </w:tcPr>
          <w:p>
            <w:pPr>
              <w:spacing w:after="0"/>
            </w:pPr>
            <w:r/>
            <w:r>
              <w:rPr>
                <w:sz w:val="16"/>
              </w:rPr>
              <w:t>One-off CLI</w:t>
            </w:r>
          </w:p>
        </w:tc>
        <w:tc>
          <w:tcPr>
            <w:tcW w:type="dxa" w:w="4752"/>
          </w:tcPr>
          <w:p>
            <w:pPr>
              <w:spacing w:after="0"/>
            </w:pPr>
            <w:r/>
            <w:r>
              <w:rPr>
                <w:sz w:val="16"/>
              </w:rPr>
              <w:t>Data import helper</w:t>
            </w:r>
          </w:p>
        </w:tc>
      </w:tr>
      <w:tr>
        <w:trPr>
          <w:cantSplit/>
        </w:trPr>
        <w:tc>
          <w:tcPr>
            <w:tcW w:type="dxa" w:w="2736"/>
          </w:tcPr>
          <w:p>
            <w:pPr>
              <w:spacing w:after="0"/>
            </w:pPr>
            <w:r/>
            <w:r>
              <w:rPr>
                <w:sz w:val="16"/>
              </w:rPr>
              <w:t>apps/backend/internal/parity</w:t>
            </w:r>
          </w:p>
        </w:tc>
        <w:tc>
          <w:tcPr>
            <w:tcW w:type="dxa" w:w="1872"/>
          </w:tcPr>
          <w:p>
            <w:pPr>
              <w:spacing w:after="0"/>
            </w:pPr>
            <w:r/>
            <w:r>
              <w:rPr>
                <w:sz w:val="16"/>
              </w:rPr>
              <w:t>Test-only package</w:t>
            </w:r>
          </w:p>
        </w:tc>
        <w:tc>
          <w:tcPr>
            <w:tcW w:type="dxa" w:w="4752"/>
          </w:tcPr>
          <w:p>
            <w:pPr>
              <w:spacing w:after="0"/>
            </w:pPr>
            <w:r/>
            <w:r>
              <w:rPr>
                <w:sz w:val="16"/>
              </w:rPr>
              <w:t>Compares Laravel-era expectations; only *_test.go</w:t>
            </w:r>
          </w:p>
        </w:tc>
      </w:tr>
      <w:tr>
        <w:trPr>
          <w:cantSplit/>
        </w:trPr>
        <w:tc>
          <w:tcPr>
            <w:tcW w:type="dxa" w:w="2736"/>
          </w:tcPr>
          <w:p>
            <w:pPr>
              <w:spacing w:after="0"/>
            </w:pPr>
            <w:r/>
            <w:r>
              <w:rPr>
                <w:sz w:val="16"/>
              </w:rPr>
              <w:t>apps/backend/internal/apidocs</w:t>
            </w:r>
          </w:p>
        </w:tc>
        <w:tc>
          <w:tcPr>
            <w:tcW w:type="dxa" w:w="1872"/>
          </w:tcPr>
          <w:p>
            <w:pPr>
              <w:spacing w:after="0"/>
            </w:pPr>
            <w:r/>
            <w:r>
              <w:rPr>
                <w:sz w:val="16"/>
              </w:rPr>
              <w:t>Handler package</w:t>
            </w:r>
          </w:p>
        </w:tc>
        <w:tc>
          <w:tcPr>
            <w:tcW w:type="dxa" w:w="4752"/>
          </w:tcPr>
          <w:p>
            <w:pPr>
              <w:spacing w:after="0"/>
            </w:pPr>
            <w:r/>
            <w:r>
              <w:rPr>
                <w:sz w:val="16"/>
              </w:rPr>
              <w:t>Serves the Scalar API reference and openapi.yaml</w:t>
            </w:r>
          </w:p>
        </w:tc>
      </w:tr>
      <w:tr>
        <w:trPr>
          <w:cantSplit/>
        </w:trPr>
        <w:tc>
          <w:tcPr>
            <w:tcW w:type="dxa" w:w="2736"/>
          </w:tcPr>
          <w:p>
            <w:pPr>
              <w:spacing w:after="0"/>
            </w:pPr>
            <w:r/>
            <w:r>
              <w:rPr>
                <w:sz w:val="16"/>
              </w:rPr>
              <w:t>apps/backend/internal/reportproxy</w:t>
            </w:r>
          </w:p>
        </w:tc>
        <w:tc>
          <w:tcPr>
            <w:tcW w:type="dxa" w:w="1872"/>
          </w:tcPr>
          <w:p>
            <w:pPr>
              <w:spacing w:after="0"/>
            </w:pPr>
            <w:r/>
            <w:r>
              <w:rPr>
                <w:sz w:val="16"/>
              </w:rPr>
              <w:t>Handler package</w:t>
            </w:r>
          </w:p>
        </w:tc>
        <w:tc>
          <w:tcPr>
            <w:tcW w:type="dxa" w:w="4752"/>
          </w:tcPr>
          <w:p>
            <w:pPr>
              <w:spacing w:after="0"/>
            </w:pPr>
            <w:r/>
            <w:r>
              <w:rPr>
                <w:sz w:val="16"/>
              </w:rPr>
              <w:t>Proxies render requests to NextReport and shapes the data</w:t>
            </w:r>
          </w:p>
        </w:tc>
      </w:tr>
    </w:tbl>
    <w:p>
      <w:pPr>
        <w:spacing w:after="200"/>
      </w:pPr>
      <w:r>
        <w:rPr>
          <w:i/>
          <w:color w:val="555F6D"/>
          <w:sz w:val="17"/>
        </w:rPr>
        <w:t>Table 22. Non-application code that looks like an application</w:t>
      </w:r>
    </w:p>
    <w:p>
      <w:bookmarkStart w:id="1036" w:name="_Toc1036"/>
      <w:pPr>
        <w:pStyle w:val="Heading1"/>
        <w:pageBreakBefore/>
      </w:pPr>
      <w:r>
        <w:t>7. Backend architecture</w:t>
      </w:r>
      <w:bookmarkEnd w:id="1036"/>
    </w:p>
    <w:p>
      <w:bookmarkStart w:id="1037" w:name="_Toc1037"/>
      <w:pPr>
        <w:pStyle w:val="Heading2"/>
      </w:pPr>
      <w:r>
        <w:t>7.1 Boot sequence</w:t>
      </w:r>
      <w:bookmarkEnd w:id="1037"/>
    </w:p>
    <w:p>
      <w:r>
        <w:rPr>
          <w:i w:val="0"/>
        </w:rPr>
        <w:t>main() loads config, builds a slog logger, then run() performs a fixed sequence. The order matters: the server deliberately stays up when dependencies are down, so that /health can answer while /ready reports the failure.</w:t>
      </w:r>
    </w:p>
    <w:p>
      <w:pPr>
        <w:pStyle w:val="ListNumber"/>
      </w:pPr>
      <w:r>
        <w:t>config.Load() reads every environment variable (pkg/config/config.go).</w:t>
      </w:r>
    </w:p>
    <w:p>
      <w:pPr>
        <w:pStyle w:val="ListNumber"/>
      </w:pPr>
      <w:r>
        <w:t>database.New() opens a pgxpool with MaxConns=25, MinConns=2, MaxConnLifetime=1h, MaxConnIdleTime=15m.</w:t>
      </w:r>
    </w:p>
    <w:p>
      <w:pPr>
        <w:pStyle w:val="ListNumber"/>
      </w:pPr>
      <w:r>
        <w:t>If DATABASE_URL is empty the process logs a warning and continues in health-only mode — no data routes are mounted.</w:t>
      </w:r>
    </w:p>
    <w:p>
      <w:pPr>
        <w:pStyle w:val="ListNumber"/>
      </w:pPr>
      <w:r>
        <w:t>If a pool exists and AUTO_MIGRATE is true, dbmigrate.Run() applies every pending embedded migration. A failure aborts startup; the server never serves a wrong schema.</w:t>
      </w:r>
    </w:p>
    <w:p>
      <w:pPr>
        <w:pStyle w:val="ListNumber"/>
      </w:pPr>
      <w:r>
        <w:t>redis.New() connects; a nil client disables rate limiting (fail-open) but leaves the login limiter fail-closed.</w:t>
      </w:r>
    </w:p>
    <w:p>
      <w:pPr>
        <w:pStyle w:val="ListNumber"/>
      </w:pPr>
      <w:r>
        <w:t>storage.NewLocal(UPLOAD_DIR) prepares the local object store.</w:t>
      </w:r>
    </w:p>
    <w:p>
      <w:pPr>
        <w:pStyle w:val="ListNumber"/>
      </w:pPr>
      <w:r>
        <w:t>reportproxy.EnsureLocalEngine() starts the bundled NextReport process in development/standalone mode and waits for readiness.</w:t>
      </w:r>
    </w:p>
    <w:p>
      <w:pPr>
        <w:pStyle w:val="ListNumber"/>
      </w:pPr>
      <w:r>
        <w:t>http.Server is created with ReadHeaderTimeout 10s, ReadTimeout 30s, WriteTimeout 60s, IdleTimeout 120s.</w:t>
      </w:r>
    </w:p>
    <w:p>
      <w:pPr>
        <w:pStyle w:val="ListNumber"/>
      </w:pPr>
      <w:r>
        <w:t>SIGINT/SIGTERM triggers a 10-second graceful shutdown.</w:t>
      </w:r>
    </w:p>
    <w:p>
      <w:pPr>
        <w:spacing w:after="160"/>
        <w:ind w:left="216"/>
        <w:pBdr>
          <w:left w:val="single" w:sz="18" w:space="6" w:color="1E6B3A"/>
        </w:pBdr>
      </w:pPr>
      <w:r>
        <w:rPr>
          <w:b/>
          <w:color w:val="1E6B3A"/>
          <w:sz w:val="19"/>
        </w:rPr>
        <w:t xml:space="preserve">Verified runtime behaviour: </w:t>
      </w:r>
      <w:r>
        <w:rPr>
          <w:sz w:val="19"/>
        </w:rPr>
        <w:t>Starting the backend with a migrated database logged 'dbmigrate: schema up to date', started the embedded NextReport engine on 127.0.0.1:5489, then logged 'server_started addr=:18080 env=development'. GET /health returned {"env":"development","status":"ok"} and GET /ready returned {"database":"connected","redis":"unavailable","status":"degraded"} when Redis was not yet running.</w:t>
      </w:r>
    </w:p>
    <w:p>
      <w:bookmarkStart w:id="1038" w:name="_Toc1038"/>
      <w:pPr>
        <w:pStyle w:val="Heading2"/>
      </w:pPr>
      <w:r>
        <w:t>7.2 Application architecture</w:t>
      </w:r>
      <w:bookmarkEnd w:id="1038"/>
    </w:p>
    <w:p>
      <w:pPr>
        <w:keepNext/>
        <w:spacing w:before="80" w:after="40"/>
        <w:jc w:val="center"/>
      </w:pPr>
      <w:r>
        <w:drawing>
          <wp:inline xmlns:a="http://schemas.openxmlformats.org/drawingml/2006/main" xmlns:pic="http://schemas.openxmlformats.org/drawingml/2006/picture">
            <wp:extent cx="6035040" cy="3605936"/>
            <wp:docPr id="3" name="Picture 3"/>
            <wp:cNvGraphicFramePr>
              <a:graphicFrameLocks noChangeAspect="1"/>
            </wp:cNvGraphicFramePr>
            <a:graphic>
              <a:graphicData uri="http://schemas.openxmlformats.org/drawingml/2006/picture">
                <pic:pic>
                  <pic:nvPicPr>
                    <pic:cNvPr id="0" name="fig-application-architecture.png"/>
                    <pic:cNvPicPr/>
                  </pic:nvPicPr>
                  <pic:blipFill>
                    <a:blip r:embed="rId13"/>
                    <a:stretch>
                      <a:fillRect/>
                    </a:stretch>
                  </pic:blipFill>
                  <pic:spPr>
                    <a:xfrm>
                      <a:off x="0" y="0"/>
                      <a:ext cx="6035040" cy="3605936"/>
                    </a:xfrm>
                    <a:prstGeom prst="rect"/>
                  </pic:spPr>
                </pic:pic>
              </a:graphicData>
            </a:graphic>
          </wp:inline>
        </w:drawing>
      </w:r>
    </w:p>
    <w:p>
      <w:pPr>
        <w:spacing w:after="40"/>
        <w:jc w:val="center"/>
      </w:pPr>
      <w:r>
        <w:rPr>
          <w:i/>
          <w:color w:val="555F6D"/>
          <w:sz w:val="17"/>
        </w:rPr>
        <w:t>Figure 3. Application and package architecture. Dashed edges are declared dependencies with no import in the source; everything else is a verified request path or a real import.</w:t>
      </w:r>
    </w:p>
    <w:p>
      <w:r>
        <w:rPr>
          <w:i w:val="0"/>
        </w:rPr>
        <w:t>The backend is the only component that touches PostgreSQL or Redis. Frontends reach it over HTTP; the ERP and POS nginx containers proxy /api and /uploads same-origin, and B2B proxies through a Nitro catch-all route. Shared packages are plain ES modules with no build step: the contracts and permissions packages are generated text files plus a thin wrapper.</w:t>
      </w:r>
    </w:p>
    <w:p>
      <w:bookmarkStart w:id="1039" w:name="_Toc1039"/>
      <w:pPr>
        <w:pStyle w:val="Heading2"/>
      </w:pPr>
      <w:r>
        <w:t>7.3 Request pipeline</w:t>
      </w:r>
      <w:bookmarkEnd w:id="1039"/>
    </w:p>
    <w:p>
      <w:pPr>
        <w:keepNext/>
        <w:spacing w:before="80" w:after="40"/>
        <w:jc w:val="center"/>
      </w:pPr>
      <w:r>
        <w:drawing>
          <wp:inline xmlns:a="http://schemas.openxmlformats.org/drawingml/2006/main" xmlns:pic="http://schemas.openxmlformats.org/drawingml/2006/picture">
            <wp:extent cx="6035040" cy="2859100"/>
            <wp:docPr id="4" name="Picture 4"/>
            <wp:cNvGraphicFramePr>
              <a:graphicFrameLocks noChangeAspect="1"/>
            </wp:cNvGraphicFramePr>
            <a:graphic>
              <a:graphicData uri="http://schemas.openxmlformats.org/drawingml/2006/picture">
                <pic:pic>
                  <pic:nvPicPr>
                    <pic:cNvPr id="0" name="fig-request-lifecycle.png"/>
                    <pic:cNvPicPr/>
                  </pic:nvPicPr>
                  <pic:blipFill>
                    <a:blip r:embed="rId14"/>
                    <a:stretch>
                      <a:fillRect/>
                    </a:stretch>
                  </pic:blipFill>
                  <pic:spPr>
                    <a:xfrm>
                      <a:off x="0" y="0"/>
                      <a:ext cx="6035040" cy="2859100"/>
                    </a:xfrm>
                    <a:prstGeom prst="rect"/>
                  </pic:spPr>
                </pic:pic>
              </a:graphicData>
            </a:graphic>
          </wp:inline>
        </w:drawing>
      </w:r>
    </w:p>
    <w:p>
      <w:pPr>
        <w:spacing w:after="40"/>
        <w:jc w:val="center"/>
      </w:pPr>
      <w:r>
        <w:rPr>
          <w:i/>
          <w:color w:val="555F6D"/>
          <w:sz w:val="17"/>
        </w:rPr>
        <w:t>Figure 4. Request lifecycle for a representative authenticated write. The 401 and 403 branches are the two points where authorisation fails; both return the standard error envelope with the request id.</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1944"/>
            <w:shd w:val="clear" w:color="auto" w:fill="1F3A5F"/>
          </w:tcPr>
          <w:p>
            <w:pPr>
              <w:spacing w:after="0"/>
            </w:pPr>
            <w:r/>
            <w:r>
              <w:rPr>
                <w:b/>
                <w:color w:val="FFFFFF"/>
                <w:sz w:val="15"/>
              </w:rPr>
              <w:t>Middleware</w:t>
            </w:r>
          </w:p>
        </w:tc>
        <w:tc>
          <w:tcPr>
            <w:tcW w:type="dxa" w:w="2736"/>
            <w:shd w:val="clear" w:color="auto" w:fill="1F3A5F"/>
          </w:tcPr>
          <w:p>
            <w:pPr>
              <w:spacing w:after="0"/>
            </w:pPr>
            <w:r/>
            <w:r>
              <w:rPr>
                <w:b/>
                <w:color w:val="FFFFFF"/>
                <w:sz w:val="15"/>
              </w:rPr>
              <w:t>File</w:t>
            </w:r>
          </w:p>
        </w:tc>
        <w:tc>
          <w:tcPr>
            <w:tcW w:type="dxa" w:w="4680"/>
            <w:shd w:val="clear" w:color="auto" w:fill="1F3A5F"/>
          </w:tcPr>
          <w:p>
            <w:pPr>
              <w:spacing w:after="0"/>
            </w:pPr>
            <w:r/>
            <w:r>
              <w:rPr>
                <w:b/>
                <w:color w:val="FFFFFF"/>
                <w:sz w:val="15"/>
              </w:rPr>
              <w:t>Behaviour</w:t>
            </w:r>
          </w:p>
        </w:tc>
      </w:tr>
      <w:tr>
        <w:trPr>
          <w:cantSplit/>
        </w:trPr>
        <w:tc>
          <w:tcPr>
            <w:tcW w:type="dxa" w:w="1944"/>
          </w:tcPr>
          <w:p>
            <w:pPr>
              <w:spacing w:after="0"/>
            </w:pPr>
            <w:r/>
            <w:r>
              <w:rPr>
                <w:sz w:val="15"/>
              </w:rPr>
              <w:t>RequestID</w:t>
            </w:r>
          </w:p>
        </w:tc>
        <w:tc>
          <w:tcPr>
            <w:tcW w:type="dxa" w:w="2736"/>
          </w:tcPr>
          <w:p>
            <w:pPr>
              <w:spacing w:after="0"/>
            </w:pPr>
            <w:r/>
            <w:r>
              <w:rPr>
                <w:sz w:val="15"/>
              </w:rPr>
              <w:t>pkg/middleware/requestid.go</w:t>
            </w:r>
          </w:p>
        </w:tc>
        <w:tc>
          <w:tcPr>
            <w:tcW w:type="dxa" w:w="4680"/>
          </w:tcPr>
          <w:p>
            <w:pPr>
              <w:spacing w:after="0"/>
            </w:pPr>
            <w:r/>
            <w:r>
              <w:rPr>
                <w:sz w:val="15"/>
              </w:rPr>
              <w:t>Accepts a client X-Request-Id only if it passes a printable/length allowlist; otherwise generates one. Sets the response header and the context value.</w:t>
            </w:r>
          </w:p>
        </w:tc>
      </w:tr>
      <w:tr>
        <w:trPr>
          <w:cantSplit/>
        </w:trPr>
        <w:tc>
          <w:tcPr>
            <w:tcW w:type="dxa" w:w="1944"/>
          </w:tcPr>
          <w:p>
            <w:pPr>
              <w:spacing w:after="0"/>
            </w:pPr>
            <w:r/>
            <w:r>
              <w:rPr>
                <w:sz w:val="15"/>
              </w:rPr>
              <w:t>Logging</w:t>
            </w:r>
          </w:p>
        </w:tc>
        <w:tc>
          <w:tcPr>
            <w:tcW w:type="dxa" w:w="2736"/>
          </w:tcPr>
          <w:p>
            <w:pPr>
              <w:spacing w:after="0"/>
            </w:pPr>
            <w:r/>
            <w:r>
              <w:rPr>
                <w:sz w:val="15"/>
              </w:rPr>
              <w:t>pkg/middleware/logging.go</w:t>
            </w:r>
          </w:p>
        </w:tc>
        <w:tc>
          <w:tcPr>
            <w:tcW w:type="dxa" w:w="4680"/>
          </w:tcPr>
          <w:p>
            <w:pPr>
              <w:spacing w:after="0"/>
            </w:pPr>
            <w:r/>
            <w:r>
              <w:rPr>
                <w:sz w:val="15"/>
              </w:rPr>
              <w:t>Wraps the ResponseWriter, logs method, path, status, bytes and duration with the request id.</w:t>
            </w:r>
          </w:p>
        </w:tc>
      </w:tr>
      <w:tr>
        <w:trPr>
          <w:cantSplit/>
        </w:trPr>
        <w:tc>
          <w:tcPr>
            <w:tcW w:type="dxa" w:w="1944"/>
          </w:tcPr>
          <w:p>
            <w:pPr>
              <w:spacing w:after="0"/>
            </w:pPr>
            <w:r/>
            <w:r>
              <w:rPr>
                <w:sz w:val="15"/>
              </w:rPr>
              <w:t>Recovery</w:t>
            </w:r>
          </w:p>
        </w:tc>
        <w:tc>
          <w:tcPr>
            <w:tcW w:type="dxa" w:w="2736"/>
          </w:tcPr>
          <w:p>
            <w:pPr>
              <w:spacing w:after="0"/>
            </w:pPr>
            <w:r/>
            <w:r>
              <w:rPr>
                <w:sz w:val="15"/>
              </w:rPr>
              <w:t>pkg/middleware/recovery.go</w:t>
            </w:r>
          </w:p>
        </w:tc>
        <w:tc>
          <w:tcPr>
            <w:tcW w:type="dxa" w:w="4680"/>
          </w:tcPr>
          <w:p>
            <w:pPr>
              <w:spacing w:after="0"/>
            </w:pPr>
            <w:r/>
            <w:r>
              <w:rPr>
                <w:sz w:val="15"/>
              </w:rPr>
              <w:t>Catches panics, logs the last 8 KiB of the stack, returns a generic 500 envelope.</w:t>
            </w:r>
          </w:p>
        </w:tc>
      </w:tr>
      <w:tr>
        <w:trPr>
          <w:cantSplit/>
        </w:trPr>
        <w:tc>
          <w:tcPr>
            <w:tcW w:type="dxa" w:w="1944"/>
          </w:tcPr>
          <w:p>
            <w:pPr>
              <w:spacing w:after="0"/>
            </w:pPr>
            <w:r/>
            <w:r>
              <w:rPr>
                <w:sz w:val="15"/>
              </w:rPr>
              <w:t>SecurityHeaders</w:t>
            </w:r>
          </w:p>
        </w:tc>
        <w:tc>
          <w:tcPr>
            <w:tcW w:type="dxa" w:w="2736"/>
          </w:tcPr>
          <w:p>
            <w:pPr>
              <w:spacing w:after="0"/>
            </w:pPr>
            <w:r/>
            <w:r>
              <w:rPr>
                <w:sz w:val="15"/>
              </w:rPr>
              <w:t>pkg/middleware/security.go</w:t>
            </w:r>
          </w:p>
        </w:tc>
        <w:tc>
          <w:tcPr>
            <w:tcW w:type="dxa" w:w="4680"/>
          </w:tcPr>
          <w:p>
            <w:pPr>
              <w:spacing w:after="0"/>
            </w:pPr>
            <w:r/>
            <w:r>
              <w:rPr>
                <w:sz w:val="15"/>
              </w:rPr>
              <w:t>X-Content-Type-Options: nosniff, X-Frame-Options: DENY, Referrer-Policy: no-referrer, X-XSS-Protection, Permissions-Policy.</w:t>
            </w:r>
          </w:p>
        </w:tc>
      </w:tr>
      <w:tr>
        <w:trPr>
          <w:cantSplit/>
        </w:trPr>
        <w:tc>
          <w:tcPr>
            <w:tcW w:type="dxa" w:w="1944"/>
          </w:tcPr>
          <w:p>
            <w:pPr>
              <w:spacing w:after="0"/>
            </w:pPr>
            <w:r/>
            <w:r>
              <w:rPr>
                <w:sz w:val="15"/>
              </w:rPr>
              <w:t>BodyLimit</w:t>
            </w:r>
          </w:p>
        </w:tc>
        <w:tc>
          <w:tcPr>
            <w:tcW w:type="dxa" w:w="2736"/>
          </w:tcPr>
          <w:p>
            <w:pPr>
              <w:spacing w:after="0"/>
            </w:pPr>
            <w:r/>
            <w:r>
              <w:rPr>
                <w:sz w:val="15"/>
              </w:rPr>
              <w:t>pkg/middleware/security.go</w:t>
            </w:r>
          </w:p>
        </w:tc>
        <w:tc>
          <w:tcPr>
            <w:tcW w:type="dxa" w:w="4680"/>
          </w:tcPr>
          <w:p>
            <w:pPr>
              <w:spacing w:after="0"/>
            </w:pPr>
            <w:r/>
            <w:r>
              <w:rPr>
                <w:sz w:val="15"/>
              </w:rPr>
              <w:t>413 on a declared Content-Length above the limit; http.MaxBytesReader otherwise.</w:t>
            </w:r>
          </w:p>
        </w:tc>
      </w:tr>
      <w:tr>
        <w:trPr>
          <w:cantSplit/>
        </w:trPr>
        <w:tc>
          <w:tcPr>
            <w:tcW w:type="dxa" w:w="1944"/>
          </w:tcPr>
          <w:p>
            <w:pPr>
              <w:spacing w:after="0"/>
            </w:pPr>
            <w:r/>
            <w:r>
              <w:rPr>
                <w:sz w:val="15"/>
              </w:rPr>
              <w:t>CORS</w:t>
            </w:r>
          </w:p>
        </w:tc>
        <w:tc>
          <w:tcPr>
            <w:tcW w:type="dxa" w:w="2736"/>
          </w:tcPr>
          <w:p>
            <w:pPr>
              <w:spacing w:after="0"/>
            </w:pPr>
            <w:r/>
            <w:r>
              <w:rPr>
                <w:sz w:val="15"/>
              </w:rPr>
              <w:t>pkg/middleware/cors.go</w:t>
            </w:r>
          </w:p>
        </w:tc>
        <w:tc>
          <w:tcPr>
            <w:tcW w:type="dxa" w:w="4680"/>
          </w:tcPr>
          <w:p>
            <w:pPr>
              <w:spacing w:after="0"/>
            </w:pPr>
            <w:r/>
            <w:r>
              <w:rPr>
                <w:sz w:val="15"/>
              </w:rPr>
              <w:t>Allowlist match; '*' never echoes the origin and never sets Allow-Credentials.</w:t>
            </w:r>
          </w:p>
        </w:tc>
      </w:tr>
      <w:tr>
        <w:trPr>
          <w:cantSplit/>
        </w:trPr>
        <w:tc>
          <w:tcPr>
            <w:tcW w:type="dxa" w:w="1944"/>
          </w:tcPr>
          <w:p>
            <w:pPr>
              <w:spacing w:after="0"/>
            </w:pPr>
            <w:r/>
            <w:r>
              <w:rPr>
                <w:sz w:val="15"/>
              </w:rPr>
              <w:t>Rate limiter (generic)</w:t>
            </w:r>
          </w:p>
        </w:tc>
        <w:tc>
          <w:tcPr>
            <w:tcW w:type="dxa" w:w="2736"/>
          </w:tcPr>
          <w:p>
            <w:pPr>
              <w:spacing w:after="0"/>
            </w:pPr>
            <w:r/>
            <w:r>
              <w:rPr>
                <w:sz w:val="15"/>
              </w:rPr>
              <w:t>pkg/middleware/ratelimit.go</w:t>
            </w:r>
          </w:p>
        </w:tc>
        <w:tc>
          <w:tcPr>
            <w:tcW w:type="dxa" w:w="4680"/>
          </w:tcPr>
          <w:p>
            <w:pPr>
              <w:spacing w:after="0"/>
            </w:pPr>
            <w:r/>
            <w:r>
              <w:rPr>
                <w:sz w:val="15"/>
              </w:rPr>
              <w:t>Per-IP across /api/v1, default 300/min, fail-open on Redis errors.</w:t>
            </w:r>
          </w:p>
        </w:tc>
      </w:tr>
      <w:tr>
        <w:trPr>
          <w:cantSplit/>
        </w:trPr>
        <w:tc>
          <w:tcPr>
            <w:tcW w:type="dxa" w:w="1944"/>
          </w:tcPr>
          <w:p>
            <w:pPr>
              <w:spacing w:after="0"/>
            </w:pPr>
            <w:r/>
            <w:r>
              <w:rPr>
                <w:sz w:val="15"/>
              </w:rPr>
              <w:t>Rate limiter (login)</w:t>
            </w:r>
          </w:p>
        </w:tc>
        <w:tc>
          <w:tcPr>
            <w:tcW w:type="dxa" w:w="2736"/>
          </w:tcPr>
          <w:p>
            <w:pPr>
              <w:spacing w:after="0"/>
            </w:pPr>
            <w:r/>
            <w:r>
              <w:rPr>
                <w:sz w:val="15"/>
              </w:rPr>
              <w:t>pkg/middleware/ratelimit.go</w:t>
            </w:r>
          </w:p>
        </w:tc>
        <w:tc>
          <w:tcPr>
            <w:tcW w:type="dxa" w:w="4680"/>
          </w:tcPr>
          <w:p>
            <w:pPr>
              <w:spacing w:after="0"/>
            </w:pPr>
            <w:r/>
            <w:r>
              <w:rPr>
                <w:sz w:val="15"/>
              </w:rPr>
              <w:t>Per-IP for login/register/forgot/reset, default 10/min, fail-closed (503 when Redis is down).</w:t>
            </w:r>
          </w:p>
        </w:tc>
      </w:tr>
      <w:tr>
        <w:trPr>
          <w:cantSplit/>
        </w:trPr>
        <w:tc>
          <w:tcPr>
            <w:tcW w:type="dxa" w:w="1944"/>
          </w:tcPr>
          <w:p>
            <w:pPr>
              <w:spacing w:after="0"/>
            </w:pPr>
            <w:r/>
            <w:r>
              <w:rPr>
                <w:sz w:val="15"/>
              </w:rPr>
              <w:t>Idempotency</w:t>
            </w:r>
          </w:p>
        </w:tc>
        <w:tc>
          <w:tcPr>
            <w:tcW w:type="dxa" w:w="2736"/>
          </w:tcPr>
          <w:p>
            <w:pPr>
              <w:spacing w:after="0"/>
            </w:pPr>
            <w:r/>
            <w:r>
              <w:rPr>
                <w:sz w:val="15"/>
              </w:rPr>
              <w:t>pkg/middleware/idempotency.go</w:t>
            </w:r>
          </w:p>
        </w:tc>
        <w:tc>
          <w:tcPr>
            <w:tcW w:type="dxa" w:w="4680"/>
          </w:tcPr>
          <w:p>
            <w:pPr>
              <w:spacing w:after="0"/>
            </w:pPr>
            <w:r/>
            <w:r>
              <w:rPr>
                <w:sz w:val="15"/>
              </w:rPr>
              <w:t>Mandatory key on money endpoints; scoped to user + method + route; replay on same payload, 409 on different payload, fail-closed without Redis.</w:t>
            </w:r>
          </w:p>
        </w:tc>
      </w:tr>
      <w:tr>
        <w:trPr>
          <w:cantSplit/>
        </w:trPr>
        <w:tc>
          <w:tcPr>
            <w:tcW w:type="dxa" w:w="1944"/>
          </w:tcPr>
          <w:p>
            <w:pPr>
              <w:spacing w:after="0"/>
            </w:pPr>
            <w:r/>
            <w:r>
              <w:rPr>
                <w:sz w:val="15"/>
              </w:rPr>
              <w:t>Activity log</w:t>
            </w:r>
          </w:p>
        </w:tc>
        <w:tc>
          <w:tcPr>
            <w:tcW w:type="dxa" w:w="2736"/>
          </w:tcPr>
          <w:p>
            <w:pPr>
              <w:spacing w:after="0"/>
            </w:pPr>
            <w:r/>
            <w:r>
              <w:rPr>
                <w:sz w:val="15"/>
              </w:rPr>
              <w:t>internal/system/middleware.go</w:t>
            </w:r>
          </w:p>
        </w:tc>
        <w:tc>
          <w:tcPr>
            <w:tcW w:type="dxa" w:w="4680"/>
          </w:tcPr>
          <w:p>
            <w:pPr>
              <w:spacing w:after="0"/>
            </w:pPr>
            <w:r/>
            <w:r>
              <w:rPr>
                <w:sz w:val="15"/>
              </w:rPr>
              <w:t>Records mutations into activity_logs, skipping the two noisy paths it is given.</w:t>
            </w:r>
          </w:p>
        </w:tc>
      </w:tr>
    </w:tbl>
    <w:p>
      <w:pPr>
        <w:spacing w:after="200"/>
      </w:pPr>
      <w:r>
        <w:rPr>
          <w:i/>
          <w:color w:val="555F6D"/>
          <w:sz w:val="17"/>
        </w:rPr>
        <w:t>Table 23. Middleware chain, in mount order</w:t>
      </w:r>
    </w:p>
    <w:p>
      <w:bookmarkStart w:id="1040" w:name="_Toc1040"/>
      <w:pPr>
        <w:pStyle w:val="Heading2"/>
      </w:pPr>
      <w:r>
        <w:t>7.4 Module inventory</w:t>
      </w:r>
      <w:bookmarkEnd w:id="1040"/>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1872"/>
            <w:shd w:val="clear" w:color="auto" w:fill="1F3A5F"/>
          </w:tcPr>
          <w:p>
            <w:pPr>
              <w:spacing w:after="0"/>
            </w:pPr>
            <w:r/>
            <w:r>
              <w:rPr>
                <w:b/>
                <w:color w:val="FFFFFF"/>
                <w:sz w:val="15"/>
              </w:rPr>
              <w:t>Package</w:t>
            </w:r>
          </w:p>
        </w:tc>
        <w:tc>
          <w:tcPr>
            <w:tcW w:type="dxa" w:w="1152"/>
            <w:shd w:val="clear" w:color="auto" w:fill="1F3A5F"/>
          </w:tcPr>
          <w:p>
            <w:pPr>
              <w:spacing w:after="0"/>
            </w:pPr>
            <w:r/>
            <w:r>
              <w:rPr>
                <w:b/>
                <w:color w:val="FFFFFF"/>
                <w:sz w:val="15"/>
              </w:rPr>
              <w:t>Handlers</w:t>
            </w:r>
          </w:p>
        </w:tc>
        <w:tc>
          <w:tcPr>
            <w:tcW w:type="dxa" w:w="6336"/>
            <w:shd w:val="clear" w:color="auto" w:fill="1F3A5F"/>
          </w:tcPr>
          <w:p>
            <w:pPr>
              <w:spacing w:after="0"/>
            </w:pPr>
            <w:r/>
            <w:r>
              <w:rPr>
                <w:b/>
                <w:color w:val="FFFFFF"/>
                <w:sz w:val="15"/>
              </w:rPr>
              <w:t>Responsibility</w:t>
            </w:r>
          </w:p>
        </w:tc>
      </w:tr>
      <w:tr>
        <w:trPr>
          <w:cantSplit/>
        </w:trPr>
        <w:tc>
          <w:tcPr>
            <w:tcW w:type="dxa" w:w="1872"/>
          </w:tcPr>
          <w:p>
            <w:pPr>
              <w:spacing w:after="0"/>
            </w:pPr>
            <w:r/>
            <w:r>
              <w:rPr>
                <w:sz w:val="15"/>
              </w:rPr>
              <w:t>account</w:t>
            </w:r>
          </w:p>
        </w:tc>
        <w:tc>
          <w:tcPr>
            <w:tcW w:type="dxa" w:w="1152"/>
          </w:tcPr>
          <w:p>
            <w:pPr>
              <w:spacing w:after="0"/>
            </w:pPr>
            <w:r/>
            <w:r>
              <w:rPr>
                <w:sz w:val="15"/>
              </w:rPr>
              <w:t>4</w:t>
            </w:r>
          </w:p>
        </w:tc>
        <w:tc>
          <w:tcPr>
            <w:tcW w:type="dxa" w:w="6336"/>
          </w:tcPr>
          <w:p>
            <w:pPr>
              <w:spacing w:after="0"/>
            </w:pPr>
            <w:r/>
            <w:r>
              <w:rPr>
                <w:sz w:val="15"/>
              </w:rPr>
              <w:t>Buyer address book (B2B account)</w:t>
            </w:r>
          </w:p>
        </w:tc>
      </w:tr>
      <w:tr>
        <w:trPr>
          <w:cantSplit/>
        </w:trPr>
        <w:tc>
          <w:tcPr>
            <w:tcW w:type="dxa" w:w="1872"/>
          </w:tcPr>
          <w:p>
            <w:pPr>
              <w:spacing w:after="0"/>
            </w:pPr>
            <w:r/>
            <w:r>
              <w:rPr>
                <w:sz w:val="15"/>
              </w:rPr>
              <w:t>accounting</w:t>
            </w:r>
          </w:p>
        </w:tc>
        <w:tc>
          <w:tcPr>
            <w:tcW w:type="dxa" w:w="1152"/>
          </w:tcPr>
          <w:p>
            <w:pPr>
              <w:spacing w:after="0"/>
            </w:pPr>
            <w:r/>
            <w:r>
              <w:rPr>
                <w:sz w:val="15"/>
              </w:rPr>
              <w:t>22</w:t>
            </w:r>
          </w:p>
        </w:tc>
        <w:tc>
          <w:tcPr>
            <w:tcW w:type="dxa" w:w="6336"/>
          </w:tcPr>
          <w:p>
            <w:pPr>
              <w:spacing w:after="0"/>
            </w:pPr>
            <w:r/>
            <w:r>
              <w:rPr>
                <w:sz w:val="15"/>
              </w:rPr>
              <w:t>COA, departments, periods, journals, posting, reversal, ledger, advances</w:t>
            </w:r>
          </w:p>
        </w:tc>
      </w:tr>
      <w:tr>
        <w:trPr>
          <w:cantSplit/>
        </w:trPr>
        <w:tc>
          <w:tcPr>
            <w:tcW w:type="dxa" w:w="1872"/>
          </w:tcPr>
          <w:p>
            <w:pPr>
              <w:spacing w:after="0"/>
            </w:pPr>
            <w:r/>
            <w:r>
              <w:rPr>
                <w:sz w:val="15"/>
              </w:rPr>
              <w:t>auth</w:t>
            </w:r>
          </w:p>
        </w:tc>
        <w:tc>
          <w:tcPr>
            <w:tcW w:type="dxa" w:w="1152"/>
          </w:tcPr>
          <w:p>
            <w:pPr>
              <w:spacing w:after="0"/>
            </w:pPr>
            <w:r/>
            <w:r>
              <w:rPr>
                <w:sz w:val="15"/>
              </w:rPr>
              <w:t>10</w:t>
            </w:r>
          </w:p>
        </w:tc>
        <w:tc>
          <w:tcPr>
            <w:tcW w:type="dxa" w:w="6336"/>
          </w:tcPr>
          <w:p>
            <w:pPr>
              <w:spacing w:after="0"/>
            </w:pPr>
            <w:r/>
            <w:r>
              <w:rPr>
                <w:sz w:val="15"/>
              </w:rPr>
              <w:t>Login, register, password reset, me, logout, tokens, permission resolution</w:t>
            </w:r>
          </w:p>
        </w:tc>
      </w:tr>
      <w:tr>
        <w:trPr>
          <w:cantSplit/>
        </w:trPr>
        <w:tc>
          <w:tcPr>
            <w:tcW w:type="dxa" w:w="1872"/>
          </w:tcPr>
          <w:p>
            <w:pPr>
              <w:spacing w:after="0"/>
            </w:pPr>
            <w:r/>
            <w:r>
              <w:rPr>
                <w:sz w:val="15"/>
              </w:rPr>
              <w:t>cart</w:t>
            </w:r>
          </w:p>
        </w:tc>
        <w:tc>
          <w:tcPr>
            <w:tcW w:type="dxa" w:w="1152"/>
          </w:tcPr>
          <w:p>
            <w:pPr>
              <w:spacing w:after="0"/>
            </w:pPr>
            <w:r/>
            <w:r>
              <w:rPr>
                <w:sz w:val="15"/>
              </w:rPr>
              <w:t>6</w:t>
            </w:r>
          </w:p>
        </w:tc>
        <w:tc>
          <w:tcPr>
            <w:tcW w:type="dxa" w:w="6336"/>
          </w:tcPr>
          <w:p>
            <w:pPr>
              <w:spacing w:after="0"/>
            </w:pPr>
            <w:r/>
            <w:r>
              <w:rPr>
                <w:sz w:val="15"/>
              </w:rPr>
              <w:t>E-commerce cart and checkout</w:t>
            </w:r>
          </w:p>
        </w:tc>
      </w:tr>
      <w:tr>
        <w:trPr>
          <w:cantSplit/>
        </w:trPr>
        <w:tc>
          <w:tcPr>
            <w:tcW w:type="dxa" w:w="1872"/>
          </w:tcPr>
          <w:p>
            <w:pPr>
              <w:spacing w:after="0"/>
            </w:pPr>
            <w:r/>
            <w:r>
              <w:rPr>
                <w:sz w:val="15"/>
              </w:rPr>
              <w:t>cashier</w:t>
            </w:r>
          </w:p>
        </w:tc>
        <w:tc>
          <w:tcPr>
            <w:tcW w:type="dxa" w:w="1152"/>
          </w:tcPr>
          <w:p>
            <w:pPr>
              <w:spacing w:after="0"/>
            </w:pPr>
            <w:r/>
            <w:r>
              <w:rPr>
                <w:sz w:val="15"/>
              </w:rPr>
              <w:t>8</w:t>
            </w:r>
          </w:p>
        </w:tc>
        <w:tc>
          <w:tcPr>
            <w:tcW w:type="dxa" w:w="6336"/>
          </w:tcPr>
          <w:p>
            <w:pPr>
              <w:spacing w:after="0"/>
            </w:pPr>
            <w:r/>
            <w:r>
              <w:rPr>
                <w:sz w:val="15"/>
              </w:rPr>
              <w:t>Shift open/close, drawer entries, cash movements</w:t>
            </w:r>
          </w:p>
        </w:tc>
      </w:tr>
      <w:tr>
        <w:trPr>
          <w:cantSplit/>
        </w:trPr>
        <w:tc>
          <w:tcPr>
            <w:tcW w:type="dxa" w:w="1872"/>
          </w:tcPr>
          <w:p>
            <w:pPr>
              <w:spacing w:after="0"/>
            </w:pPr>
            <w:r/>
            <w:r>
              <w:rPr>
                <w:sz w:val="15"/>
              </w:rPr>
              <w:t>catalog</w:t>
            </w:r>
          </w:p>
        </w:tc>
        <w:tc>
          <w:tcPr>
            <w:tcW w:type="dxa" w:w="1152"/>
          </w:tcPr>
          <w:p>
            <w:pPr>
              <w:spacing w:after="0"/>
            </w:pPr>
            <w:r/>
            <w:r>
              <w:rPr>
                <w:sz w:val="15"/>
              </w:rPr>
              <w:t>27</w:t>
            </w:r>
          </w:p>
        </w:tc>
        <w:tc>
          <w:tcPr>
            <w:tcW w:type="dxa" w:w="6336"/>
          </w:tcPr>
          <w:p>
            <w:pPr>
              <w:spacing w:after="0"/>
            </w:pPr>
            <w:r/>
            <w:r>
              <w:rPr>
                <w:sz w:val="15"/>
              </w:rPr>
              <w:t>Products, categories, units, brands, product units, barcodes</w:t>
            </w:r>
          </w:p>
        </w:tc>
      </w:tr>
      <w:tr>
        <w:trPr>
          <w:cantSplit/>
        </w:trPr>
        <w:tc>
          <w:tcPr>
            <w:tcW w:type="dxa" w:w="1872"/>
          </w:tcPr>
          <w:p>
            <w:pPr>
              <w:spacing w:after="0"/>
            </w:pPr>
            <w:r/>
            <w:r>
              <w:rPr>
                <w:sz w:val="15"/>
              </w:rPr>
              <w:t>distribution</w:t>
            </w:r>
          </w:p>
        </w:tc>
        <w:tc>
          <w:tcPr>
            <w:tcW w:type="dxa" w:w="1152"/>
          </w:tcPr>
          <w:p>
            <w:pPr>
              <w:spacing w:after="0"/>
            </w:pPr>
            <w:r/>
            <w:r>
              <w:rPr>
                <w:sz w:val="15"/>
              </w:rPr>
              <w:t>20</w:t>
            </w:r>
          </w:p>
        </w:tc>
        <w:tc>
          <w:tcPr>
            <w:tcW w:type="dxa" w:w="6336"/>
          </w:tcPr>
          <w:p>
            <w:pPr>
              <w:spacing w:after="0"/>
            </w:pPr>
            <w:r/>
            <w:r>
              <w:rPr>
                <w:sz w:val="15"/>
              </w:rPr>
              <w:t>Delivery orders, dispatches, shipments, tracking, fleet, LHPP</w:t>
            </w:r>
          </w:p>
        </w:tc>
      </w:tr>
      <w:tr>
        <w:trPr>
          <w:cantSplit/>
        </w:trPr>
        <w:tc>
          <w:tcPr>
            <w:tcW w:type="dxa" w:w="1872"/>
          </w:tcPr>
          <w:p>
            <w:pPr>
              <w:spacing w:after="0"/>
            </w:pPr>
            <w:r/>
            <w:r>
              <w:rPr>
                <w:sz w:val="15"/>
              </w:rPr>
              <w:t>finance</w:t>
            </w:r>
          </w:p>
        </w:tc>
        <w:tc>
          <w:tcPr>
            <w:tcW w:type="dxa" w:w="1152"/>
          </w:tcPr>
          <w:p>
            <w:pPr>
              <w:spacing w:after="0"/>
            </w:pPr>
            <w:r/>
            <w:r>
              <w:rPr>
                <w:sz w:val="15"/>
              </w:rPr>
              <w:t>24</w:t>
            </w:r>
          </w:p>
        </w:tc>
        <w:tc>
          <w:tcPr>
            <w:tcW w:type="dxa" w:w="6336"/>
          </w:tcPr>
          <w:p>
            <w:pPr>
              <w:spacing w:after="0"/>
            </w:pPr>
            <w:r/>
            <w:r>
              <w:rPr>
                <w:sz w:val="15"/>
              </w:rPr>
              <w:t>Invoices, payments, cashflows, payment vouchers, proof upload, Midtrans</w:t>
            </w:r>
          </w:p>
        </w:tc>
      </w:tr>
      <w:tr>
        <w:trPr>
          <w:cantSplit/>
        </w:trPr>
        <w:tc>
          <w:tcPr>
            <w:tcW w:type="dxa" w:w="1872"/>
          </w:tcPr>
          <w:p>
            <w:pPr>
              <w:spacing w:after="0"/>
            </w:pPr>
            <w:r/>
            <w:r>
              <w:rPr>
                <w:sz w:val="15"/>
              </w:rPr>
              <w:t>galon</w:t>
            </w:r>
          </w:p>
        </w:tc>
        <w:tc>
          <w:tcPr>
            <w:tcW w:type="dxa" w:w="1152"/>
          </w:tcPr>
          <w:p>
            <w:pPr>
              <w:spacing w:after="0"/>
            </w:pPr>
            <w:r/>
            <w:r>
              <w:rPr>
                <w:sz w:val="15"/>
              </w:rPr>
              <w:t>11</w:t>
            </w:r>
          </w:p>
        </w:tc>
        <w:tc>
          <w:tcPr>
            <w:tcW w:type="dxa" w:w="6336"/>
          </w:tcPr>
          <w:p>
            <w:pPr>
              <w:spacing w:after="0"/>
            </w:pPr>
            <w:r/>
            <w:r>
              <w:rPr>
                <w:sz w:val="15"/>
              </w:rPr>
              <w:t>Water-container transactions and loans</w:t>
            </w:r>
          </w:p>
        </w:tc>
      </w:tr>
      <w:tr>
        <w:trPr>
          <w:cantSplit/>
        </w:trPr>
        <w:tc>
          <w:tcPr>
            <w:tcW w:type="dxa" w:w="1872"/>
          </w:tcPr>
          <w:p>
            <w:pPr>
              <w:spacing w:after="0"/>
            </w:pPr>
            <w:r/>
            <w:r>
              <w:rPr>
                <w:sz w:val="15"/>
              </w:rPr>
              <w:t>geo</w:t>
            </w:r>
          </w:p>
        </w:tc>
        <w:tc>
          <w:tcPr>
            <w:tcW w:type="dxa" w:w="1152"/>
          </w:tcPr>
          <w:p>
            <w:pPr>
              <w:spacing w:after="0"/>
            </w:pPr>
            <w:r/>
            <w:r>
              <w:rPr>
                <w:sz w:val="15"/>
              </w:rPr>
              <w:t>2</w:t>
            </w:r>
          </w:p>
        </w:tc>
        <w:tc>
          <w:tcPr>
            <w:tcW w:type="dxa" w:w="6336"/>
          </w:tcPr>
          <w:p>
            <w:pPr>
              <w:spacing w:after="0"/>
            </w:pPr>
            <w:r/>
            <w:r>
              <w:rPr>
                <w:sz w:val="15"/>
              </w:rPr>
              <w:t>Geocoding and routing</w:t>
            </w:r>
          </w:p>
        </w:tc>
      </w:tr>
      <w:tr>
        <w:trPr>
          <w:cantSplit/>
        </w:trPr>
        <w:tc>
          <w:tcPr>
            <w:tcW w:type="dxa" w:w="1872"/>
          </w:tcPr>
          <w:p>
            <w:pPr>
              <w:spacing w:after="0"/>
            </w:pPr>
            <w:r/>
            <w:r>
              <w:rPr>
                <w:sz w:val="15"/>
              </w:rPr>
              <w:t>hr</w:t>
            </w:r>
          </w:p>
        </w:tc>
        <w:tc>
          <w:tcPr>
            <w:tcW w:type="dxa" w:w="1152"/>
          </w:tcPr>
          <w:p>
            <w:pPr>
              <w:spacing w:after="0"/>
            </w:pPr>
            <w:r/>
            <w:r>
              <w:rPr>
                <w:sz w:val="15"/>
              </w:rPr>
              <w:t>28</w:t>
            </w:r>
          </w:p>
        </w:tc>
        <w:tc>
          <w:tcPr>
            <w:tcW w:type="dxa" w:w="6336"/>
          </w:tcPr>
          <w:p>
            <w:pPr>
              <w:spacing w:after="0"/>
            </w:pPr>
            <w:r/>
            <w:r>
              <w:rPr>
                <w:sz w:val="15"/>
              </w:rPr>
              <w:t>Employees, attendance, leave, payroll, performance</w:t>
            </w:r>
          </w:p>
        </w:tc>
      </w:tr>
      <w:tr>
        <w:trPr>
          <w:cantSplit/>
        </w:trPr>
        <w:tc>
          <w:tcPr>
            <w:tcW w:type="dxa" w:w="1872"/>
          </w:tcPr>
          <w:p>
            <w:pPr>
              <w:spacing w:after="0"/>
            </w:pPr>
            <w:r/>
            <w:r>
              <w:rPr>
                <w:sz w:val="15"/>
              </w:rPr>
              <w:t>inventory</w:t>
            </w:r>
          </w:p>
        </w:tc>
        <w:tc>
          <w:tcPr>
            <w:tcW w:type="dxa" w:w="1152"/>
          </w:tcPr>
          <w:p>
            <w:pPr>
              <w:spacing w:after="0"/>
            </w:pPr>
            <w:r/>
            <w:r>
              <w:rPr>
                <w:sz w:val="15"/>
              </w:rPr>
              <w:t>13</w:t>
            </w:r>
          </w:p>
        </w:tc>
        <w:tc>
          <w:tcPr>
            <w:tcW w:type="dxa" w:w="6336"/>
          </w:tcPr>
          <w:p>
            <w:pPr>
              <w:spacing w:after="0"/>
            </w:pPr>
            <w:r/>
            <w:r>
              <w:rPr>
                <w:sz w:val="15"/>
              </w:rPr>
              <w:t>Stock, movements, stock-in/out, opname, transfers</w:t>
            </w:r>
          </w:p>
        </w:tc>
      </w:tr>
      <w:tr>
        <w:trPr>
          <w:cantSplit/>
        </w:trPr>
        <w:tc>
          <w:tcPr>
            <w:tcW w:type="dxa" w:w="1872"/>
          </w:tcPr>
          <w:p>
            <w:pPr>
              <w:spacing w:after="0"/>
            </w:pPr>
            <w:r/>
            <w:r>
              <w:rPr>
                <w:sz w:val="15"/>
              </w:rPr>
              <w:t>lhpp</w:t>
            </w:r>
          </w:p>
        </w:tc>
        <w:tc>
          <w:tcPr>
            <w:tcW w:type="dxa" w:w="1152"/>
          </w:tcPr>
          <w:p>
            <w:pPr>
              <w:spacing w:after="0"/>
            </w:pPr>
            <w:r/>
            <w:r>
              <w:rPr>
                <w:sz w:val="15"/>
              </w:rPr>
              <w:t>12</w:t>
            </w:r>
          </w:p>
        </w:tc>
        <w:tc>
          <w:tcPr>
            <w:tcW w:type="dxa" w:w="6336"/>
          </w:tcPr>
          <w:p>
            <w:pPr>
              <w:spacing w:after="0"/>
            </w:pPr>
            <w:r/>
            <w:r>
              <w:rPr>
                <w:sz w:val="15"/>
              </w:rPr>
              <w:t>LHPP groups and settlement</w:t>
            </w:r>
          </w:p>
        </w:tc>
      </w:tr>
      <w:tr>
        <w:trPr>
          <w:cantSplit/>
        </w:trPr>
        <w:tc>
          <w:tcPr>
            <w:tcW w:type="dxa" w:w="1872"/>
          </w:tcPr>
          <w:p>
            <w:pPr>
              <w:spacing w:after="0"/>
            </w:pPr>
            <w:r/>
            <w:r>
              <w:rPr>
                <w:sz w:val="15"/>
              </w:rPr>
              <w:t>membership</w:t>
            </w:r>
          </w:p>
        </w:tc>
        <w:tc>
          <w:tcPr>
            <w:tcW w:type="dxa" w:w="1152"/>
          </w:tcPr>
          <w:p>
            <w:pPr>
              <w:spacing w:after="0"/>
            </w:pPr>
            <w:r/>
            <w:r>
              <w:rPr>
                <w:sz w:val="15"/>
              </w:rPr>
              <w:t>14</w:t>
            </w:r>
          </w:p>
        </w:tc>
        <w:tc>
          <w:tcPr>
            <w:tcW w:type="dxa" w:w="6336"/>
          </w:tcPr>
          <w:p>
            <w:pPr>
              <w:spacing w:after="0"/>
            </w:pPr>
            <w:r/>
            <w:r>
              <w:rPr>
                <w:sz w:val="15"/>
              </w:rPr>
              <w:t>Memberships, tiers, points, enrolment</w:t>
            </w:r>
          </w:p>
        </w:tc>
      </w:tr>
      <w:tr>
        <w:trPr>
          <w:cantSplit/>
        </w:trPr>
        <w:tc>
          <w:tcPr>
            <w:tcW w:type="dxa" w:w="1872"/>
          </w:tcPr>
          <w:p>
            <w:pPr>
              <w:spacing w:after="0"/>
            </w:pPr>
            <w:r/>
            <w:r>
              <w:rPr>
                <w:sz w:val="15"/>
              </w:rPr>
              <w:t>partners</w:t>
            </w:r>
          </w:p>
        </w:tc>
        <w:tc>
          <w:tcPr>
            <w:tcW w:type="dxa" w:w="1152"/>
          </w:tcPr>
          <w:p>
            <w:pPr>
              <w:spacing w:after="0"/>
            </w:pPr>
            <w:r/>
            <w:r>
              <w:rPr>
                <w:sz w:val="15"/>
              </w:rPr>
              <w:t>13</w:t>
            </w:r>
          </w:p>
        </w:tc>
        <w:tc>
          <w:tcPr>
            <w:tcW w:type="dxa" w:w="6336"/>
          </w:tcPr>
          <w:p>
            <w:pPr>
              <w:spacing w:after="0"/>
            </w:pPr>
            <w:r/>
            <w:r>
              <w:rPr>
                <w:sz w:val="15"/>
              </w:rPr>
              <w:t>Suppliers and customers</w:t>
            </w:r>
          </w:p>
        </w:tc>
      </w:tr>
      <w:tr>
        <w:trPr>
          <w:cantSplit/>
        </w:trPr>
        <w:tc>
          <w:tcPr>
            <w:tcW w:type="dxa" w:w="1872"/>
          </w:tcPr>
          <w:p>
            <w:pPr>
              <w:spacing w:after="0"/>
            </w:pPr>
            <w:r/>
            <w:r>
              <w:rPr>
                <w:sz w:val="15"/>
              </w:rPr>
              <w:t>purchasing</w:t>
            </w:r>
          </w:p>
        </w:tc>
        <w:tc>
          <w:tcPr>
            <w:tcW w:type="dxa" w:w="1152"/>
          </w:tcPr>
          <w:p>
            <w:pPr>
              <w:spacing w:after="0"/>
            </w:pPr>
            <w:r/>
            <w:r>
              <w:rPr>
                <w:sz w:val="15"/>
              </w:rPr>
              <w:t>19</w:t>
            </w:r>
          </w:p>
        </w:tc>
        <w:tc>
          <w:tcPr>
            <w:tcW w:type="dxa" w:w="6336"/>
          </w:tcPr>
          <w:p>
            <w:pPr>
              <w:spacing w:after="0"/>
            </w:pPr>
            <w:r/>
            <w:r>
              <w:rPr>
                <w:sz w:val="15"/>
              </w:rPr>
              <w:t>Purchase orders, goods receipts, vouchers, supplier debt</w:t>
            </w:r>
          </w:p>
        </w:tc>
      </w:tr>
      <w:tr>
        <w:trPr>
          <w:cantSplit/>
        </w:trPr>
        <w:tc>
          <w:tcPr>
            <w:tcW w:type="dxa" w:w="1872"/>
          </w:tcPr>
          <w:p>
            <w:pPr>
              <w:spacing w:after="0"/>
            </w:pPr>
            <w:r/>
            <w:r>
              <w:rPr>
                <w:sz w:val="15"/>
              </w:rPr>
              <w:t>reports</w:t>
            </w:r>
          </w:p>
        </w:tc>
        <w:tc>
          <w:tcPr>
            <w:tcW w:type="dxa" w:w="1152"/>
          </w:tcPr>
          <w:p>
            <w:pPr>
              <w:spacing w:after="0"/>
            </w:pPr>
            <w:r/>
            <w:r>
              <w:rPr>
                <w:sz w:val="15"/>
              </w:rPr>
              <w:t>15</w:t>
            </w:r>
          </w:p>
        </w:tc>
        <w:tc>
          <w:tcPr>
            <w:tcW w:type="dxa" w:w="6336"/>
          </w:tcPr>
          <w:p>
            <w:pPr>
              <w:spacing w:after="0"/>
            </w:pPr>
            <w:r/>
            <w:r>
              <w:rPr>
                <w:sz w:val="15"/>
              </w:rPr>
              <w:t>Analytical reports and report templates</w:t>
            </w:r>
          </w:p>
        </w:tc>
      </w:tr>
      <w:tr>
        <w:trPr>
          <w:cantSplit/>
        </w:trPr>
        <w:tc>
          <w:tcPr>
            <w:tcW w:type="dxa" w:w="1872"/>
          </w:tcPr>
          <w:p>
            <w:pPr>
              <w:spacing w:after="0"/>
            </w:pPr>
            <w:r/>
            <w:r>
              <w:rPr>
                <w:sz w:val="15"/>
              </w:rPr>
              <w:t>sales</w:t>
            </w:r>
          </w:p>
        </w:tc>
        <w:tc>
          <w:tcPr>
            <w:tcW w:type="dxa" w:w="1152"/>
          </w:tcPr>
          <w:p>
            <w:pPr>
              <w:spacing w:after="0"/>
            </w:pPr>
            <w:r/>
            <w:r>
              <w:rPr>
                <w:sz w:val="15"/>
              </w:rPr>
              <w:t>35</w:t>
            </w:r>
          </w:p>
        </w:tc>
        <w:tc>
          <w:tcPr>
            <w:tcW w:type="dxa" w:w="6336"/>
          </w:tcPr>
          <w:p>
            <w:pPr>
              <w:spacing w:after="0"/>
            </w:pPr>
            <w:r/>
            <w:r>
              <w:rPr>
                <w:sz w:val="15"/>
              </w:rPr>
              <w:t>Sales orders, POS, returns, vouchers, Midtrans, snap sweep</w:t>
            </w:r>
          </w:p>
        </w:tc>
      </w:tr>
      <w:tr>
        <w:trPr>
          <w:cantSplit/>
        </w:trPr>
        <w:tc>
          <w:tcPr>
            <w:tcW w:type="dxa" w:w="1872"/>
          </w:tcPr>
          <w:p>
            <w:pPr>
              <w:spacing w:after="0"/>
            </w:pPr>
            <w:r/>
            <w:r>
              <w:rPr>
                <w:sz w:val="15"/>
              </w:rPr>
              <w:t>salestargets</w:t>
            </w:r>
          </w:p>
        </w:tc>
        <w:tc>
          <w:tcPr>
            <w:tcW w:type="dxa" w:w="1152"/>
          </w:tcPr>
          <w:p>
            <w:pPr>
              <w:spacing w:after="0"/>
            </w:pPr>
            <w:r/>
            <w:r>
              <w:rPr>
                <w:sz w:val="15"/>
              </w:rPr>
              <w:t>5</w:t>
            </w:r>
          </w:p>
        </w:tc>
        <w:tc>
          <w:tcPr>
            <w:tcW w:type="dxa" w:w="6336"/>
          </w:tcPr>
          <w:p>
            <w:pPr>
              <w:spacing w:after="0"/>
            </w:pPr>
            <w:r/>
            <w:r>
              <w:rPr>
                <w:sz w:val="15"/>
              </w:rPr>
              <w:t>Targets per period/role/scope</w:t>
            </w:r>
          </w:p>
        </w:tc>
      </w:tr>
      <w:tr>
        <w:trPr>
          <w:cantSplit/>
        </w:trPr>
        <w:tc>
          <w:tcPr>
            <w:tcW w:type="dxa" w:w="1872"/>
          </w:tcPr>
          <w:p>
            <w:pPr>
              <w:spacing w:after="0"/>
            </w:pPr>
            <w:r/>
            <w:r>
              <w:rPr>
                <w:sz w:val="15"/>
              </w:rPr>
              <w:t>salestracking</w:t>
            </w:r>
          </w:p>
        </w:tc>
        <w:tc>
          <w:tcPr>
            <w:tcW w:type="dxa" w:w="1152"/>
          </w:tcPr>
          <w:p>
            <w:pPr>
              <w:spacing w:after="0"/>
            </w:pPr>
            <w:r/>
            <w:r>
              <w:rPr>
                <w:sz w:val="15"/>
              </w:rPr>
              <w:t>15</w:t>
            </w:r>
          </w:p>
        </w:tc>
        <w:tc>
          <w:tcPr>
            <w:tcW w:type="dxa" w:w="6336"/>
          </w:tcPr>
          <w:p>
            <w:pPr>
              <w:spacing w:after="0"/>
            </w:pPr>
            <w:r/>
            <w:r>
              <w:rPr>
                <w:sz w:val="15"/>
              </w:rPr>
              <w:t>Visits, activities, routes, GPS locations</w:t>
            </w:r>
          </w:p>
        </w:tc>
      </w:tr>
      <w:tr>
        <w:trPr>
          <w:cantSplit/>
        </w:trPr>
        <w:tc>
          <w:tcPr>
            <w:tcW w:type="dxa" w:w="1872"/>
          </w:tcPr>
          <w:p>
            <w:pPr>
              <w:spacing w:after="0"/>
            </w:pPr>
            <w:r/>
            <w:r>
              <w:rPr>
                <w:sz w:val="15"/>
              </w:rPr>
              <w:t>settings</w:t>
            </w:r>
          </w:p>
        </w:tc>
        <w:tc>
          <w:tcPr>
            <w:tcW w:type="dxa" w:w="1152"/>
          </w:tcPr>
          <w:p>
            <w:pPr>
              <w:spacing w:after="0"/>
            </w:pPr>
            <w:r/>
            <w:r>
              <w:rPr>
                <w:sz w:val="15"/>
              </w:rPr>
              <w:t>2</w:t>
            </w:r>
          </w:p>
        </w:tc>
        <w:tc>
          <w:tcPr>
            <w:tcW w:type="dxa" w:w="6336"/>
          </w:tcPr>
          <w:p>
            <w:pPr>
              <w:spacing w:after="0"/>
            </w:pPr>
            <w:r/>
            <w:r>
              <w:rPr>
                <w:sz w:val="15"/>
              </w:rPr>
              <w:t>Key/value application settings</w:t>
            </w:r>
          </w:p>
        </w:tc>
      </w:tr>
      <w:tr>
        <w:trPr>
          <w:cantSplit/>
        </w:trPr>
        <w:tc>
          <w:tcPr>
            <w:tcW w:type="dxa" w:w="1872"/>
          </w:tcPr>
          <w:p>
            <w:pPr>
              <w:spacing w:after="0"/>
            </w:pPr>
            <w:r/>
            <w:r>
              <w:rPr>
                <w:sz w:val="15"/>
              </w:rPr>
              <w:t>system</w:t>
            </w:r>
          </w:p>
        </w:tc>
        <w:tc>
          <w:tcPr>
            <w:tcW w:type="dxa" w:w="1152"/>
          </w:tcPr>
          <w:p>
            <w:pPr>
              <w:spacing w:after="0"/>
            </w:pPr>
            <w:r/>
            <w:r>
              <w:rPr>
                <w:sz w:val="15"/>
              </w:rPr>
              <w:t>25</w:t>
            </w:r>
          </w:p>
        </w:tc>
        <w:tc>
          <w:tcPr>
            <w:tcW w:type="dxa" w:w="6336"/>
          </w:tcPr>
          <w:p>
            <w:pPr>
              <w:spacing w:after="0"/>
            </w:pPr>
            <w:r/>
            <w:r>
              <w:rPr>
                <w:sz w:val="15"/>
              </w:rPr>
              <w:t>Users, roles, role-permissions, stores, activity log, notifications</w:t>
            </w:r>
          </w:p>
        </w:tc>
      </w:tr>
      <w:tr>
        <w:trPr>
          <w:cantSplit/>
        </w:trPr>
        <w:tc>
          <w:tcPr>
            <w:tcW w:type="dxa" w:w="1872"/>
          </w:tcPr>
          <w:p>
            <w:pPr>
              <w:spacing w:after="0"/>
            </w:pPr>
            <w:r/>
            <w:r>
              <w:rPr>
                <w:sz w:val="15"/>
              </w:rPr>
              <w:t>tickets</w:t>
            </w:r>
          </w:p>
        </w:tc>
        <w:tc>
          <w:tcPr>
            <w:tcW w:type="dxa" w:w="1152"/>
          </w:tcPr>
          <w:p>
            <w:pPr>
              <w:spacing w:after="0"/>
            </w:pPr>
            <w:r/>
            <w:r>
              <w:rPr>
                <w:sz w:val="15"/>
              </w:rPr>
              <w:t>5</w:t>
            </w:r>
          </w:p>
        </w:tc>
        <w:tc>
          <w:tcPr>
            <w:tcW w:type="dxa" w:w="6336"/>
          </w:tcPr>
          <w:p>
            <w:pPr>
              <w:spacing w:after="0"/>
            </w:pPr>
            <w:r/>
            <w:r>
              <w:rPr>
                <w:sz w:val="15"/>
              </w:rPr>
              <w:t>Support tickets and comments</w:t>
            </w:r>
          </w:p>
        </w:tc>
      </w:tr>
      <w:tr>
        <w:trPr>
          <w:cantSplit/>
        </w:trPr>
        <w:tc>
          <w:tcPr>
            <w:tcW w:type="dxa" w:w="1872"/>
          </w:tcPr>
          <w:p>
            <w:pPr>
              <w:spacing w:after="0"/>
            </w:pPr>
            <w:r/>
            <w:r>
              <w:rPr>
                <w:sz w:val="15"/>
              </w:rPr>
              <w:t>uploads</w:t>
            </w:r>
          </w:p>
        </w:tc>
        <w:tc>
          <w:tcPr>
            <w:tcW w:type="dxa" w:w="1152"/>
          </w:tcPr>
          <w:p>
            <w:pPr>
              <w:spacing w:after="0"/>
            </w:pPr>
            <w:r/>
            <w:r>
              <w:rPr>
                <w:sz w:val="15"/>
              </w:rPr>
              <w:t>4</w:t>
            </w:r>
          </w:p>
        </w:tc>
        <w:tc>
          <w:tcPr>
            <w:tcW w:type="dxa" w:w="6336"/>
          </w:tcPr>
          <w:p>
            <w:pPr>
              <w:spacing w:after="0"/>
            </w:pPr>
            <w:r/>
            <w:r>
              <w:rPr>
                <w:sz w:val="15"/>
              </w:rPr>
              <w:t>File upload and object serving</w:t>
            </w:r>
          </w:p>
        </w:tc>
      </w:tr>
      <w:tr>
        <w:trPr>
          <w:cantSplit/>
        </w:trPr>
        <w:tc>
          <w:tcPr>
            <w:tcW w:type="dxa" w:w="1872"/>
          </w:tcPr>
          <w:p>
            <w:pPr>
              <w:spacing w:after="0"/>
            </w:pPr>
            <w:r/>
            <w:r>
              <w:rPr>
                <w:sz w:val="15"/>
              </w:rPr>
              <w:t>warehousedeposit</w:t>
            </w:r>
          </w:p>
        </w:tc>
        <w:tc>
          <w:tcPr>
            <w:tcW w:type="dxa" w:w="1152"/>
          </w:tcPr>
          <w:p>
            <w:pPr>
              <w:spacing w:after="0"/>
            </w:pPr>
            <w:r/>
            <w:r>
              <w:rPr>
                <w:sz w:val="15"/>
              </w:rPr>
              <w:t>5</w:t>
            </w:r>
          </w:p>
        </w:tc>
        <w:tc>
          <w:tcPr>
            <w:tcW w:type="dxa" w:w="6336"/>
          </w:tcPr>
          <w:p>
            <w:pPr>
              <w:spacing w:after="0"/>
            </w:pPr>
            <w:r/>
            <w:r>
              <w:rPr>
                <w:sz w:val="15"/>
              </w:rPr>
              <w:t>Driver cash deposits</w:t>
            </w:r>
          </w:p>
        </w:tc>
      </w:tr>
      <w:tr>
        <w:trPr>
          <w:cantSplit/>
        </w:trPr>
        <w:tc>
          <w:tcPr>
            <w:tcW w:type="dxa" w:w="1872"/>
          </w:tcPr>
          <w:p>
            <w:pPr>
              <w:spacing w:after="0"/>
            </w:pPr>
            <w:r/>
            <w:r>
              <w:rPr>
                <w:sz w:val="15"/>
              </w:rPr>
              <w:t>warehouses</w:t>
            </w:r>
          </w:p>
        </w:tc>
        <w:tc>
          <w:tcPr>
            <w:tcW w:type="dxa" w:w="1152"/>
          </w:tcPr>
          <w:p>
            <w:pPr>
              <w:spacing w:after="0"/>
            </w:pPr>
            <w:r/>
            <w:r>
              <w:rPr>
                <w:sz w:val="15"/>
              </w:rPr>
              <w:t>6</w:t>
            </w:r>
          </w:p>
        </w:tc>
        <w:tc>
          <w:tcPr>
            <w:tcW w:type="dxa" w:w="6336"/>
          </w:tcPr>
          <w:p>
            <w:pPr>
              <w:spacing w:after="0"/>
            </w:pPr>
            <w:r/>
            <w:r>
              <w:rPr>
                <w:sz w:val="15"/>
              </w:rPr>
              <w:t>Warehouse master and options</w:t>
            </w:r>
          </w:p>
        </w:tc>
      </w:tr>
      <w:tr>
        <w:trPr>
          <w:cantSplit/>
        </w:trPr>
        <w:tc>
          <w:tcPr>
            <w:tcW w:type="dxa" w:w="1872"/>
          </w:tcPr>
          <w:p>
            <w:pPr>
              <w:spacing w:after="0"/>
            </w:pPr>
            <w:r/>
            <w:r>
              <w:rPr>
                <w:sz w:val="15"/>
              </w:rPr>
              <w:t>reportproxy</w:t>
            </w:r>
          </w:p>
        </w:tc>
        <w:tc>
          <w:tcPr>
            <w:tcW w:type="dxa" w:w="1152"/>
          </w:tcPr>
          <w:p>
            <w:pPr>
              <w:spacing w:after="0"/>
            </w:pPr>
            <w:r/>
            <w:r>
              <w:rPr>
                <w:sz w:val="15"/>
              </w:rPr>
              <w:t>3</w:t>
            </w:r>
          </w:p>
        </w:tc>
        <w:tc>
          <w:tcPr>
            <w:tcW w:type="dxa" w:w="6336"/>
          </w:tcPr>
          <w:p>
            <w:pPr>
              <w:spacing w:after="0"/>
            </w:pPr>
            <w:r/>
            <w:r>
              <w:rPr>
                <w:sz w:val="15"/>
              </w:rPr>
              <w:t>PDF/HTML render proxy</w:t>
            </w:r>
          </w:p>
        </w:tc>
      </w:tr>
      <w:tr>
        <w:trPr>
          <w:cantSplit/>
        </w:trPr>
        <w:tc>
          <w:tcPr>
            <w:tcW w:type="dxa" w:w="1872"/>
          </w:tcPr>
          <w:p>
            <w:pPr>
              <w:spacing w:after="0"/>
            </w:pPr>
            <w:r/>
            <w:r>
              <w:rPr>
                <w:sz w:val="15"/>
              </w:rPr>
              <w:t>health</w:t>
            </w:r>
          </w:p>
        </w:tc>
        <w:tc>
          <w:tcPr>
            <w:tcW w:type="dxa" w:w="1152"/>
          </w:tcPr>
          <w:p>
            <w:pPr>
              <w:spacing w:after="0"/>
            </w:pPr>
            <w:r/>
            <w:r>
              <w:rPr>
                <w:sz w:val="15"/>
              </w:rPr>
              <w:t>2</w:t>
            </w:r>
          </w:p>
        </w:tc>
        <w:tc>
          <w:tcPr>
            <w:tcW w:type="dxa" w:w="6336"/>
          </w:tcPr>
          <w:p>
            <w:pPr>
              <w:spacing w:after="0"/>
            </w:pPr>
            <w:r/>
            <w:r>
              <w:rPr>
                <w:sz w:val="15"/>
              </w:rPr>
              <w:t>/health and /ready</w:t>
            </w:r>
          </w:p>
        </w:tc>
      </w:tr>
      <w:tr>
        <w:trPr>
          <w:cantSplit/>
        </w:trPr>
        <w:tc>
          <w:tcPr>
            <w:tcW w:type="dxa" w:w="1872"/>
          </w:tcPr>
          <w:p>
            <w:pPr>
              <w:spacing w:after="0"/>
            </w:pPr>
            <w:r/>
            <w:r>
              <w:rPr>
                <w:sz w:val="15"/>
              </w:rPr>
              <w:t>apidocs</w:t>
            </w:r>
          </w:p>
        </w:tc>
        <w:tc>
          <w:tcPr>
            <w:tcW w:type="dxa" w:w="1152"/>
          </w:tcPr>
          <w:p>
            <w:pPr>
              <w:spacing w:after="0"/>
            </w:pPr>
            <w:r/>
            <w:r>
              <w:rPr>
                <w:sz w:val="15"/>
              </w:rPr>
              <w:t>2</w:t>
            </w:r>
          </w:p>
        </w:tc>
        <w:tc>
          <w:tcPr>
            <w:tcW w:type="dxa" w:w="6336"/>
          </w:tcPr>
          <w:p>
            <w:pPr>
              <w:spacing w:after="0"/>
            </w:pPr>
            <w:r/>
            <w:r>
              <w:rPr>
                <w:sz w:val="15"/>
              </w:rPr>
              <w:t>/docs and /openapi.yaml</w:t>
            </w:r>
          </w:p>
        </w:tc>
      </w:tr>
    </w:tbl>
    <w:p>
      <w:pPr>
        <w:spacing w:after="200"/>
      </w:pPr>
      <w:r>
        <w:rPr>
          <w:i/>
          <w:color w:val="555F6D"/>
          <w:sz w:val="17"/>
        </w:rPr>
        <w:t>Table 24. Backend module inventory (handler counts from the handler.go files)</w:t>
      </w:r>
    </w:p>
    <w:p>
      <w:bookmarkStart w:id="1041" w:name="_Toc1041"/>
      <w:pPr>
        <w:pStyle w:val="Heading2"/>
      </w:pPr>
      <w:r>
        <w:t>7.5 Layering</w:t>
      </w:r>
      <w:bookmarkEnd w:id="1041"/>
    </w:p>
    <w:p>
      <w:r>
        <w:rPr>
          <w:i w:val="0"/>
        </w:rPr>
        <w:t>Every module follows the same shape: handler.go decodes HTTP and maps errors; service.go holds the rules and the transaction boundary; repository.go wraps the sqlc Querier (or, for the newest modules, hand-written SQL); model.go holds the domain and wire types. Handlers never touch the pool directly except for a few read-only convenience queries in main.go wiring.</w:t>
      </w:r>
    </w:p>
    <w:p>
      <w:pPr>
        <w:spacing w:after="160"/>
        <w:ind w:left="216"/>
        <w:pBdr>
          <w:left w:val="single" w:sz="18" w:space="6" w:color="555F6D"/>
        </w:pBdr>
      </w:pPr>
      <w:r>
        <w:rPr>
          <w:b/>
          <w:color w:val="555F6D"/>
          <w:sz w:val="19"/>
        </w:rPr>
        <w:t xml:space="preserve">Inconsistency: </w:t>
      </w:r>
      <w:r>
        <w:rPr>
          <w:sz w:val="19"/>
        </w:rPr>
        <w:t>internal/tickets, internal/salestargets, internal/reports/templates and internal/warehousedeposit use hand-written SQL instead of sqlc because their tables are missing from apps/backend/db/schema.sql (finding F-19). The layering is the same; only the query source differs.</w:t>
      </w:r>
    </w:p>
    <w:p>
      <w:bookmarkStart w:id="1042" w:name="_Toc1042"/>
      <w:pPr>
        <w:pStyle w:val="Heading2"/>
      </w:pPr>
      <w:r>
        <w:t>7.6 Transactions and concurrency</w:t>
      </w:r>
      <w:bookmarkEnd w:id="1042"/>
    </w:p>
    <w:p>
      <w:pPr>
        <w:pStyle w:val="ListBullet"/>
      </w:pPr>
      <w:r>
        <w:t>Financial writes, stock moves and state transitions run inside pool.Begin() … Commit() with a deferred Rollback.</w:t>
      </w:r>
    </w:p>
    <w:p>
      <w:pPr>
        <w:pStyle w:val="ListBullet"/>
      </w:pPr>
      <w:r>
        <w:t>Order rows are locked with SELECT … FOR UPDATE before a status transition (OrderByIDForUpdate, GetShiftByIDForUpdate, LockJournal).</w:t>
      </w:r>
    </w:p>
    <w:p>
      <w:pPr>
        <w:pStyle w:val="ListBullet"/>
      </w:pPr>
      <w:r>
        <w:t>Stock rows are locked before reservation/deduction (GetSalesStockRowForUpdate). Items are sorted by product_id before deduction so two concurrent carts lock in the same order.</w:t>
      </w:r>
    </w:p>
    <w:p>
      <w:pPr>
        <w:pStyle w:val="ListBullet"/>
      </w:pPr>
      <w:r>
        <w:t>Document numbers are allocated with a single INSERT … ON CONFLICT DO UPDATE … RETURNING counter inside the caller's transaction (pkg/seq), which is why two concurrent sales can never receive the same number — verified by TestConcurrentSalesOrderNumbers.</w:t>
      </w:r>
    </w:p>
    <w:p>
      <w:pPr>
        <w:pStyle w:val="ListBullet"/>
      </w:pPr>
      <w:r>
        <w:t>Idempotency records are written to Redis and replayed by the middleware; the response body and status are stored, so a replay is byte-identical.</w:t>
      </w:r>
    </w:p>
    <w:p>
      <w:bookmarkStart w:id="1043" w:name="_Toc1043"/>
      <w:pPr>
        <w:pStyle w:val="Heading2"/>
      </w:pPr>
      <w:r>
        <w:t>7.7 Database access architecture</w:t>
      </w:r>
      <w:bookmarkEnd w:id="1043"/>
    </w:p>
    <w:p>
      <w:pPr>
        <w:keepNext/>
        <w:spacing w:before="80" w:after="40"/>
        <w:jc w:val="center"/>
      </w:pPr>
      <w:r>
        <w:drawing>
          <wp:inline xmlns:a="http://schemas.openxmlformats.org/drawingml/2006/main" xmlns:pic="http://schemas.openxmlformats.org/drawingml/2006/picture">
            <wp:extent cx="6035040" cy="2085861"/>
            <wp:docPr id="5" name="Picture 5"/>
            <wp:cNvGraphicFramePr>
              <a:graphicFrameLocks noChangeAspect="1"/>
            </wp:cNvGraphicFramePr>
            <a:graphic>
              <a:graphicData uri="http://schemas.openxmlformats.org/drawingml/2006/picture">
                <pic:pic>
                  <pic:nvPicPr>
                    <pic:cNvPr id="0" name="fig-db-access.png"/>
                    <pic:cNvPicPr/>
                  </pic:nvPicPr>
                  <pic:blipFill>
                    <a:blip r:embed="rId15"/>
                    <a:stretch>
                      <a:fillRect/>
                    </a:stretch>
                  </pic:blipFill>
                  <pic:spPr>
                    <a:xfrm>
                      <a:off x="0" y="0"/>
                      <a:ext cx="6035040" cy="2085861"/>
                    </a:xfrm>
                    <a:prstGeom prst="rect"/>
                  </pic:spPr>
                </pic:pic>
              </a:graphicData>
            </a:graphic>
          </wp:inline>
        </w:drawing>
      </w:r>
    </w:p>
    <w:p>
      <w:pPr>
        <w:spacing w:after="40"/>
        <w:jc w:val="center"/>
      </w:pPr>
      <w:r>
        <w:rPr>
          <w:i/>
          <w:color w:val="555F6D"/>
          <w:sz w:val="17"/>
        </w:rPr>
        <w:t>Figure 5. Database access paths: sqlc-generated queries, the sequence allocator, and the Redis-backed idempotency store.</w:t>
      </w:r>
    </w:p>
    <w:p>
      <w:bookmarkStart w:id="1044" w:name="_Toc1044"/>
      <w:pPr>
        <w:pStyle w:val="Heading1"/>
        <w:pageBreakBefore/>
      </w:pPr>
      <w:r>
        <w:t>8. ERP documentation</w:t>
      </w:r>
      <w:bookmarkEnd w:id="1044"/>
    </w:p>
    <w:p>
      <w:bookmarkStart w:id="1045" w:name="_Toc1045"/>
      <w:pPr>
        <w:pStyle w:val="Heading2"/>
      </w:pPr>
      <w:r>
        <w:t>8.1 Identity and entry points</w:t>
      </w:r>
      <w:bookmarkEnd w:id="1045"/>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2160"/>
            <w:shd w:val="clear" w:color="auto" w:fill="1F3A5F"/>
          </w:tcPr>
          <w:p>
            <w:pPr>
              <w:spacing w:after="0"/>
            </w:pPr>
            <w:r/>
            <w:r>
              <w:rPr>
                <w:b/>
                <w:color w:val="FFFFFF"/>
                <w:sz w:val="16"/>
              </w:rPr>
              <w:t>Property</w:t>
            </w:r>
          </w:p>
        </w:tc>
        <w:tc>
          <w:tcPr>
            <w:tcW w:type="dxa" w:w="7200"/>
            <w:shd w:val="clear" w:color="auto" w:fill="1F3A5F"/>
          </w:tcPr>
          <w:p>
            <w:pPr>
              <w:spacing w:after="0"/>
            </w:pPr>
            <w:r/>
            <w:r>
              <w:rPr>
                <w:b/>
                <w:color w:val="FFFFFF"/>
                <w:sz w:val="16"/>
              </w:rPr>
              <w:t>Value</w:t>
            </w:r>
          </w:p>
        </w:tc>
      </w:tr>
      <w:tr>
        <w:trPr>
          <w:cantSplit/>
        </w:trPr>
        <w:tc>
          <w:tcPr>
            <w:tcW w:type="dxa" w:w="2160"/>
          </w:tcPr>
          <w:p>
            <w:pPr>
              <w:spacing w:after="0"/>
            </w:pPr>
            <w:r/>
            <w:r>
              <w:rPr>
                <w:sz w:val="16"/>
              </w:rPr>
              <w:t>Purpose</w:t>
            </w:r>
          </w:p>
        </w:tc>
        <w:tc>
          <w:tcPr>
            <w:tcW w:type="dxa" w:w="7200"/>
          </w:tcPr>
          <w:p>
            <w:pPr>
              <w:spacing w:after="0"/>
            </w:pPr>
            <w:r/>
            <w:r>
              <w:rPr>
                <w:sz w:val="16"/>
              </w:rPr>
              <w:t>Back-office operations for every internal role except the cashier's selling flow.</w:t>
            </w:r>
          </w:p>
        </w:tc>
      </w:tr>
      <w:tr>
        <w:trPr>
          <w:cantSplit/>
        </w:trPr>
        <w:tc>
          <w:tcPr>
            <w:tcW w:type="dxa" w:w="2160"/>
          </w:tcPr>
          <w:p>
            <w:pPr>
              <w:spacing w:after="0"/>
            </w:pPr>
            <w:r/>
            <w:r>
              <w:rPr>
                <w:sz w:val="16"/>
              </w:rPr>
              <w:t>Framework</w:t>
            </w:r>
          </w:p>
        </w:tc>
        <w:tc>
          <w:tcPr>
            <w:tcW w:type="dxa" w:w="7200"/>
          </w:tcPr>
          <w:p>
            <w:pPr>
              <w:spacing w:after="0"/>
            </w:pPr>
            <w:r/>
            <w:r>
              <w:rPr>
                <w:sz w:val="16"/>
              </w:rPr>
              <w:t>Vue 3 SPA, Vite 8, vue-router 5 (history mode), Pinia 4.</w:t>
            </w:r>
          </w:p>
        </w:tc>
      </w:tr>
      <w:tr>
        <w:trPr>
          <w:cantSplit/>
        </w:trPr>
        <w:tc>
          <w:tcPr>
            <w:tcW w:type="dxa" w:w="2160"/>
          </w:tcPr>
          <w:p>
            <w:pPr>
              <w:spacing w:after="0"/>
            </w:pPr>
            <w:r/>
            <w:r>
              <w:rPr>
                <w:sz w:val="16"/>
              </w:rPr>
              <w:t>Entry</w:t>
            </w:r>
          </w:p>
        </w:tc>
        <w:tc>
          <w:tcPr>
            <w:tcW w:type="dxa" w:w="7200"/>
          </w:tcPr>
          <w:p>
            <w:pPr>
              <w:spacing w:after="0"/>
            </w:pPr>
            <w:r/>
            <w:r>
              <w:rPr>
                <w:sz w:val="16"/>
              </w:rPr>
              <w:t>src/main.js → src/App.vue → src/router/index.js</w:t>
            </w:r>
          </w:p>
        </w:tc>
      </w:tr>
      <w:tr>
        <w:trPr>
          <w:cantSplit/>
        </w:trPr>
        <w:tc>
          <w:tcPr>
            <w:tcW w:type="dxa" w:w="2160"/>
          </w:tcPr>
          <w:p>
            <w:pPr>
              <w:spacing w:after="0"/>
            </w:pPr>
            <w:r/>
            <w:r>
              <w:rPr>
                <w:sz w:val="16"/>
              </w:rPr>
              <w:t>Layouts</w:t>
            </w:r>
          </w:p>
        </w:tc>
        <w:tc>
          <w:tcPr>
            <w:tcW w:type="dxa" w:w="7200"/>
          </w:tcPr>
          <w:p>
            <w:pPr>
              <w:spacing w:after="0"/>
            </w:pPr>
            <w:r/>
            <w:r>
              <w:rPr>
                <w:sz w:val="16"/>
              </w:rPr>
              <w:t>AuthLayout.vue (login), DefaultLayout.vue (sidebar + topbar + router-view)</w:t>
            </w:r>
          </w:p>
        </w:tc>
      </w:tr>
      <w:tr>
        <w:trPr>
          <w:cantSplit/>
        </w:trPr>
        <w:tc>
          <w:tcPr>
            <w:tcW w:type="dxa" w:w="2160"/>
          </w:tcPr>
          <w:p>
            <w:pPr>
              <w:spacing w:after="0"/>
            </w:pPr>
            <w:r/>
            <w:r>
              <w:rPr>
                <w:sz w:val="16"/>
              </w:rPr>
              <w:t>API client</w:t>
            </w:r>
          </w:p>
        </w:tc>
        <w:tc>
          <w:tcPr>
            <w:tcW w:type="dxa" w:w="7200"/>
          </w:tcPr>
          <w:p>
            <w:pPr>
              <w:spacing w:after="0"/>
            </w:pPr>
            <w:r/>
            <w:r>
              <w:rPr>
                <w:sz w:val="16"/>
              </w:rPr>
              <w:t>src/services/http.js — axios with baseURL VITE_API_URL || '/api/v1', 20 s timeout, bearer from session storage, Idempotency-Key fallback</w:t>
            </w:r>
          </w:p>
        </w:tc>
      </w:tr>
      <w:tr>
        <w:trPr>
          <w:cantSplit/>
        </w:trPr>
        <w:tc>
          <w:tcPr>
            <w:tcW w:type="dxa" w:w="2160"/>
          </w:tcPr>
          <w:p>
            <w:pPr>
              <w:spacing w:after="0"/>
            </w:pPr>
            <w:r/>
            <w:r>
              <w:rPr>
                <w:sz w:val="16"/>
              </w:rPr>
              <w:t>Auth store</w:t>
            </w:r>
          </w:p>
        </w:tc>
        <w:tc>
          <w:tcPr>
            <w:tcW w:type="dxa" w:w="7200"/>
          </w:tcPr>
          <w:p>
            <w:pPr>
              <w:spacing w:after="0"/>
            </w:pPr>
            <w:r/>
            <w:r>
              <w:rPr>
                <w:sz w:val="16"/>
              </w:rPr>
              <w:t>src/stores/auth.js — token, user, effective permissions, isERP, can(perm), checkSetup()</w:t>
            </w:r>
          </w:p>
        </w:tc>
      </w:tr>
      <w:tr>
        <w:trPr>
          <w:cantSplit/>
        </w:trPr>
        <w:tc>
          <w:tcPr>
            <w:tcW w:type="dxa" w:w="2160"/>
          </w:tcPr>
          <w:p>
            <w:pPr>
              <w:spacing w:after="0"/>
            </w:pPr>
            <w:r/>
            <w:r>
              <w:rPr>
                <w:sz w:val="16"/>
              </w:rPr>
              <w:t>Navigation</w:t>
            </w:r>
          </w:p>
        </w:tc>
        <w:tc>
          <w:tcPr>
            <w:tcW w:type="dxa" w:w="7200"/>
          </w:tcPr>
          <w:p>
            <w:pPr>
              <w:spacing w:after="0"/>
            </w:pPr>
            <w:r/>
            <w:r>
              <w:rPr>
                <w:sz w:val="16"/>
              </w:rPr>
              <w:t>src/config/navigation.js — MODULES metadata and NAV_ITEMS (perm-gated)</w:t>
            </w:r>
          </w:p>
        </w:tc>
      </w:tr>
      <w:tr>
        <w:trPr>
          <w:cantSplit/>
        </w:trPr>
        <w:tc>
          <w:tcPr>
            <w:tcW w:type="dxa" w:w="2160"/>
          </w:tcPr>
          <w:p>
            <w:pPr>
              <w:spacing w:after="0"/>
            </w:pPr>
            <w:r/>
            <w:r>
              <w:rPr>
                <w:sz w:val="16"/>
              </w:rPr>
              <w:t>Build</w:t>
            </w:r>
          </w:p>
        </w:tc>
        <w:tc>
          <w:tcPr>
            <w:tcW w:type="dxa" w:w="7200"/>
          </w:tcPr>
          <w:p>
            <w:pPr>
              <w:spacing w:after="0"/>
            </w:pPr>
            <w:r/>
            <w:r>
              <w:rPr>
                <w:sz w:val="16"/>
              </w:rPr>
              <w:t>vite build → dist/, served by nginx with SPA fallback</w:t>
            </w:r>
          </w:p>
        </w:tc>
      </w:tr>
      <w:tr>
        <w:trPr>
          <w:cantSplit/>
        </w:trPr>
        <w:tc>
          <w:tcPr>
            <w:tcW w:type="dxa" w:w="2160"/>
          </w:tcPr>
          <w:p>
            <w:pPr>
              <w:spacing w:after="0"/>
            </w:pPr>
            <w:r/>
            <w:r>
              <w:rPr>
                <w:sz w:val="16"/>
              </w:rPr>
              <w:t>Tests</w:t>
            </w:r>
          </w:p>
        </w:tc>
        <w:tc>
          <w:tcPr>
            <w:tcW w:type="dxa" w:w="7200"/>
          </w:tcPr>
          <w:p>
            <w:pPr>
              <w:spacing w:after="0"/>
            </w:pPr>
            <w:r/>
            <w:r>
              <w:rPr>
                <w:sz w:val="16"/>
              </w:rPr>
              <w:t>39 files, 344 tests, Vitest + @vue/test-utils + jsdom</w:t>
            </w:r>
          </w:p>
        </w:tc>
      </w:tr>
    </w:tbl>
    <w:p>
      <w:pPr>
        <w:spacing w:after="200"/>
      </w:pPr>
      <w:r>
        <w:rPr>
          <w:i/>
          <w:color w:val="555F6D"/>
          <w:sz w:val="17"/>
        </w:rPr>
        <w:t>Table 25. ERP identity</w:t>
      </w:r>
    </w:p>
    <w:p>
      <w:bookmarkStart w:id="1046" w:name="_Toc1046"/>
      <w:pPr>
        <w:pStyle w:val="Heading2"/>
      </w:pPr>
      <w:r>
        <w:t>8.2 Route inventory</w:t>
      </w:r>
      <w:bookmarkEnd w:id="1046"/>
    </w:p>
    <w:p>
      <w:r>
        <w:rPr>
          <w:i w:val="0"/>
        </w:rPr>
        <w:t>The ERP router contains 95 path records: 78 page routes (each resolving to a page component), 15 redirect-only records kept for legacy bookmarks, and 2 layout wrappers. Seventy distinct page components are reachable; 72 .vue files exist under src/pages, of which finance/CashflowPage.vue and finance/InvoicesPage.vue are no longer referenced by any route. Every page route except login, the launcher, changelog and contact carries meta.perm — the exact backend permission key for its surface — and the guard rejects when auth.can(perm) is false.</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648" w:type="dxa"/>
      </w:tblPr>
      <w:tblGrid>
        <w:gridCol w:w="2412"/>
        <w:gridCol w:w="2412"/>
        <w:gridCol w:w="2412"/>
        <w:gridCol w:w="2412"/>
      </w:tblGrid>
      <w:tr>
        <w:trPr>
          <w:tblHeader w:val="true"/>
        </w:trPr>
        <w:tc>
          <w:tcPr>
            <w:tcW w:type="dxa" w:w="3282"/>
            <w:shd w:val="clear" w:color="auto" w:fill="1F3A5F"/>
          </w:tcPr>
          <w:p>
            <w:pPr>
              <w:spacing w:after="0"/>
            </w:pPr>
            <w:r/>
            <w:r>
              <w:rPr>
                <w:b/>
                <w:color w:val="FFFFFF"/>
                <w:sz w:val="14"/>
              </w:rPr>
              <w:t>Path</w:t>
            </w:r>
          </w:p>
        </w:tc>
        <w:tc>
          <w:tcPr>
            <w:tcW w:type="dxa" w:w="2494"/>
            <w:shd w:val="clear" w:color="auto" w:fill="1F3A5F"/>
          </w:tcPr>
          <w:p>
            <w:pPr>
              <w:spacing w:after="0"/>
            </w:pPr>
            <w:r/>
            <w:r>
              <w:rPr>
                <w:b/>
                <w:color w:val="FFFFFF"/>
                <w:sz w:val="14"/>
              </w:rPr>
              <w:t>Name</w:t>
            </w:r>
          </w:p>
        </w:tc>
        <w:tc>
          <w:tcPr>
            <w:tcW w:type="dxa" w:w="2625"/>
            <w:shd w:val="clear" w:color="auto" w:fill="1F3A5F"/>
          </w:tcPr>
          <w:p>
            <w:pPr>
              <w:spacing w:after="0"/>
            </w:pPr>
            <w:r/>
            <w:r>
              <w:rPr>
                <w:b/>
                <w:color w:val="FFFFFF"/>
                <w:sz w:val="14"/>
              </w:rPr>
              <w:t>Permission</w:t>
            </w:r>
          </w:p>
        </w:tc>
        <w:tc>
          <w:tcPr>
            <w:tcW w:type="dxa" w:w="1247"/>
            <w:shd w:val="clear" w:color="auto" w:fill="1F3A5F"/>
          </w:tcPr>
          <w:p>
            <w:pPr>
              <w:spacing w:after="0"/>
            </w:pPr>
            <w:r/>
            <w:r>
              <w:rPr>
                <w:b/>
                <w:color w:val="FFFFFF"/>
                <w:sz w:val="14"/>
              </w:rPr>
              <w:t>Module</w:t>
            </w:r>
          </w:p>
        </w:tc>
      </w:tr>
      <w:tr>
        <w:trPr>
          <w:cantSplit/>
        </w:trPr>
        <w:tc>
          <w:tcPr>
            <w:tcW w:type="dxa" w:w="3282"/>
          </w:tcPr>
          <w:p>
            <w:pPr>
              <w:spacing w:after="0"/>
            </w:pPr>
            <w:r/>
            <w:r>
              <w:rPr>
                <w:sz w:val="14"/>
              </w:rPr>
              <w:t>/login</w:t>
            </w:r>
          </w:p>
        </w:tc>
        <w:tc>
          <w:tcPr>
            <w:tcW w:type="dxa" w:w="2494"/>
          </w:tcPr>
          <w:p>
            <w:pPr>
              <w:spacing w:after="0"/>
            </w:pPr>
            <w:r/>
            <w:r>
              <w:rPr>
                <w:sz w:val="14"/>
              </w:rPr>
              <w:t>login-page</w:t>
            </w:r>
          </w:p>
        </w:tc>
        <w:tc>
          <w:tcPr>
            <w:tcW w:type="dxa" w:w="2625"/>
          </w:tcPr>
          <w:p>
            <w:pPr>
              <w:spacing w:after="0"/>
            </w:pPr>
            <w:r/>
            <w:r>
              <w:rPr>
                <w:sz w:val="14"/>
              </w:rPr>
              <w:t>(public)</w:t>
            </w:r>
          </w:p>
        </w:tc>
        <w:tc>
          <w:tcPr>
            <w:tcW w:type="dxa" w:w="1247"/>
          </w:tcPr>
          <w:p>
            <w:pPr>
              <w:spacing w:after="0"/>
            </w:pPr>
            <w:r/>
            <w:r>
              <w:rPr>
                <w:sz w:val="14"/>
              </w:rPr>
              <w:t>—</w:t>
            </w:r>
          </w:p>
        </w:tc>
      </w:tr>
      <w:tr>
        <w:trPr>
          <w:cantSplit/>
        </w:trPr>
        <w:tc>
          <w:tcPr>
            <w:tcW w:type="dxa" w:w="3282"/>
          </w:tcPr>
          <w:p>
            <w:pPr>
              <w:spacing w:after="0"/>
            </w:pPr>
            <w:r/>
            <w:r>
              <w:rPr>
                <w:sz w:val="14"/>
              </w:rPr>
              <w:t>/</w:t>
            </w:r>
          </w:p>
        </w:tc>
        <w:tc>
          <w:tcPr>
            <w:tcW w:type="dxa" w:w="2494"/>
          </w:tcPr>
          <w:p>
            <w:pPr>
              <w:spacing w:after="0"/>
            </w:pPr>
            <w:r/>
            <w:r>
              <w:rPr>
                <w:sz w:val="14"/>
              </w:rPr>
              <w:t>launcher</w:t>
            </w:r>
          </w:p>
        </w:tc>
        <w:tc>
          <w:tcPr>
            <w:tcW w:type="dxa" w:w="2625"/>
          </w:tcPr>
          <w:p>
            <w:pPr>
              <w:spacing w:after="0"/>
            </w:pPr>
            <w:r/>
            <w:r>
              <w:rPr>
                <w:sz w:val="14"/>
              </w:rPr>
              <w:t>(authenticated)</w:t>
            </w:r>
          </w:p>
        </w:tc>
        <w:tc>
          <w:tcPr>
            <w:tcW w:type="dxa" w:w="1247"/>
          </w:tcPr>
          <w:p>
            <w:pPr>
              <w:spacing w:after="0"/>
            </w:pPr>
            <w:r/>
            <w:r>
              <w:rPr>
                <w:sz w:val="14"/>
              </w:rPr>
              <w:t>dashboard</w:t>
            </w:r>
          </w:p>
        </w:tc>
      </w:tr>
      <w:tr>
        <w:trPr>
          <w:cantSplit/>
        </w:trPr>
        <w:tc>
          <w:tcPr>
            <w:tcW w:type="dxa" w:w="3282"/>
          </w:tcPr>
          <w:p>
            <w:pPr>
              <w:spacing w:after="0"/>
            </w:pPr>
            <w:r/>
            <w:r>
              <w:rPr>
                <w:sz w:val="14"/>
              </w:rPr>
              <w:t>/dashboard</w:t>
            </w:r>
          </w:p>
        </w:tc>
        <w:tc>
          <w:tcPr>
            <w:tcW w:type="dxa" w:w="2494"/>
          </w:tcPr>
          <w:p>
            <w:pPr>
              <w:spacing w:after="0"/>
            </w:pPr>
            <w:r/>
            <w:r>
              <w:rPr>
                <w:sz w:val="14"/>
              </w:rPr>
              <w:t>dashboard</w:t>
            </w:r>
          </w:p>
        </w:tc>
        <w:tc>
          <w:tcPr>
            <w:tcW w:type="dxa" w:w="2625"/>
          </w:tcPr>
          <w:p>
            <w:pPr>
              <w:spacing w:after="0"/>
            </w:pPr>
            <w:r/>
            <w:r>
              <w:rPr>
                <w:sz w:val="14"/>
              </w:rPr>
              <w:t>dashboard.view</w:t>
            </w:r>
          </w:p>
        </w:tc>
        <w:tc>
          <w:tcPr>
            <w:tcW w:type="dxa" w:w="1247"/>
          </w:tcPr>
          <w:p>
            <w:pPr>
              <w:spacing w:after="0"/>
            </w:pPr>
            <w:r/>
            <w:r>
              <w:rPr>
                <w:sz w:val="14"/>
              </w:rPr>
              <w:t>dashboard</w:t>
            </w:r>
          </w:p>
        </w:tc>
      </w:tr>
      <w:tr>
        <w:trPr>
          <w:cantSplit/>
        </w:trPr>
        <w:tc>
          <w:tcPr>
            <w:tcW w:type="dxa" w:w="3282"/>
          </w:tcPr>
          <w:p>
            <w:pPr>
              <w:spacing w:after="0"/>
            </w:pPr>
            <w:r/>
            <w:r>
              <w:rPr>
                <w:sz w:val="14"/>
              </w:rPr>
              <w:t>/master-data/products</w:t>
            </w:r>
          </w:p>
        </w:tc>
        <w:tc>
          <w:tcPr>
            <w:tcW w:type="dxa" w:w="2494"/>
          </w:tcPr>
          <w:p>
            <w:pPr>
              <w:spacing w:after="0"/>
            </w:pPr>
            <w:r/>
            <w:r>
              <w:rPr>
                <w:sz w:val="14"/>
              </w:rPr>
              <w:t>products</w:t>
            </w:r>
          </w:p>
        </w:tc>
        <w:tc>
          <w:tcPr>
            <w:tcW w:type="dxa" w:w="2625"/>
          </w:tcPr>
          <w:p>
            <w:pPr>
              <w:spacing w:after="0"/>
            </w:pPr>
            <w:r/>
            <w:r>
              <w:rPr>
                <w:sz w:val="14"/>
              </w:rPr>
              <w:t>masterdata.products.read</w:t>
            </w:r>
          </w:p>
        </w:tc>
        <w:tc>
          <w:tcPr>
            <w:tcW w:type="dxa" w:w="1247"/>
          </w:tcPr>
          <w:p>
            <w:pPr>
              <w:spacing w:after="0"/>
            </w:pPr>
            <w:r/>
            <w:r>
              <w:rPr>
                <w:sz w:val="14"/>
              </w:rPr>
              <w:t>masterData</w:t>
            </w:r>
          </w:p>
        </w:tc>
      </w:tr>
      <w:tr>
        <w:trPr>
          <w:cantSplit/>
        </w:trPr>
        <w:tc>
          <w:tcPr>
            <w:tcW w:type="dxa" w:w="3282"/>
          </w:tcPr>
          <w:p>
            <w:pPr>
              <w:spacing w:after="0"/>
            </w:pPr>
            <w:r/>
            <w:r>
              <w:rPr>
                <w:sz w:val="14"/>
              </w:rPr>
              <w:t>/master-data/categories</w:t>
            </w:r>
          </w:p>
        </w:tc>
        <w:tc>
          <w:tcPr>
            <w:tcW w:type="dxa" w:w="2494"/>
          </w:tcPr>
          <w:p>
            <w:pPr>
              <w:spacing w:after="0"/>
            </w:pPr>
            <w:r/>
            <w:r>
              <w:rPr>
                <w:sz w:val="14"/>
              </w:rPr>
              <w:t>categories</w:t>
            </w:r>
          </w:p>
        </w:tc>
        <w:tc>
          <w:tcPr>
            <w:tcW w:type="dxa" w:w="2625"/>
          </w:tcPr>
          <w:p>
            <w:pPr>
              <w:spacing w:after="0"/>
            </w:pPr>
            <w:r/>
            <w:r>
              <w:rPr>
                <w:sz w:val="14"/>
              </w:rPr>
              <w:t>masterdata.categories.read</w:t>
            </w:r>
          </w:p>
        </w:tc>
        <w:tc>
          <w:tcPr>
            <w:tcW w:type="dxa" w:w="1247"/>
          </w:tcPr>
          <w:p>
            <w:pPr>
              <w:spacing w:after="0"/>
            </w:pPr>
            <w:r/>
            <w:r>
              <w:rPr>
                <w:sz w:val="14"/>
              </w:rPr>
              <w:t>masterData</w:t>
            </w:r>
          </w:p>
        </w:tc>
      </w:tr>
      <w:tr>
        <w:trPr>
          <w:cantSplit/>
        </w:trPr>
        <w:tc>
          <w:tcPr>
            <w:tcW w:type="dxa" w:w="3282"/>
          </w:tcPr>
          <w:p>
            <w:pPr>
              <w:spacing w:after="0"/>
            </w:pPr>
            <w:r/>
            <w:r>
              <w:rPr>
                <w:sz w:val="14"/>
              </w:rPr>
              <w:t>/master-data/units</w:t>
            </w:r>
          </w:p>
        </w:tc>
        <w:tc>
          <w:tcPr>
            <w:tcW w:type="dxa" w:w="2494"/>
          </w:tcPr>
          <w:p>
            <w:pPr>
              <w:spacing w:after="0"/>
            </w:pPr>
            <w:r/>
            <w:r>
              <w:rPr>
                <w:sz w:val="14"/>
              </w:rPr>
              <w:t>units</w:t>
            </w:r>
          </w:p>
        </w:tc>
        <w:tc>
          <w:tcPr>
            <w:tcW w:type="dxa" w:w="2625"/>
          </w:tcPr>
          <w:p>
            <w:pPr>
              <w:spacing w:after="0"/>
            </w:pPr>
            <w:r/>
            <w:r>
              <w:rPr>
                <w:sz w:val="14"/>
              </w:rPr>
              <w:t>masterdata.units.read</w:t>
            </w:r>
          </w:p>
        </w:tc>
        <w:tc>
          <w:tcPr>
            <w:tcW w:type="dxa" w:w="1247"/>
          </w:tcPr>
          <w:p>
            <w:pPr>
              <w:spacing w:after="0"/>
            </w:pPr>
            <w:r/>
            <w:r>
              <w:rPr>
                <w:sz w:val="14"/>
              </w:rPr>
              <w:t>masterData</w:t>
            </w:r>
          </w:p>
        </w:tc>
      </w:tr>
      <w:tr>
        <w:trPr>
          <w:cantSplit/>
        </w:trPr>
        <w:tc>
          <w:tcPr>
            <w:tcW w:type="dxa" w:w="3282"/>
          </w:tcPr>
          <w:p>
            <w:pPr>
              <w:spacing w:after="0"/>
            </w:pPr>
            <w:r/>
            <w:r>
              <w:rPr>
                <w:sz w:val="14"/>
              </w:rPr>
              <w:t>/master-data/suppliers</w:t>
            </w:r>
          </w:p>
        </w:tc>
        <w:tc>
          <w:tcPr>
            <w:tcW w:type="dxa" w:w="2494"/>
          </w:tcPr>
          <w:p>
            <w:pPr>
              <w:spacing w:after="0"/>
            </w:pPr>
            <w:r/>
            <w:r>
              <w:rPr>
                <w:sz w:val="14"/>
              </w:rPr>
              <w:t>suppliers</w:t>
            </w:r>
          </w:p>
        </w:tc>
        <w:tc>
          <w:tcPr>
            <w:tcW w:type="dxa" w:w="2625"/>
          </w:tcPr>
          <w:p>
            <w:pPr>
              <w:spacing w:after="0"/>
            </w:pPr>
            <w:r/>
            <w:r>
              <w:rPr>
                <w:sz w:val="14"/>
              </w:rPr>
              <w:t>masterdata.suppliers.view</w:t>
            </w:r>
          </w:p>
        </w:tc>
        <w:tc>
          <w:tcPr>
            <w:tcW w:type="dxa" w:w="1247"/>
          </w:tcPr>
          <w:p>
            <w:pPr>
              <w:spacing w:after="0"/>
            </w:pPr>
            <w:r/>
            <w:r>
              <w:rPr>
                <w:sz w:val="14"/>
              </w:rPr>
              <w:t>masterData</w:t>
            </w:r>
          </w:p>
        </w:tc>
      </w:tr>
      <w:tr>
        <w:trPr>
          <w:cantSplit/>
        </w:trPr>
        <w:tc>
          <w:tcPr>
            <w:tcW w:type="dxa" w:w="3282"/>
          </w:tcPr>
          <w:p>
            <w:pPr>
              <w:spacing w:after="0"/>
            </w:pPr>
            <w:r/>
            <w:r>
              <w:rPr>
                <w:sz w:val="14"/>
              </w:rPr>
              <w:t>/master-data/customers</w:t>
            </w:r>
          </w:p>
        </w:tc>
        <w:tc>
          <w:tcPr>
            <w:tcW w:type="dxa" w:w="2494"/>
          </w:tcPr>
          <w:p>
            <w:pPr>
              <w:spacing w:after="0"/>
            </w:pPr>
            <w:r/>
            <w:r>
              <w:rPr>
                <w:sz w:val="14"/>
              </w:rPr>
              <w:t>customers</w:t>
            </w:r>
          </w:p>
        </w:tc>
        <w:tc>
          <w:tcPr>
            <w:tcW w:type="dxa" w:w="2625"/>
          </w:tcPr>
          <w:p>
            <w:pPr>
              <w:spacing w:after="0"/>
            </w:pPr>
            <w:r/>
            <w:r>
              <w:rPr>
                <w:sz w:val="14"/>
              </w:rPr>
              <w:t>masterdata.customers.read</w:t>
            </w:r>
          </w:p>
        </w:tc>
        <w:tc>
          <w:tcPr>
            <w:tcW w:type="dxa" w:w="1247"/>
          </w:tcPr>
          <w:p>
            <w:pPr>
              <w:spacing w:after="0"/>
            </w:pPr>
            <w:r/>
            <w:r>
              <w:rPr>
                <w:sz w:val="14"/>
              </w:rPr>
              <w:t>masterData</w:t>
            </w:r>
          </w:p>
        </w:tc>
      </w:tr>
      <w:tr>
        <w:trPr>
          <w:cantSplit/>
        </w:trPr>
        <w:tc>
          <w:tcPr>
            <w:tcW w:type="dxa" w:w="3282"/>
          </w:tcPr>
          <w:p>
            <w:pPr>
              <w:spacing w:after="0"/>
            </w:pPr>
            <w:r/>
            <w:r>
              <w:rPr>
                <w:sz w:val="14"/>
              </w:rPr>
              <w:t>/memberships</w:t>
            </w:r>
          </w:p>
        </w:tc>
        <w:tc>
          <w:tcPr>
            <w:tcW w:type="dxa" w:w="2494"/>
          </w:tcPr>
          <w:p>
            <w:pPr>
              <w:spacing w:after="0"/>
            </w:pPr>
            <w:r/>
            <w:r>
              <w:rPr>
                <w:sz w:val="14"/>
              </w:rPr>
              <w:t>memberships</w:t>
            </w:r>
          </w:p>
        </w:tc>
        <w:tc>
          <w:tcPr>
            <w:tcW w:type="dxa" w:w="2625"/>
          </w:tcPr>
          <w:p>
            <w:pPr>
              <w:spacing w:after="0"/>
            </w:pPr>
            <w:r/>
            <w:r>
              <w:rPr>
                <w:sz w:val="14"/>
              </w:rPr>
              <w:t>masterdata.memberships.lookup</w:t>
            </w:r>
          </w:p>
        </w:tc>
        <w:tc>
          <w:tcPr>
            <w:tcW w:type="dxa" w:w="1247"/>
          </w:tcPr>
          <w:p>
            <w:pPr>
              <w:spacing w:after="0"/>
            </w:pPr>
            <w:r/>
            <w:r>
              <w:rPr>
                <w:sz w:val="14"/>
              </w:rPr>
              <w:t>membership</w:t>
            </w:r>
          </w:p>
        </w:tc>
      </w:tr>
      <w:tr>
        <w:trPr>
          <w:cantSplit/>
        </w:trPr>
        <w:tc>
          <w:tcPr>
            <w:tcW w:type="dxa" w:w="3282"/>
          </w:tcPr>
          <w:p>
            <w:pPr>
              <w:spacing w:after="0"/>
            </w:pPr>
            <w:r/>
            <w:r>
              <w:rPr>
                <w:sz w:val="14"/>
              </w:rPr>
              <w:t>/memberships/tiers</w:t>
            </w:r>
          </w:p>
        </w:tc>
        <w:tc>
          <w:tcPr>
            <w:tcW w:type="dxa" w:w="2494"/>
          </w:tcPr>
          <w:p>
            <w:pPr>
              <w:spacing w:after="0"/>
            </w:pPr>
            <w:r/>
            <w:r>
              <w:rPr>
                <w:sz w:val="14"/>
              </w:rPr>
              <w:t>membership-tiers</w:t>
            </w:r>
          </w:p>
        </w:tc>
        <w:tc>
          <w:tcPr>
            <w:tcW w:type="dxa" w:w="2625"/>
          </w:tcPr>
          <w:p>
            <w:pPr>
              <w:spacing w:after="0"/>
            </w:pPr>
            <w:r/>
            <w:r>
              <w:rPr>
                <w:sz w:val="14"/>
              </w:rPr>
              <w:t>masterdata.memberships.tiers.manage</w:t>
            </w:r>
          </w:p>
        </w:tc>
        <w:tc>
          <w:tcPr>
            <w:tcW w:type="dxa" w:w="1247"/>
          </w:tcPr>
          <w:p>
            <w:pPr>
              <w:spacing w:after="0"/>
            </w:pPr>
            <w:r/>
            <w:r>
              <w:rPr>
                <w:sz w:val="14"/>
              </w:rPr>
              <w:t>membership</w:t>
            </w:r>
          </w:p>
        </w:tc>
      </w:tr>
      <w:tr>
        <w:trPr>
          <w:cantSplit/>
        </w:trPr>
        <w:tc>
          <w:tcPr>
            <w:tcW w:type="dxa" w:w="3282"/>
          </w:tcPr>
          <w:p>
            <w:pPr>
              <w:spacing w:after="0"/>
            </w:pPr>
            <w:r/>
            <w:r>
              <w:rPr>
                <w:sz w:val="14"/>
              </w:rPr>
              <w:t>/inventory/stock</w:t>
            </w:r>
          </w:p>
        </w:tc>
        <w:tc>
          <w:tcPr>
            <w:tcW w:type="dxa" w:w="2494"/>
          </w:tcPr>
          <w:p>
            <w:pPr>
              <w:spacing w:after="0"/>
            </w:pPr>
            <w:r/>
            <w:r>
              <w:rPr>
                <w:sz w:val="14"/>
              </w:rPr>
              <w:t>stock</w:t>
            </w:r>
          </w:p>
        </w:tc>
        <w:tc>
          <w:tcPr>
            <w:tcW w:type="dxa" w:w="2625"/>
          </w:tcPr>
          <w:p>
            <w:pPr>
              <w:spacing w:after="0"/>
            </w:pPr>
            <w:r/>
            <w:r>
              <w:rPr>
                <w:sz w:val="14"/>
              </w:rPr>
              <w:t>inventory.stock.view</w:t>
            </w:r>
          </w:p>
        </w:tc>
        <w:tc>
          <w:tcPr>
            <w:tcW w:type="dxa" w:w="1247"/>
          </w:tcPr>
          <w:p>
            <w:pPr>
              <w:spacing w:after="0"/>
            </w:pPr>
            <w:r/>
            <w:r>
              <w:rPr>
                <w:sz w:val="14"/>
              </w:rPr>
              <w:t>inventory</w:t>
            </w:r>
          </w:p>
        </w:tc>
      </w:tr>
      <w:tr>
        <w:trPr>
          <w:cantSplit/>
        </w:trPr>
        <w:tc>
          <w:tcPr>
            <w:tcW w:type="dxa" w:w="3282"/>
          </w:tcPr>
          <w:p>
            <w:pPr>
              <w:spacing w:after="0"/>
            </w:pPr>
            <w:r/>
            <w:r>
              <w:rPr>
                <w:sz w:val="14"/>
              </w:rPr>
              <w:t>/inventory/movements</w:t>
            </w:r>
          </w:p>
        </w:tc>
        <w:tc>
          <w:tcPr>
            <w:tcW w:type="dxa" w:w="2494"/>
          </w:tcPr>
          <w:p>
            <w:pPr>
              <w:spacing w:after="0"/>
            </w:pPr>
            <w:r/>
            <w:r>
              <w:rPr>
                <w:sz w:val="14"/>
              </w:rPr>
              <w:t>stock-movements</w:t>
            </w:r>
          </w:p>
        </w:tc>
        <w:tc>
          <w:tcPr>
            <w:tcW w:type="dxa" w:w="2625"/>
          </w:tcPr>
          <w:p>
            <w:pPr>
              <w:spacing w:after="0"/>
            </w:pPr>
            <w:r/>
            <w:r>
              <w:rPr>
                <w:sz w:val="14"/>
              </w:rPr>
              <w:t>inventory.movements.view</w:t>
            </w:r>
          </w:p>
        </w:tc>
        <w:tc>
          <w:tcPr>
            <w:tcW w:type="dxa" w:w="1247"/>
          </w:tcPr>
          <w:p>
            <w:pPr>
              <w:spacing w:after="0"/>
            </w:pPr>
            <w:r/>
            <w:r>
              <w:rPr>
                <w:sz w:val="14"/>
              </w:rPr>
              <w:t>inventory</w:t>
            </w:r>
          </w:p>
        </w:tc>
      </w:tr>
      <w:tr>
        <w:trPr>
          <w:cantSplit/>
        </w:trPr>
        <w:tc>
          <w:tcPr>
            <w:tcW w:type="dxa" w:w="3282"/>
          </w:tcPr>
          <w:p>
            <w:pPr>
              <w:spacing w:after="0"/>
            </w:pPr>
            <w:r/>
            <w:r>
              <w:rPr>
                <w:sz w:val="14"/>
              </w:rPr>
              <w:t>/inventory/transfers</w:t>
            </w:r>
          </w:p>
        </w:tc>
        <w:tc>
          <w:tcPr>
            <w:tcW w:type="dxa" w:w="2494"/>
          </w:tcPr>
          <w:p>
            <w:pPr>
              <w:spacing w:after="0"/>
            </w:pPr>
            <w:r/>
            <w:r>
              <w:rPr>
                <w:sz w:val="14"/>
              </w:rPr>
              <w:t>transfers</w:t>
            </w:r>
          </w:p>
        </w:tc>
        <w:tc>
          <w:tcPr>
            <w:tcW w:type="dxa" w:w="2625"/>
          </w:tcPr>
          <w:p>
            <w:pPr>
              <w:spacing w:after="0"/>
            </w:pPr>
            <w:r/>
            <w:r>
              <w:rPr>
                <w:sz w:val="14"/>
              </w:rPr>
              <w:t>inventory.transfers.view</w:t>
            </w:r>
          </w:p>
        </w:tc>
        <w:tc>
          <w:tcPr>
            <w:tcW w:type="dxa" w:w="1247"/>
          </w:tcPr>
          <w:p>
            <w:pPr>
              <w:spacing w:after="0"/>
            </w:pPr>
            <w:r/>
            <w:r>
              <w:rPr>
                <w:sz w:val="14"/>
              </w:rPr>
              <w:t>inventory</w:t>
            </w:r>
          </w:p>
        </w:tc>
      </w:tr>
      <w:tr>
        <w:trPr>
          <w:cantSplit/>
        </w:trPr>
        <w:tc>
          <w:tcPr>
            <w:tcW w:type="dxa" w:w="3282"/>
          </w:tcPr>
          <w:p>
            <w:pPr>
              <w:spacing w:after="0"/>
            </w:pPr>
            <w:r/>
            <w:r>
              <w:rPr>
                <w:sz w:val="14"/>
              </w:rPr>
              <w:t>/inventory/opnames</w:t>
            </w:r>
          </w:p>
        </w:tc>
        <w:tc>
          <w:tcPr>
            <w:tcW w:type="dxa" w:w="2494"/>
          </w:tcPr>
          <w:p>
            <w:pPr>
              <w:spacing w:after="0"/>
            </w:pPr>
            <w:r/>
            <w:r>
              <w:rPr>
                <w:sz w:val="14"/>
              </w:rPr>
              <w:t>opnames</w:t>
            </w:r>
          </w:p>
        </w:tc>
        <w:tc>
          <w:tcPr>
            <w:tcW w:type="dxa" w:w="2625"/>
          </w:tcPr>
          <w:p>
            <w:pPr>
              <w:spacing w:after="0"/>
            </w:pPr>
            <w:r/>
            <w:r>
              <w:rPr>
                <w:sz w:val="14"/>
              </w:rPr>
              <w:t>inventory.opnames.view</w:t>
            </w:r>
          </w:p>
        </w:tc>
        <w:tc>
          <w:tcPr>
            <w:tcW w:type="dxa" w:w="1247"/>
          </w:tcPr>
          <w:p>
            <w:pPr>
              <w:spacing w:after="0"/>
            </w:pPr>
            <w:r/>
            <w:r>
              <w:rPr>
                <w:sz w:val="14"/>
              </w:rPr>
              <w:t>inventory</w:t>
            </w:r>
          </w:p>
        </w:tc>
      </w:tr>
      <w:tr>
        <w:trPr>
          <w:cantSplit/>
        </w:trPr>
        <w:tc>
          <w:tcPr>
            <w:tcW w:type="dxa" w:w="3282"/>
          </w:tcPr>
          <w:p>
            <w:pPr>
              <w:spacing w:after="0"/>
            </w:pPr>
            <w:r/>
            <w:r>
              <w:rPr>
                <w:sz w:val="14"/>
              </w:rPr>
              <w:t>/purchasing/po</w:t>
            </w:r>
          </w:p>
        </w:tc>
        <w:tc>
          <w:tcPr>
            <w:tcW w:type="dxa" w:w="2494"/>
          </w:tcPr>
          <w:p>
            <w:pPr>
              <w:spacing w:after="0"/>
            </w:pPr>
            <w:r/>
            <w:r>
              <w:rPr>
                <w:sz w:val="14"/>
              </w:rPr>
              <w:t>po</w:t>
            </w:r>
          </w:p>
        </w:tc>
        <w:tc>
          <w:tcPr>
            <w:tcW w:type="dxa" w:w="2625"/>
          </w:tcPr>
          <w:p>
            <w:pPr>
              <w:spacing w:after="0"/>
            </w:pPr>
            <w:r/>
            <w:r>
              <w:rPr>
                <w:sz w:val="14"/>
              </w:rPr>
              <w:t>purchasing.purchase-orders.view</w:t>
            </w:r>
          </w:p>
        </w:tc>
        <w:tc>
          <w:tcPr>
            <w:tcW w:type="dxa" w:w="1247"/>
          </w:tcPr>
          <w:p>
            <w:pPr>
              <w:spacing w:after="0"/>
            </w:pPr>
            <w:r/>
            <w:r>
              <w:rPr>
                <w:sz w:val="14"/>
              </w:rPr>
              <w:t>purchasing</w:t>
            </w:r>
          </w:p>
        </w:tc>
      </w:tr>
      <w:tr>
        <w:trPr>
          <w:cantSplit/>
        </w:trPr>
        <w:tc>
          <w:tcPr>
            <w:tcW w:type="dxa" w:w="3282"/>
          </w:tcPr>
          <w:p>
            <w:pPr>
              <w:spacing w:after="0"/>
            </w:pPr>
            <w:r/>
            <w:r>
              <w:rPr>
                <w:sz w:val="14"/>
              </w:rPr>
              <w:t>/purchasing/po/:id/print</w:t>
            </w:r>
          </w:p>
        </w:tc>
        <w:tc>
          <w:tcPr>
            <w:tcW w:type="dxa" w:w="2494"/>
          </w:tcPr>
          <w:p>
            <w:pPr>
              <w:spacing w:after="0"/>
            </w:pPr>
            <w:r/>
            <w:r>
              <w:rPr>
                <w:sz w:val="14"/>
              </w:rPr>
              <w:t>po-print</w:t>
            </w:r>
          </w:p>
        </w:tc>
        <w:tc>
          <w:tcPr>
            <w:tcW w:type="dxa" w:w="2625"/>
          </w:tcPr>
          <w:p>
            <w:pPr>
              <w:spacing w:after="0"/>
            </w:pPr>
            <w:r/>
            <w:r>
              <w:rPr>
                <w:sz w:val="14"/>
              </w:rPr>
              <w:t>purchasing.purchase-orders.view</w:t>
            </w:r>
          </w:p>
        </w:tc>
        <w:tc>
          <w:tcPr>
            <w:tcW w:type="dxa" w:w="1247"/>
          </w:tcPr>
          <w:p>
            <w:pPr>
              <w:spacing w:after="0"/>
            </w:pPr>
            <w:r/>
            <w:r>
              <w:rPr>
                <w:sz w:val="14"/>
              </w:rPr>
              <w:t>purchasing</w:t>
            </w:r>
          </w:p>
        </w:tc>
      </w:tr>
      <w:tr>
        <w:trPr>
          <w:cantSplit/>
        </w:trPr>
        <w:tc>
          <w:tcPr>
            <w:tcW w:type="dxa" w:w="3282"/>
          </w:tcPr>
          <w:p>
            <w:pPr>
              <w:spacing w:after="0"/>
            </w:pPr>
            <w:r/>
            <w:r>
              <w:rPr>
                <w:sz w:val="14"/>
              </w:rPr>
              <w:t>/purchasing/goods-receipts</w:t>
            </w:r>
          </w:p>
        </w:tc>
        <w:tc>
          <w:tcPr>
            <w:tcW w:type="dxa" w:w="2494"/>
          </w:tcPr>
          <w:p>
            <w:pPr>
              <w:spacing w:after="0"/>
            </w:pPr>
            <w:r/>
            <w:r>
              <w:rPr>
                <w:sz w:val="14"/>
              </w:rPr>
              <w:t>goods-receipts</w:t>
            </w:r>
          </w:p>
        </w:tc>
        <w:tc>
          <w:tcPr>
            <w:tcW w:type="dxa" w:w="2625"/>
          </w:tcPr>
          <w:p>
            <w:pPr>
              <w:spacing w:after="0"/>
            </w:pPr>
            <w:r/>
            <w:r>
              <w:rPr>
                <w:sz w:val="14"/>
              </w:rPr>
              <w:t>purchasing.goods-receipts.view</w:t>
            </w:r>
          </w:p>
        </w:tc>
        <w:tc>
          <w:tcPr>
            <w:tcW w:type="dxa" w:w="1247"/>
          </w:tcPr>
          <w:p>
            <w:pPr>
              <w:spacing w:after="0"/>
            </w:pPr>
            <w:r/>
            <w:r>
              <w:rPr>
                <w:sz w:val="14"/>
              </w:rPr>
              <w:t>purchasing</w:t>
            </w:r>
          </w:p>
        </w:tc>
      </w:tr>
      <w:tr>
        <w:trPr>
          <w:cantSplit/>
        </w:trPr>
        <w:tc>
          <w:tcPr>
            <w:tcW w:type="dxa" w:w="3282"/>
          </w:tcPr>
          <w:p>
            <w:pPr>
              <w:spacing w:after="0"/>
            </w:pPr>
            <w:r/>
            <w:r>
              <w:rPr>
                <w:sz w:val="14"/>
              </w:rPr>
              <w:t>/purchasing/vouchers</w:t>
            </w:r>
          </w:p>
        </w:tc>
        <w:tc>
          <w:tcPr>
            <w:tcW w:type="dxa" w:w="2494"/>
          </w:tcPr>
          <w:p>
            <w:pPr>
              <w:spacing w:after="0"/>
            </w:pPr>
            <w:r/>
            <w:r>
              <w:rPr>
                <w:sz w:val="14"/>
              </w:rPr>
              <w:t>vouchers</w:t>
            </w:r>
          </w:p>
        </w:tc>
        <w:tc>
          <w:tcPr>
            <w:tcW w:type="dxa" w:w="2625"/>
          </w:tcPr>
          <w:p>
            <w:pPr>
              <w:spacing w:after="0"/>
            </w:pPr>
            <w:r/>
            <w:r>
              <w:rPr>
                <w:sz w:val="14"/>
              </w:rPr>
              <w:t>purchasing.vouchers.view</w:t>
            </w:r>
          </w:p>
        </w:tc>
        <w:tc>
          <w:tcPr>
            <w:tcW w:type="dxa" w:w="1247"/>
          </w:tcPr>
          <w:p>
            <w:pPr>
              <w:spacing w:after="0"/>
            </w:pPr>
            <w:r/>
            <w:r>
              <w:rPr>
                <w:sz w:val="14"/>
              </w:rPr>
              <w:t>purchasing</w:t>
            </w:r>
          </w:p>
        </w:tc>
      </w:tr>
      <w:tr>
        <w:trPr>
          <w:cantSplit/>
        </w:trPr>
        <w:tc>
          <w:tcPr>
            <w:tcW w:type="dxa" w:w="3282"/>
          </w:tcPr>
          <w:p>
            <w:pPr>
              <w:spacing w:after="0"/>
            </w:pPr>
            <w:r/>
            <w:r>
              <w:rPr>
                <w:sz w:val="14"/>
              </w:rPr>
              <w:t>/purchasing/supplier-debts</w:t>
            </w:r>
          </w:p>
        </w:tc>
        <w:tc>
          <w:tcPr>
            <w:tcW w:type="dxa" w:w="2494"/>
          </w:tcPr>
          <w:p>
            <w:pPr>
              <w:spacing w:after="0"/>
            </w:pPr>
            <w:r/>
            <w:r>
              <w:rPr>
                <w:sz w:val="14"/>
              </w:rPr>
              <w:t>supplier-debts</w:t>
            </w:r>
          </w:p>
        </w:tc>
        <w:tc>
          <w:tcPr>
            <w:tcW w:type="dxa" w:w="2625"/>
          </w:tcPr>
          <w:p>
            <w:pPr>
              <w:spacing w:after="0"/>
            </w:pPr>
            <w:r/>
            <w:r>
              <w:rPr>
                <w:sz w:val="14"/>
              </w:rPr>
              <w:t>purchasing.purchase-orders.view</w:t>
            </w:r>
          </w:p>
        </w:tc>
        <w:tc>
          <w:tcPr>
            <w:tcW w:type="dxa" w:w="1247"/>
          </w:tcPr>
          <w:p>
            <w:pPr>
              <w:spacing w:after="0"/>
            </w:pPr>
            <w:r/>
            <w:r>
              <w:rPr>
                <w:sz w:val="14"/>
              </w:rPr>
              <w:t>purchasing</w:t>
            </w:r>
          </w:p>
        </w:tc>
      </w:tr>
      <w:tr>
        <w:trPr>
          <w:cantSplit/>
        </w:trPr>
        <w:tc>
          <w:tcPr>
            <w:tcW w:type="dxa" w:w="3282"/>
          </w:tcPr>
          <w:p>
            <w:pPr>
              <w:spacing w:after="0"/>
            </w:pPr>
            <w:r/>
            <w:r>
              <w:rPr>
                <w:sz w:val="14"/>
              </w:rPr>
              <w:t>/sales/pos</w:t>
            </w:r>
          </w:p>
        </w:tc>
        <w:tc>
          <w:tcPr>
            <w:tcW w:type="dxa" w:w="2494"/>
          </w:tcPr>
          <w:p>
            <w:pPr>
              <w:spacing w:after="0"/>
            </w:pPr>
            <w:r/>
            <w:r>
              <w:rPr>
                <w:sz w:val="14"/>
              </w:rPr>
              <w:t>pos</w:t>
            </w:r>
          </w:p>
        </w:tc>
        <w:tc>
          <w:tcPr>
            <w:tcW w:type="dxa" w:w="2625"/>
          </w:tcPr>
          <w:p>
            <w:pPr>
              <w:spacing w:after="0"/>
            </w:pPr>
            <w:r/>
            <w:r>
              <w:rPr>
                <w:sz w:val="14"/>
              </w:rPr>
              <w:t>sales.pos.create</w:t>
            </w:r>
          </w:p>
        </w:tc>
        <w:tc>
          <w:tcPr>
            <w:tcW w:type="dxa" w:w="1247"/>
          </w:tcPr>
          <w:p>
            <w:pPr>
              <w:spacing w:after="0"/>
            </w:pPr>
            <w:r/>
            <w:r>
              <w:rPr>
                <w:sz w:val="14"/>
              </w:rPr>
              <w:t>sales</w:t>
            </w:r>
          </w:p>
        </w:tc>
      </w:tr>
      <w:tr>
        <w:trPr>
          <w:cantSplit/>
        </w:trPr>
        <w:tc>
          <w:tcPr>
            <w:tcW w:type="dxa" w:w="3282"/>
          </w:tcPr>
          <w:p>
            <w:pPr>
              <w:spacing w:after="0"/>
            </w:pPr>
            <w:r/>
            <w:r>
              <w:rPr>
                <w:sz w:val="14"/>
              </w:rPr>
              <w:t>/sales/orders</w:t>
            </w:r>
          </w:p>
        </w:tc>
        <w:tc>
          <w:tcPr>
            <w:tcW w:type="dxa" w:w="2494"/>
          </w:tcPr>
          <w:p>
            <w:pPr>
              <w:spacing w:after="0"/>
            </w:pPr>
            <w:r/>
            <w:r>
              <w:rPr>
                <w:sz w:val="14"/>
              </w:rPr>
              <w:t>sales-orders</w:t>
            </w:r>
          </w:p>
        </w:tc>
        <w:tc>
          <w:tcPr>
            <w:tcW w:type="dxa" w:w="2625"/>
          </w:tcPr>
          <w:p>
            <w:pPr>
              <w:spacing w:after="0"/>
            </w:pPr>
            <w:r/>
            <w:r>
              <w:rPr>
                <w:sz w:val="14"/>
              </w:rPr>
              <w:t>sales.sales-orders.view</w:t>
            </w:r>
          </w:p>
        </w:tc>
        <w:tc>
          <w:tcPr>
            <w:tcW w:type="dxa" w:w="1247"/>
          </w:tcPr>
          <w:p>
            <w:pPr>
              <w:spacing w:after="0"/>
            </w:pPr>
            <w:r/>
            <w:r>
              <w:rPr>
                <w:sz w:val="14"/>
              </w:rPr>
              <w:t>sales</w:t>
            </w:r>
          </w:p>
        </w:tc>
      </w:tr>
      <w:tr>
        <w:trPr>
          <w:cantSplit/>
        </w:trPr>
        <w:tc>
          <w:tcPr>
            <w:tcW w:type="dxa" w:w="3282"/>
          </w:tcPr>
          <w:p>
            <w:pPr>
              <w:spacing w:after="0"/>
            </w:pPr>
            <w:r/>
            <w:r>
              <w:rPr>
                <w:sz w:val="14"/>
              </w:rPr>
              <w:t>/sales/orders/:id</w:t>
            </w:r>
          </w:p>
        </w:tc>
        <w:tc>
          <w:tcPr>
            <w:tcW w:type="dxa" w:w="2494"/>
          </w:tcPr>
          <w:p>
            <w:pPr>
              <w:spacing w:after="0"/>
            </w:pPr>
            <w:r/>
            <w:r>
              <w:rPr>
                <w:sz w:val="14"/>
              </w:rPr>
              <w:t>sales-order-detail</w:t>
            </w:r>
          </w:p>
        </w:tc>
        <w:tc>
          <w:tcPr>
            <w:tcW w:type="dxa" w:w="2625"/>
          </w:tcPr>
          <w:p>
            <w:pPr>
              <w:spacing w:after="0"/>
            </w:pPr>
            <w:r/>
            <w:r>
              <w:rPr>
                <w:sz w:val="14"/>
              </w:rPr>
              <w:t>sales.sales-orders.view</w:t>
            </w:r>
          </w:p>
        </w:tc>
        <w:tc>
          <w:tcPr>
            <w:tcW w:type="dxa" w:w="1247"/>
          </w:tcPr>
          <w:p>
            <w:pPr>
              <w:spacing w:after="0"/>
            </w:pPr>
            <w:r/>
            <w:r>
              <w:rPr>
                <w:sz w:val="14"/>
              </w:rPr>
              <w:t>sales</w:t>
            </w:r>
          </w:p>
        </w:tc>
      </w:tr>
      <w:tr>
        <w:trPr>
          <w:cantSplit/>
        </w:trPr>
        <w:tc>
          <w:tcPr>
            <w:tcW w:type="dxa" w:w="3282"/>
          </w:tcPr>
          <w:p>
            <w:pPr>
              <w:spacing w:after="0"/>
            </w:pPr>
            <w:r/>
            <w:r>
              <w:rPr>
                <w:sz w:val="14"/>
              </w:rPr>
              <w:t>/sales/lhpp</w:t>
            </w:r>
          </w:p>
        </w:tc>
        <w:tc>
          <w:tcPr>
            <w:tcW w:type="dxa" w:w="2494"/>
          </w:tcPr>
          <w:p>
            <w:pPr>
              <w:spacing w:after="0"/>
            </w:pPr>
            <w:r/>
            <w:r>
              <w:rPr>
                <w:sz w:val="14"/>
              </w:rPr>
              <w:t>lhpp</w:t>
            </w:r>
          </w:p>
        </w:tc>
        <w:tc>
          <w:tcPr>
            <w:tcW w:type="dxa" w:w="2625"/>
          </w:tcPr>
          <w:p>
            <w:pPr>
              <w:spacing w:after="0"/>
            </w:pPr>
            <w:r/>
            <w:r>
              <w:rPr>
                <w:sz w:val="14"/>
              </w:rPr>
              <w:t>sales.lhpp.view</w:t>
            </w:r>
          </w:p>
        </w:tc>
        <w:tc>
          <w:tcPr>
            <w:tcW w:type="dxa" w:w="1247"/>
          </w:tcPr>
          <w:p>
            <w:pPr>
              <w:spacing w:after="0"/>
            </w:pPr>
            <w:r/>
            <w:r>
              <w:rPr>
                <w:sz w:val="14"/>
              </w:rPr>
              <w:t>sales</w:t>
            </w:r>
          </w:p>
        </w:tc>
      </w:tr>
      <w:tr>
        <w:trPr>
          <w:cantSplit/>
        </w:trPr>
        <w:tc>
          <w:tcPr>
            <w:tcW w:type="dxa" w:w="3282"/>
          </w:tcPr>
          <w:p>
            <w:pPr>
              <w:spacing w:after="0"/>
            </w:pPr>
            <w:r/>
            <w:r>
              <w:rPr>
                <w:sz w:val="14"/>
              </w:rPr>
              <w:t>/sales/targets</w:t>
            </w:r>
          </w:p>
        </w:tc>
        <w:tc>
          <w:tcPr>
            <w:tcW w:type="dxa" w:w="2494"/>
          </w:tcPr>
          <w:p>
            <w:pPr>
              <w:spacing w:after="0"/>
            </w:pPr>
            <w:r/>
            <w:r>
              <w:rPr>
                <w:sz w:val="14"/>
              </w:rPr>
              <w:t>sales-targets</w:t>
            </w:r>
          </w:p>
        </w:tc>
        <w:tc>
          <w:tcPr>
            <w:tcW w:type="dxa" w:w="2625"/>
          </w:tcPr>
          <w:p>
            <w:pPr>
              <w:spacing w:after="0"/>
            </w:pPr>
            <w:r/>
            <w:r>
              <w:rPr>
                <w:sz w:val="14"/>
              </w:rPr>
              <w:t>sales.targets.view</w:t>
            </w:r>
          </w:p>
        </w:tc>
        <w:tc>
          <w:tcPr>
            <w:tcW w:type="dxa" w:w="1247"/>
          </w:tcPr>
          <w:p>
            <w:pPr>
              <w:spacing w:after="0"/>
            </w:pPr>
            <w:r/>
            <w:r>
              <w:rPr>
                <w:sz w:val="14"/>
              </w:rPr>
              <w:t>sales</w:t>
            </w:r>
          </w:p>
        </w:tc>
      </w:tr>
      <w:tr>
        <w:trPr>
          <w:cantSplit/>
        </w:trPr>
        <w:tc>
          <w:tcPr>
            <w:tcW w:type="dxa" w:w="3282"/>
          </w:tcPr>
          <w:p>
            <w:pPr>
              <w:spacing w:after="0"/>
            </w:pPr>
            <w:r/>
            <w:r>
              <w:rPr>
                <w:sz w:val="14"/>
              </w:rPr>
              <w:t>/sales/vouchers</w:t>
            </w:r>
          </w:p>
        </w:tc>
        <w:tc>
          <w:tcPr>
            <w:tcW w:type="dxa" w:w="2494"/>
          </w:tcPr>
          <w:p>
            <w:pPr>
              <w:spacing w:after="0"/>
            </w:pPr>
            <w:r/>
            <w:r>
              <w:rPr>
                <w:sz w:val="14"/>
              </w:rPr>
              <w:t>sales-vouchers</w:t>
            </w:r>
          </w:p>
        </w:tc>
        <w:tc>
          <w:tcPr>
            <w:tcW w:type="dxa" w:w="2625"/>
          </w:tcPr>
          <w:p>
            <w:pPr>
              <w:spacing w:after="0"/>
            </w:pPr>
            <w:r/>
            <w:r>
              <w:rPr>
                <w:sz w:val="14"/>
              </w:rPr>
              <w:t>sales.sales-vouchers.view</w:t>
            </w:r>
          </w:p>
        </w:tc>
        <w:tc>
          <w:tcPr>
            <w:tcW w:type="dxa" w:w="1247"/>
          </w:tcPr>
          <w:p>
            <w:pPr>
              <w:spacing w:after="0"/>
            </w:pPr>
            <w:r/>
            <w:r>
              <w:rPr>
                <w:sz w:val="14"/>
              </w:rPr>
              <w:t>sales</w:t>
            </w:r>
          </w:p>
        </w:tc>
      </w:tr>
      <w:tr>
        <w:trPr>
          <w:cantSplit/>
        </w:trPr>
        <w:tc>
          <w:tcPr>
            <w:tcW w:type="dxa" w:w="3282"/>
          </w:tcPr>
          <w:p>
            <w:pPr>
              <w:spacing w:after="0"/>
            </w:pPr>
            <w:r/>
            <w:r>
              <w:rPr>
                <w:sz w:val="14"/>
              </w:rPr>
              <w:t>/distribution/customer-orders</w:t>
            </w:r>
          </w:p>
        </w:tc>
        <w:tc>
          <w:tcPr>
            <w:tcW w:type="dxa" w:w="2494"/>
          </w:tcPr>
          <w:p>
            <w:pPr>
              <w:spacing w:after="0"/>
            </w:pPr>
            <w:r/>
            <w:r>
              <w:rPr>
                <w:sz w:val="14"/>
              </w:rPr>
              <w:t>customer-orders</w:t>
            </w:r>
          </w:p>
        </w:tc>
        <w:tc>
          <w:tcPr>
            <w:tcW w:type="dxa" w:w="2625"/>
          </w:tcPr>
          <w:p>
            <w:pPr>
              <w:spacing w:after="0"/>
            </w:pPr>
            <w:r/>
            <w:r>
              <w:rPr>
                <w:sz w:val="14"/>
              </w:rPr>
              <w:t>sales.sales-orders.view</w:t>
            </w:r>
          </w:p>
        </w:tc>
        <w:tc>
          <w:tcPr>
            <w:tcW w:type="dxa" w:w="1247"/>
          </w:tcPr>
          <w:p>
            <w:pPr>
              <w:spacing w:after="0"/>
            </w:pPr>
            <w:r/>
            <w:r>
              <w:rPr>
                <w:sz w:val="14"/>
              </w:rPr>
              <w:t>distribution</w:t>
            </w:r>
          </w:p>
        </w:tc>
      </w:tr>
      <w:tr>
        <w:trPr>
          <w:cantSplit/>
        </w:trPr>
        <w:tc>
          <w:tcPr>
            <w:tcW w:type="dxa" w:w="3282"/>
          </w:tcPr>
          <w:p>
            <w:pPr>
              <w:spacing w:after="0"/>
            </w:pPr>
            <w:r/>
            <w:r>
              <w:rPr>
                <w:sz w:val="14"/>
              </w:rPr>
              <w:t>/distribution/delivery-orders</w:t>
            </w:r>
          </w:p>
        </w:tc>
        <w:tc>
          <w:tcPr>
            <w:tcW w:type="dxa" w:w="2494"/>
          </w:tcPr>
          <w:p>
            <w:pPr>
              <w:spacing w:after="0"/>
            </w:pPr>
            <w:r/>
            <w:r>
              <w:rPr>
                <w:sz w:val="14"/>
              </w:rPr>
              <w:t>delivery-orders</w:t>
            </w:r>
          </w:p>
        </w:tc>
        <w:tc>
          <w:tcPr>
            <w:tcW w:type="dxa" w:w="2625"/>
          </w:tcPr>
          <w:p>
            <w:pPr>
              <w:spacing w:after="0"/>
            </w:pPr>
            <w:r/>
            <w:r>
              <w:rPr>
                <w:sz w:val="14"/>
              </w:rPr>
              <w:t>distribution.delivery-orders.view</w:t>
            </w:r>
          </w:p>
        </w:tc>
        <w:tc>
          <w:tcPr>
            <w:tcW w:type="dxa" w:w="1247"/>
          </w:tcPr>
          <w:p>
            <w:pPr>
              <w:spacing w:after="0"/>
            </w:pPr>
            <w:r/>
            <w:r>
              <w:rPr>
                <w:sz w:val="14"/>
              </w:rPr>
              <w:t>distribution</w:t>
            </w:r>
          </w:p>
        </w:tc>
      </w:tr>
      <w:tr>
        <w:trPr>
          <w:cantSplit/>
        </w:trPr>
        <w:tc>
          <w:tcPr>
            <w:tcW w:type="dxa" w:w="3282"/>
          </w:tcPr>
          <w:p>
            <w:pPr>
              <w:spacing w:after="0"/>
            </w:pPr>
            <w:r/>
            <w:r>
              <w:rPr>
                <w:sz w:val="14"/>
              </w:rPr>
              <w:t>/distribution/drivers</w:t>
            </w:r>
          </w:p>
        </w:tc>
        <w:tc>
          <w:tcPr>
            <w:tcW w:type="dxa" w:w="2494"/>
          </w:tcPr>
          <w:p>
            <w:pPr>
              <w:spacing w:after="0"/>
            </w:pPr>
            <w:r/>
            <w:r>
              <w:rPr>
                <w:sz w:val="14"/>
              </w:rPr>
              <w:t>drivers</w:t>
            </w:r>
          </w:p>
        </w:tc>
        <w:tc>
          <w:tcPr>
            <w:tcW w:type="dxa" w:w="2625"/>
          </w:tcPr>
          <w:p>
            <w:pPr>
              <w:spacing w:after="0"/>
            </w:pPr>
            <w:r/>
            <w:r>
              <w:rPr>
                <w:sz w:val="14"/>
              </w:rPr>
              <w:t>distribution.dispatches.create</w:t>
            </w:r>
          </w:p>
        </w:tc>
        <w:tc>
          <w:tcPr>
            <w:tcW w:type="dxa" w:w="1247"/>
          </w:tcPr>
          <w:p>
            <w:pPr>
              <w:spacing w:after="0"/>
            </w:pPr>
            <w:r/>
            <w:r>
              <w:rPr>
                <w:sz w:val="14"/>
              </w:rPr>
              <w:t>distribution</w:t>
            </w:r>
          </w:p>
        </w:tc>
      </w:tr>
      <w:tr>
        <w:trPr>
          <w:cantSplit/>
        </w:trPr>
        <w:tc>
          <w:tcPr>
            <w:tcW w:type="dxa" w:w="3282"/>
          </w:tcPr>
          <w:p>
            <w:pPr>
              <w:spacing w:after="0"/>
            </w:pPr>
            <w:r/>
            <w:r>
              <w:rPr>
                <w:sz w:val="14"/>
              </w:rPr>
              <w:t>/finance/cashier-cash</w:t>
            </w:r>
          </w:p>
        </w:tc>
        <w:tc>
          <w:tcPr>
            <w:tcW w:type="dxa" w:w="2494"/>
          </w:tcPr>
          <w:p>
            <w:pPr>
              <w:spacing w:after="0"/>
            </w:pPr>
            <w:r/>
            <w:r>
              <w:rPr>
                <w:sz w:val="14"/>
              </w:rPr>
              <w:t>cashier-cash</w:t>
            </w:r>
          </w:p>
        </w:tc>
        <w:tc>
          <w:tcPr>
            <w:tcW w:type="dxa" w:w="2625"/>
          </w:tcPr>
          <w:p>
            <w:pPr>
              <w:spacing w:after="0"/>
            </w:pPr>
            <w:r/>
            <w:r>
              <w:rPr>
                <w:sz w:val="14"/>
              </w:rPr>
              <w:t>finance.cashflows.view</w:t>
            </w:r>
          </w:p>
        </w:tc>
        <w:tc>
          <w:tcPr>
            <w:tcW w:type="dxa" w:w="1247"/>
          </w:tcPr>
          <w:p>
            <w:pPr>
              <w:spacing w:after="0"/>
            </w:pPr>
            <w:r/>
            <w:r>
              <w:rPr>
                <w:sz w:val="14"/>
              </w:rPr>
              <w:t>finance</w:t>
            </w:r>
          </w:p>
        </w:tc>
      </w:tr>
      <w:tr>
        <w:trPr>
          <w:cantSplit/>
        </w:trPr>
        <w:tc>
          <w:tcPr>
            <w:tcW w:type="dxa" w:w="3282"/>
          </w:tcPr>
          <w:p>
            <w:pPr>
              <w:spacing w:after="0"/>
            </w:pPr>
            <w:r/>
            <w:r>
              <w:rPr>
                <w:sz w:val="14"/>
              </w:rPr>
              <w:t>/finance/cashflow</w:t>
            </w:r>
          </w:p>
        </w:tc>
        <w:tc>
          <w:tcPr>
            <w:tcW w:type="dxa" w:w="2494"/>
          </w:tcPr>
          <w:p>
            <w:pPr>
              <w:spacing w:after="0"/>
            </w:pPr>
            <w:r/>
            <w:r>
              <w:rPr>
                <w:sz w:val="14"/>
              </w:rPr>
              <w:t>cashflow</w:t>
            </w:r>
          </w:p>
        </w:tc>
        <w:tc>
          <w:tcPr>
            <w:tcW w:type="dxa" w:w="2625"/>
          </w:tcPr>
          <w:p>
            <w:pPr>
              <w:spacing w:after="0"/>
            </w:pPr>
            <w:r/>
            <w:r>
              <w:rPr>
                <w:sz w:val="14"/>
              </w:rPr>
              <w:t>finance.cashflows.view</w:t>
            </w:r>
          </w:p>
        </w:tc>
        <w:tc>
          <w:tcPr>
            <w:tcW w:type="dxa" w:w="1247"/>
          </w:tcPr>
          <w:p>
            <w:pPr>
              <w:spacing w:after="0"/>
            </w:pPr>
            <w:r/>
            <w:r>
              <w:rPr>
                <w:sz w:val="14"/>
              </w:rPr>
              <w:t>finance</w:t>
            </w:r>
          </w:p>
        </w:tc>
      </w:tr>
      <w:tr>
        <w:trPr>
          <w:cantSplit/>
        </w:trPr>
        <w:tc>
          <w:tcPr>
            <w:tcW w:type="dxa" w:w="3282"/>
          </w:tcPr>
          <w:p>
            <w:pPr>
              <w:spacing w:after="0"/>
            </w:pPr>
            <w:r/>
            <w:r>
              <w:rPr>
                <w:sz w:val="14"/>
              </w:rPr>
              <w:t>/finance/invoices</w:t>
            </w:r>
          </w:p>
        </w:tc>
        <w:tc>
          <w:tcPr>
            <w:tcW w:type="dxa" w:w="2494"/>
          </w:tcPr>
          <w:p>
            <w:pPr>
              <w:spacing w:after="0"/>
            </w:pPr>
            <w:r/>
            <w:r>
              <w:rPr>
                <w:sz w:val="14"/>
              </w:rPr>
              <w:t>invoices</w:t>
            </w:r>
          </w:p>
        </w:tc>
        <w:tc>
          <w:tcPr>
            <w:tcW w:type="dxa" w:w="2625"/>
          </w:tcPr>
          <w:p>
            <w:pPr>
              <w:spacing w:after="0"/>
            </w:pPr>
            <w:r/>
            <w:r>
              <w:rPr>
                <w:sz w:val="14"/>
              </w:rPr>
              <w:t>fakturisasi.invoices.view</w:t>
            </w:r>
          </w:p>
        </w:tc>
        <w:tc>
          <w:tcPr>
            <w:tcW w:type="dxa" w:w="1247"/>
          </w:tcPr>
          <w:p>
            <w:pPr>
              <w:spacing w:after="0"/>
            </w:pPr>
            <w:r/>
            <w:r>
              <w:rPr>
                <w:sz w:val="14"/>
              </w:rPr>
              <w:t>finance</w:t>
            </w:r>
          </w:p>
        </w:tc>
      </w:tr>
      <w:tr>
        <w:trPr>
          <w:cantSplit/>
        </w:trPr>
        <w:tc>
          <w:tcPr>
            <w:tcW w:type="dxa" w:w="3282"/>
          </w:tcPr>
          <w:p>
            <w:pPr>
              <w:spacing w:after="0"/>
            </w:pPr>
            <w:r/>
            <w:r>
              <w:rPr>
                <w:sz w:val="14"/>
              </w:rPr>
              <w:t>/finance/payments</w:t>
            </w:r>
          </w:p>
        </w:tc>
        <w:tc>
          <w:tcPr>
            <w:tcW w:type="dxa" w:w="2494"/>
          </w:tcPr>
          <w:p>
            <w:pPr>
              <w:spacing w:after="0"/>
            </w:pPr>
            <w:r/>
            <w:r>
              <w:rPr>
                <w:sz w:val="14"/>
              </w:rPr>
              <w:t>payments</w:t>
            </w:r>
          </w:p>
        </w:tc>
        <w:tc>
          <w:tcPr>
            <w:tcW w:type="dxa" w:w="2625"/>
          </w:tcPr>
          <w:p>
            <w:pPr>
              <w:spacing w:after="0"/>
            </w:pPr>
            <w:r/>
            <w:r>
              <w:rPr>
                <w:sz w:val="14"/>
              </w:rPr>
              <w:t>fakturisasi.payments.view</w:t>
            </w:r>
          </w:p>
        </w:tc>
        <w:tc>
          <w:tcPr>
            <w:tcW w:type="dxa" w:w="1247"/>
          </w:tcPr>
          <w:p>
            <w:pPr>
              <w:spacing w:after="0"/>
            </w:pPr>
            <w:r/>
            <w:r>
              <w:rPr>
                <w:sz w:val="14"/>
              </w:rPr>
              <w:t>finance</w:t>
            </w:r>
          </w:p>
        </w:tc>
      </w:tr>
      <w:tr>
        <w:trPr>
          <w:cantSplit/>
        </w:trPr>
        <w:tc>
          <w:tcPr>
            <w:tcW w:type="dxa" w:w="3282"/>
          </w:tcPr>
          <w:p>
            <w:pPr>
              <w:spacing w:after="0"/>
            </w:pPr>
            <w:r/>
            <w:r>
              <w:rPr>
                <w:sz w:val="14"/>
              </w:rPr>
              <w:t>/finance/receivables</w:t>
            </w:r>
          </w:p>
        </w:tc>
        <w:tc>
          <w:tcPr>
            <w:tcW w:type="dxa" w:w="2494"/>
          </w:tcPr>
          <w:p>
            <w:pPr>
              <w:spacing w:after="0"/>
            </w:pPr>
            <w:r/>
            <w:r>
              <w:rPr>
                <w:sz w:val="14"/>
              </w:rPr>
              <w:t>finance-receivables</w:t>
            </w:r>
          </w:p>
        </w:tc>
        <w:tc>
          <w:tcPr>
            <w:tcW w:type="dxa" w:w="2625"/>
          </w:tcPr>
          <w:p>
            <w:pPr>
              <w:spacing w:after="0"/>
            </w:pPr>
            <w:r/>
            <w:r>
              <w:rPr>
                <w:sz w:val="14"/>
              </w:rPr>
              <w:t>fakturisasi.invoices.view</w:t>
            </w:r>
          </w:p>
        </w:tc>
        <w:tc>
          <w:tcPr>
            <w:tcW w:type="dxa" w:w="1247"/>
          </w:tcPr>
          <w:p>
            <w:pPr>
              <w:spacing w:after="0"/>
            </w:pPr>
            <w:r/>
            <w:r>
              <w:rPr>
                <w:sz w:val="14"/>
              </w:rPr>
              <w:t>finance</w:t>
            </w:r>
          </w:p>
        </w:tc>
      </w:tr>
      <w:tr>
        <w:trPr>
          <w:cantSplit/>
        </w:trPr>
        <w:tc>
          <w:tcPr>
            <w:tcW w:type="dxa" w:w="3282"/>
          </w:tcPr>
          <w:p>
            <w:pPr>
              <w:spacing w:after="0"/>
            </w:pPr>
            <w:r/>
            <w:r>
              <w:rPr>
                <w:sz w:val="14"/>
              </w:rPr>
              <w:t>/finance/hub</w:t>
            </w:r>
          </w:p>
        </w:tc>
        <w:tc>
          <w:tcPr>
            <w:tcW w:type="dxa" w:w="2494"/>
          </w:tcPr>
          <w:p>
            <w:pPr>
              <w:spacing w:after="0"/>
            </w:pPr>
            <w:r/>
            <w:r>
              <w:rPr>
                <w:sz w:val="14"/>
              </w:rPr>
              <w:t>finance-hub</w:t>
            </w:r>
          </w:p>
        </w:tc>
        <w:tc>
          <w:tcPr>
            <w:tcW w:type="dxa" w:w="2625"/>
          </w:tcPr>
          <w:p>
            <w:pPr>
              <w:spacing w:after="0"/>
            </w:pPr>
            <w:r/>
            <w:r>
              <w:rPr>
                <w:sz w:val="14"/>
              </w:rPr>
              <w:t>finance.cashflows.view</w:t>
            </w:r>
          </w:p>
        </w:tc>
        <w:tc>
          <w:tcPr>
            <w:tcW w:type="dxa" w:w="1247"/>
          </w:tcPr>
          <w:p>
            <w:pPr>
              <w:spacing w:after="0"/>
            </w:pPr>
            <w:r/>
            <w:r>
              <w:rPr>
                <w:sz w:val="14"/>
              </w:rPr>
              <w:t>finance</w:t>
            </w:r>
          </w:p>
        </w:tc>
      </w:tr>
      <w:tr>
        <w:trPr>
          <w:cantSplit/>
        </w:trPr>
        <w:tc>
          <w:tcPr>
            <w:tcW w:type="dxa" w:w="3282"/>
          </w:tcPr>
          <w:p>
            <w:pPr>
              <w:spacing w:after="0"/>
            </w:pPr>
            <w:r/>
            <w:r>
              <w:rPr>
                <w:sz w:val="14"/>
              </w:rPr>
              <w:t>/accounting/journals/general</w:t>
            </w:r>
          </w:p>
        </w:tc>
        <w:tc>
          <w:tcPr>
            <w:tcW w:type="dxa" w:w="2494"/>
          </w:tcPr>
          <w:p>
            <w:pPr>
              <w:spacing w:after="0"/>
            </w:pPr>
            <w:r/>
            <w:r>
              <w:rPr>
                <w:sz w:val="14"/>
              </w:rPr>
              <w:t>accounting-journals-general</w:t>
            </w:r>
          </w:p>
        </w:tc>
        <w:tc>
          <w:tcPr>
            <w:tcW w:type="dxa" w:w="2625"/>
          </w:tcPr>
          <w:p>
            <w:pPr>
              <w:spacing w:after="0"/>
            </w:pPr>
            <w:r/>
            <w:r>
              <w:rPr>
                <w:sz w:val="14"/>
              </w:rPr>
              <w:t>accounting.journals.view</w:t>
            </w:r>
          </w:p>
        </w:tc>
        <w:tc>
          <w:tcPr>
            <w:tcW w:type="dxa" w:w="1247"/>
          </w:tcPr>
          <w:p>
            <w:pPr>
              <w:spacing w:after="0"/>
            </w:pPr>
            <w:r/>
            <w:r>
              <w:rPr>
                <w:sz w:val="14"/>
              </w:rPr>
              <w:t>accounting</w:t>
            </w:r>
          </w:p>
        </w:tc>
      </w:tr>
      <w:tr>
        <w:trPr>
          <w:cantSplit/>
        </w:trPr>
        <w:tc>
          <w:tcPr>
            <w:tcW w:type="dxa" w:w="3282"/>
          </w:tcPr>
          <w:p>
            <w:pPr>
              <w:spacing w:after="0"/>
            </w:pPr>
            <w:r/>
            <w:r>
              <w:rPr>
                <w:sz w:val="14"/>
              </w:rPr>
              <w:t>/accounting/journals/cash-disbursement</w:t>
            </w:r>
          </w:p>
        </w:tc>
        <w:tc>
          <w:tcPr>
            <w:tcW w:type="dxa" w:w="2494"/>
          </w:tcPr>
          <w:p>
            <w:pPr>
              <w:spacing w:after="0"/>
            </w:pPr>
            <w:r/>
            <w:r>
              <w:rPr>
                <w:sz w:val="14"/>
              </w:rPr>
              <w:t>accounting-journals-cash-disbursement</w:t>
            </w:r>
          </w:p>
        </w:tc>
        <w:tc>
          <w:tcPr>
            <w:tcW w:type="dxa" w:w="2625"/>
          </w:tcPr>
          <w:p>
            <w:pPr>
              <w:spacing w:after="0"/>
            </w:pPr>
            <w:r/>
            <w:r>
              <w:rPr>
                <w:sz w:val="14"/>
              </w:rPr>
              <w:t>accounting.journals.view</w:t>
            </w:r>
          </w:p>
        </w:tc>
        <w:tc>
          <w:tcPr>
            <w:tcW w:type="dxa" w:w="1247"/>
          </w:tcPr>
          <w:p>
            <w:pPr>
              <w:spacing w:after="0"/>
            </w:pPr>
            <w:r/>
            <w:r>
              <w:rPr>
                <w:sz w:val="14"/>
              </w:rPr>
              <w:t>accounting</w:t>
            </w:r>
          </w:p>
        </w:tc>
      </w:tr>
      <w:tr>
        <w:trPr>
          <w:cantSplit/>
        </w:trPr>
        <w:tc>
          <w:tcPr>
            <w:tcW w:type="dxa" w:w="3282"/>
          </w:tcPr>
          <w:p>
            <w:pPr>
              <w:spacing w:after="0"/>
            </w:pPr>
            <w:r/>
            <w:r>
              <w:rPr>
                <w:sz w:val="14"/>
              </w:rPr>
              <w:t>/accounting/journals/cash-receipt</w:t>
            </w:r>
          </w:p>
        </w:tc>
        <w:tc>
          <w:tcPr>
            <w:tcW w:type="dxa" w:w="2494"/>
          </w:tcPr>
          <w:p>
            <w:pPr>
              <w:spacing w:after="0"/>
            </w:pPr>
            <w:r/>
            <w:r>
              <w:rPr>
                <w:sz w:val="14"/>
              </w:rPr>
              <w:t>accounting-journals-cash-receipt</w:t>
            </w:r>
          </w:p>
        </w:tc>
        <w:tc>
          <w:tcPr>
            <w:tcW w:type="dxa" w:w="2625"/>
          </w:tcPr>
          <w:p>
            <w:pPr>
              <w:spacing w:after="0"/>
            </w:pPr>
            <w:r/>
            <w:r>
              <w:rPr>
                <w:sz w:val="14"/>
              </w:rPr>
              <w:t>accounting.journals.view</w:t>
            </w:r>
          </w:p>
        </w:tc>
        <w:tc>
          <w:tcPr>
            <w:tcW w:type="dxa" w:w="1247"/>
          </w:tcPr>
          <w:p>
            <w:pPr>
              <w:spacing w:after="0"/>
            </w:pPr>
            <w:r/>
            <w:r>
              <w:rPr>
                <w:sz w:val="14"/>
              </w:rPr>
              <w:t>accounting</w:t>
            </w:r>
          </w:p>
        </w:tc>
      </w:tr>
      <w:tr>
        <w:trPr>
          <w:cantSplit/>
        </w:trPr>
        <w:tc>
          <w:tcPr>
            <w:tcW w:type="dxa" w:w="3282"/>
          </w:tcPr>
          <w:p>
            <w:pPr>
              <w:spacing w:after="0"/>
            </w:pPr>
            <w:r/>
            <w:r>
              <w:rPr>
                <w:sz w:val="14"/>
              </w:rPr>
              <w:t>/accounting/journals/bank-disbursement</w:t>
            </w:r>
          </w:p>
        </w:tc>
        <w:tc>
          <w:tcPr>
            <w:tcW w:type="dxa" w:w="2494"/>
          </w:tcPr>
          <w:p>
            <w:pPr>
              <w:spacing w:after="0"/>
            </w:pPr>
            <w:r/>
            <w:r>
              <w:rPr>
                <w:sz w:val="14"/>
              </w:rPr>
              <w:t>accounting-journals-bank-disbursement</w:t>
            </w:r>
          </w:p>
        </w:tc>
        <w:tc>
          <w:tcPr>
            <w:tcW w:type="dxa" w:w="2625"/>
          </w:tcPr>
          <w:p>
            <w:pPr>
              <w:spacing w:after="0"/>
            </w:pPr>
            <w:r/>
            <w:r>
              <w:rPr>
                <w:sz w:val="14"/>
              </w:rPr>
              <w:t>accounting.journals.view</w:t>
            </w:r>
          </w:p>
        </w:tc>
        <w:tc>
          <w:tcPr>
            <w:tcW w:type="dxa" w:w="1247"/>
          </w:tcPr>
          <w:p>
            <w:pPr>
              <w:spacing w:after="0"/>
            </w:pPr>
            <w:r/>
            <w:r>
              <w:rPr>
                <w:sz w:val="14"/>
              </w:rPr>
              <w:t>accounting</w:t>
            </w:r>
          </w:p>
        </w:tc>
      </w:tr>
      <w:tr>
        <w:trPr>
          <w:cantSplit/>
        </w:trPr>
        <w:tc>
          <w:tcPr>
            <w:tcW w:type="dxa" w:w="3282"/>
          </w:tcPr>
          <w:p>
            <w:pPr>
              <w:spacing w:after="0"/>
            </w:pPr>
            <w:r/>
            <w:r>
              <w:rPr>
                <w:sz w:val="14"/>
              </w:rPr>
              <w:t>/accounting/journals/bank-receipt</w:t>
            </w:r>
          </w:p>
        </w:tc>
        <w:tc>
          <w:tcPr>
            <w:tcW w:type="dxa" w:w="2494"/>
          </w:tcPr>
          <w:p>
            <w:pPr>
              <w:spacing w:after="0"/>
            </w:pPr>
            <w:r/>
            <w:r>
              <w:rPr>
                <w:sz w:val="14"/>
              </w:rPr>
              <w:t>accounting-journals-bank-receipt</w:t>
            </w:r>
          </w:p>
        </w:tc>
        <w:tc>
          <w:tcPr>
            <w:tcW w:type="dxa" w:w="2625"/>
          </w:tcPr>
          <w:p>
            <w:pPr>
              <w:spacing w:after="0"/>
            </w:pPr>
            <w:r/>
            <w:r>
              <w:rPr>
                <w:sz w:val="14"/>
              </w:rPr>
              <w:t>accounting.journals.view</w:t>
            </w:r>
          </w:p>
        </w:tc>
        <w:tc>
          <w:tcPr>
            <w:tcW w:type="dxa" w:w="1247"/>
          </w:tcPr>
          <w:p>
            <w:pPr>
              <w:spacing w:after="0"/>
            </w:pPr>
            <w:r/>
            <w:r>
              <w:rPr>
                <w:sz w:val="14"/>
              </w:rPr>
              <w:t>accounting</w:t>
            </w:r>
          </w:p>
        </w:tc>
      </w:tr>
      <w:tr>
        <w:trPr>
          <w:cantSplit/>
        </w:trPr>
        <w:tc>
          <w:tcPr>
            <w:tcW w:type="dxa" w:w="3282"/>
          </w:tcPr>
          <w:p>
            <w:pPr>
              <w:spacing w:after="0"/>
            </w:pPr>
            <w:r/>
            <w:r>
              <w:rPr>
                <w:sz w:val="14"/>
              </w:rPr>
              <w:t>/accounting/journals/deposit-receipt</w:t>
            </w:r>
          </w:p>
        </w:tc>
        <w:tc>
          <w:tcPr>
            <w:tcW w:type="dxa" w:w="2494"/>
          </w:tcPr>
          <w:p>
            <w:pPr>
              <w:spacing w:after="0"/>
            </w:pPr>
            <w:r/>
            <w:r>
              <w:rPr>
                <w:sz w:val="14"/>
              </w:rPr>
              <w:t>accounting-journals-deposit-receipt</w:t>
            </w:r>
          </w:p>
        </w:tc>
        <w:tc>
          <w:tcPr>
            <w:tcW w:type="dxa" w:w="2625"/>
          </w:tcPr>
          <w:p>
            <w:pPr>
              <w:spacing w:after="0"/>
            </w:pPr>
            <w:r/>
            <w:r>
              <w:rPr>
                <w:sz w:val="14"/>
              </w:rPr>
              <w:t>accounting.journals.view</w:t>
            </w:r>
          </w:p>
        </w:tc>
        <w:tc>
          <w:tcPr>
            <w:tcW w:type="dxa" w:w="1247"/>
          </w:tcPr>
          <w:p>
            <w:pPr>
              <w:spacing w:after="0"/>
            </w:pPr>
            <w:r/>
            <w:r>
              <w:rPr>
                <w:sz w:val="14"/>
              </w:rPr>
              <w:t>accounting</w:t>
            </w:r>
          </w:p>
        </w:tc>
      </w:tr>
      <w:tr>
        <w:trPr>
          <w:cantSplit/>
        </w:trPr>
        <w:tc>
          <w:tcPr>
            <w:tcW w:type="dxa" w:w="3282"/>
          </w:tcPr>
          <w:p>
            <w:pPr>
              <w:spacing w:after="0"/>
            </w:pPr>
            <w:r/>
            <w:r>
              <w:rPr>
                <w:sz w:val="14"/>
              </w:rPr>
              <w:t>/accounting/journals/deposit-payment</w:t>
            </w:r>
          </w:p>
        </w:tc>
        <w:tc>
          <w:tcPr>
            <w:tcW w:type="dxa" w:w="2494"/>
          </w:tcPr>
          <w:p>
            <w:pPr>
              <w:spacing w:after="0"/>
            </w:pPr>
            <w:r/>
            <w:r>
              <w:rPr>
                <w:sz w:val="14"/>
              </w:rPr>
              <w:t>accounting-journals-deposit-payment</w:t>
            </w:r>
          </w:p>
        </w:tc>
        <w:tc>
          <w:tcPr>
            <w:tcW w:type="dxa" w:w="2625"/>
          </w:tcPr>
          <w:p>
            <w:pPr>
              <w:spacing w:after="0"/>
            </w:pPr>
            <w:r/>
            <w:r>
              <w:rPr>
                <w:sz w:val="14"/>
              </w:rPr>
              <w:t>accounting.journals.view</w:t>
            </w:r>
          </w:p>
        </w:tc>
        <w:tc>
          <w:tcPr>
            <w:tcW w:type="dxa" w:w="1247"/>
          </w:tcPr>
          <w:p>
            <w:pPr>
              <w:spacing w:after="0"/>
            </w:pPr>
            <w:r/>
            <w:r>
              <w:rPr>
                <w:sz w:val="14"/>
              </w:rPr>
              <w:t>accounting</w:t>
            </w:r>
          </w:p>
        </w:tc>
      </w:tr>
      <w:tr>
        <w:trPr>
          <w:cantSplit/>
        </w:trPr>
        <w:tc>
          <w:tcPr>
            <w:tcW w:type="dxa" w:w="3282"/>
          </w:tcPr>
          <w:p>
            <w:pPr>
              <w:spacing w:after="0"/>
            </w:pPr>
            <w:r/>
            <w:r>
              <w:rPr>
                <w:sz w:val="14"/>
              </w:rPr>
              <w:t>/accounting/ledger</w:t>
            </w:r>
          </w:p>
        </w:tc>
        <w:tc>
          <w:tcPr>
            <w:tcW w:type="dxa" w:w="2494"/>
          </w:tcPr>
          <w:p>
            <w:pPr>
              <w:spacing w:after="0"/>
            </w:pPr>
            <w:r/>
            <w:r>
              <w:rPr>
                <w:sz w:val="14"/>
              </w:rPr>
              <w:t>accounting-ledger</w:t>
            </w:r>
          </w:p>
        </w:tc>
        <w:tc>
          <w:tcPr>
            <w:tcW w:type="dxa" w:w="2625"/>
          </w:tcPr>
          <w:p>
            <w:pPr>
              <w:spacing w:after="0"/>
            </w:pPr>
            <w:r/>
            <w:r>
              <w:rPr>
                <w:sz w:val="14"/>
              </w:rPr>
              <w:t>accounting.ledger.view</w:t>
            </w:r>
          </w:p>
        </w:tc>
        <w:tc>
          <w:tcPr>
            <w:tcW w:type="dxa" w:w="1247"/>
          </w:tcPr>
          <w:p>
            <w:pPr>
              <w:spacing w:after="0"/>
            </w:pPr>
            <w:r/>
            <w:r>
              <w:rPr>
                <w:sz w:val="14"/>
              </w:rPr>
              <w:t>accounting</w:t>
            </w:r>
          </w:p>
        </w:tc>
      </w:tr>
      <w:tr>
        <w:trPr>
          <w:cantSplit/>
        </w:trPr>
        <w:tc>
          <w:tcPr>
            <w:tcW w:type="dxa" w:w="3282"/>
          </w:tcPr>
          <w:p>
            <w:pPr>
              <w:spacing w:after="0"/>
            </w:pPr>
            <w:r/>
            <w:r>
              <w:rPr>
                <w:sz w:val="14"/>
              </w:rPr>
              <w:t>/accounting/coa</w:t>
            </w:r>
          </w:p>
        </w:tc>
        <w:tc>
          <w:tcPr>
            <w:tcW w:type="dxa" w:w="2494"/>
          </w:tcPr>
          <w:p>
            <w:pPr>
              <w:spacing w:after="0"/>
            </w:pPr>
            <w:r/>
            <w:r>
              <w:rPr>
                <w:sz w:val="14"/>
              </w:rPr>
              <w:t>accounting-coa</w:t>
            </w:r>
          </w:p>
        </w:tc>
        <w:tc>
          <w:tcPr>
            <w:tcW w:type="dxa" w:w="2625"/>
          </w:tcPr>
          <w:p>
            <w:pPr>
              <w:spacing w:after="0"/>
            </w:pPr>
            <w:r/>
            <w:r>
              <w:rPr>
                <w:sz w:val="14"/>
              </w:rPr>
              <w:t>accounting.accounts.view</w:t>
            </w:r>
          </w:p>
        </w:tc>
        <w:tc>
          <w:tcPr>
            <w:tcW w:type="dxa" w:w="1247"/>
          </w:tcPr>
          <w:p>
            <w:pPr>
              <w:spacing w:after="0"/>
            </w:pPr>
            <w:r/>
            <w:r>
              <w:rPr>
                <w:sz w:val="14"/>
              </w:rPr>
              <w:t>accounting</w:t>
            </w:r>
          </w:p>
        </w:tc>
      </w:tr>
      <w:tr>
        <w:trPr>
          <w:cantSplit/>
        </w:trPr>
        <w:tc>
          <w:tcPr>
            <w:tcW w:type="dxa" w:w="3282"/>
          </w:tcPr>
          <w:p>
            <w:pPr>
              <w:spacing w:after="0"/>
            </w:pPr>
            <w:r/>
            <w:r>
              <w:rPr>
                <w:sz w:val="14"/>
              </w:rPr>
              <w:t>/accounting/advances</w:t>
            </w:r>
          </w:p>
        </w:tc>
        <w:tc>
          <w:tcPr>
            <w:tcW w:type="dxa" w:w="2494"/>
          </w:tcPr>
          <w:p>
            <w:pPr>
              <w:spacing w:after="0"/>
            </w:pPr>
            <w:r/>
            <w:r>
              <w:rPr>
                <w:sz w:val="14"/>
              </w:rPr>
              <w:t>accounting-advances</w:t>
            </w:r>
          </w:p>
        </w:tc>
        <w:tc>
          <w:tcPr>
            <w:tcW w:type="dxa" w:w="2625"/>
          </w:tcPr>
          <w:p>
            <w:pPr>
              <w:spacing w:after="0"/>
            </w:pPr>
            <w:r/>
            <w:r>
              <w:rPr>
                <w:sz w:val="14"/>
              </w:rPr>
              <w:t>accounting.advances.view</w:t>
            </w:r>
          </w:p>
        </w:tc>
        <w:tc>
          <w:tcPr>
            <w:tcW w:type="dxa" w:w="1247"/>
          </w:tcPr>
          <w:p>
            <w:pPr>
              <w:spacing w:after="0"/>
            </w:pPr>
            <w:r/>
            <w:r>
              <w:rPr>
                <w:sz w:val="14"/>
              </w:rPr>
              <w:t>accounting</w:t>
            </w:r>
          </w:p>
        </w:tc>
      </w:tr>
      <w:tr>
        <w:trPr>
          <w:cantSplit/>
        </w:trPr>
        <w:tc>
          <w:tcPr>
            <w:tcW w:type="dxa" w:w="3282"/>
          </w:tcPr>
          <w:p>
            <w:pPr>
              <w:spacing w:after="0"/>
            </w:pPr>
            <w:r/>
            <w:r>
              <w:rPr>
                <w:sz w:val="14"/>
              </w:rPr>
              <w:t>/reports/cashflow-statement</w:t>
            </w:r>
          </w:p>
        </w:tc>
        <w:tc>
          <w:tcPr>
            <w:tcW w:type="dxa" w:w="2494"/>
          </w:tcPr>
          <w:p>
            <w:pPr>
              <w:spacing w:after="0"/>
            </w:pPr>
            <w:r/>
            <w:r>
              <w:rPr>
                <w:sz w:val="14"/>
              </w:rPr>
              <w:t>reports-cashflow-statement</w:t>
            </w:r>
          </w:p>
        </w:tc>
        <w:tc>
          <w:tcPr>
            <w:tcW w:type="dxa" w:w="2625"/>
          </w:tcPr>
          <w:p>
            <w:pPr>
              <w:spacing w:after="0"/>
            </w:pPr>
            <w:r/>
            <w:r>
              <w:rPr>
                <w:sz w:val="14"/>
              </w:rPr>
              <w:t>finance.reports.view</w:t>
            </w:r>
          </w:p>
        </w:tc>
        <w:tc>
          <w:tcPr>
            <w:tcW w:type="dxa" w:w="1247"/>
          </w:tcPr>
          <w:p>
            <w:pPr>
              <w:spacing w:after="0"/>
            </w:pPr>
            <w:r/>
            <w:r>
              <w:rPr>
                <w:sz w:val="14"/>
              </w:rPr>
              <w:t>reports</w:t>
            </w:r>
          </w:p>
        </w:tc>
      </w:tr>
      <w:tr>
        <w:trPr>
          <w:cantSplit/>
        </w:trPr>
        <w:tc>
          <w:tcPr>
            <w:tcW w:type="dxa" w:w="3282"/>
          </w:tcPr>
          <w:p>
            <w:pPr>
              <w:spacing w:after="0"/>
            </w:pPr>
            <w:r/>
            <w:r>
              <w:rPr>
                <w:sz w:val="14"/>
              </w:rPr>
              <w:t>/reports/profit-loss</w:t>
            </w:r>
          </w:p>
        </w:tc>
        <w:tc>
          <w:tcPr>
            <w:tcW w:type="dxa" w:w="2494"/>
          </w:tcPr>
          <w:p>
            <w:pPr>
              <w:spacing w:after="0"/>
            </w:pPr>
            <w:r/>
            <w:r>
              <w:rPr>
                <w:sz w:val="14"/>
              </w:rPr>
              <w:t>reports-profit-loss</w:t>
            </w:r>
          </w:p>
        </w:tc>
        <w:tc>
          <w:tcPr>
            <w:tcW w:type="dxa" w:w="2625"/>
          </w:tcPr>
          <w:p>
            <w:pPr>
              <w:spacing w:after="0"/>
            </w:pPr>
            <w:r/>
            <w:r>
              <w:rPr>
                <w:sz w:val="14"/>
              </w:rPr>
              <w:t>finance.reports.view</w:t>
            </w:r>
          </w:p>
        </w:tc>
        <w:tc>
          <w:tcPr>
            <w:tcW w:type="dxa" w:w="1247"/>
          </w:tcPr>
          <w:p>
            <w:pPr>
              <w:spacing w:after="0"/>
            </w:pPr>
            <w:r/>
            <w:r>
              <w:rPr>
                <w:sz w:val="14"/>
              </w:rPr>
              <w:t>reports</w:t>
            </w:r>
          </w:p>
        </w:tc>
      </w:tr>
      <w:tr>
        <w:trPr>
          <w:cantSplit/>
        </w:trPr>
        <w:tc>
          <w:tcPr>
            <w:tcW w:type="dxa" w:w="3282"/>
          </w:tcPr>
          <w:p>
            <w:pPr>
              <w:spacing w:after="0"/>
            </w:pPr>
            <w:r/>
            <w:r>
              <w:rPr>
                <w:sz w:val="14"/>
              </w:rPr>
              <w:t>/reports/balance-sheet</w:t>
            </w:r>
          </w:p>
        </w:tc>
        <w:tc>
          <w:tcPr>
            <w:tcW w:type="dxa" w:w="2494"/>
          </w:tcPr>
          <w:p>
            <w:pPr>
              <w:spacing w:after="0"/>
            </w:pPr>
            <w:r/>
            <w:r>
              <w:rPr>
                <w:sz w:val="14"/>
              </w:rPr>
              <w:t>reports-balance-sheet</w:t>
            </w:r>
          </w:p>
        </w:tc>
        <w:tc>
          <w:tcPr>
            <w:tcW w:type="dxa" w:w="2625"/>
          </w:tcPr>
          <w:p>
            <w:pPr>
              <w:spacing w:after="0"/>
            </w:pPr>
            <w:r/>
            <w:r>
              <w:rPr>
                <w:sz w:val="14"/>
              </w:rPr>
              <w:t>finance.reports.view</w:t>
            </w:r>
          </w:p>
        </w:tc>
        <w:tc>
          <w:tcPr>
            <w:tcW w:type="dxa" w:w="1247"/>
          </w:tcPr>
          <w:p>
            <w:pPr>
              <w:spacing w:after="0"/>
            </w:pPr>
            <w:r/>
            <w:r>
              <w:rPr>
                <w:sz w:val="14"/>
              </w:rPr>
              <w:t>reports</w:t>
            </w:r>
          </w:p>
        </w:tc>
      </w:tr>
      <w:tr>
        <w:trPr>
          <w:cantSplit/>
        </w:trPr>
        <w:tc>
          <w:tcPr>
            <w:tcW w:type="dxa" w:w="3282"/>
          </w:tcPr>
          <w:p>
            <w:pPr>
              <w:spacing w:after="0"/>
            </w:pPr>
            <w:r/>
            <w:r>
              <w:rPr>
                <w:sz w:val="14"/>
              </w:rPr>
              <w:t>/reports/sales</w:t>
            </w:r>
          </w:p>
        </w:tc>
        <w:tc>
          <w:tcPr>
            <w:tcW w:type="dxa" w:w="2494"/>
          </w:tcPr>
          <w:p>
            <w:pPr>
              <w:spacing w:after="0"/>
            </w:pPr>
            <w:r/>
            <w:r>
              <w:rPr>
                <w:sz w:val="14"/>
              </w:rPr>
              <w:t>reports-sales</w:t>
            </w:r>
          </w:p>
        </w:tc>
        <w:tc>
          <w:tcPr>
            <w:tcW w:type="dxa" w:w="2625"/>
          </w:tcPr>
          <w:p>
            <w:pPr>
              <w:spacing w:after="0"/>
            </w:pPr>
            <w:r/>
            <w:r>
              <w:rPr>
                <w:sz w:val="14"/>
              </w:rPr>
              <w:t>sales.reports.view</w:t>
            </w:r>
          </w:p>
        </w:tc>
        <w:tc>
          <w:tcPr>
            <w:tcW w:type="dxa" w:w="1247"/>
          </w:tcPr>
          <w:p>
            <w:pPr>
              <w:spacing w:after="0"/>
            </w:pPr>
            <w:r/>
            <w:r>
              <w:rPr>
                <w:sz w:val="14"/>
              </w:rPr>
              <w:t>reports</w:t>
            </w:r>
          </w:p>
        </w:tc>
      </w:tr>
      <w:tr>
        <w:trPr>
          <w:cantSplit/>
        </w:trPr>
        <w:tc>
          <w:tcPr>
            <w:tcW w:type="dxa" w:w="3282"/>
          </w:tcPr>
          <w:p>
            <w:pPr>
              <w:spacing w:after="0"/>
            </w:pPr>
            <w:r/>
            <w:r>
              <w:rPr>
                <w:sz w:val="14"/>
              </w:rPr>
              <w:t>/reports/sales-breakdown</w:t>
            </w:r>
          </w:p>
        </w:tc>
        <w:tc>
          <w:tcPr>
            <w:tcW w:type="dxa" w:w="2494"/>
          </w:tcPr>
          <w:p>
            <w:pPr>
              <w:spacing w:after="0"/>
            </w:pPr>
            <w:r/>
            <w:r>
              <w:rPr>
                <w:sz w:val="14"/>
              </w:rPr>
              <w:t>reports-sales-breakdown</w:t>
            </w:r>
          </w:p>
        </w:tc>
        <w:tc>
          <w:tcPr>
            <w:tcW w:type="dxa" w:w="2625"/>
          </w:tcPr>
          <w:p>
            <w:pPr>
              <w:spacing w:after="0"/>
            </w:pPr>
            <w:r/>
            <w:r>
              <w:rPr>
                <w:sz w:val="14"/>
              </w:rPr>
              <w:t>sales.reports.view</w:t>
            </w:r>
          </w:p>
        </w:tc>
        <w:tc>
          <w:tcPr>
            <w:tcW w:type="dxa" w:w="1247"/>
          </w:tcPr>
          <w:p>
            <w:pPr>
              <w:spacing w:after="0"/>
            </w:pPr>
            <w:r/>
            <w:r>
              <w:rPr>
                <w:sz w:val="14"/>
              </w:rPr>
              <w:t>reports</w:t>
            </w:r>
          </w:p>
        </w:tc>
      </w:tr>
      <w:tr>
        <w:trPr>
          <w:cantSplit/>
        </w:trPr>
        <w:tc>
          <w:tcPr>
            <w:tcW w:type="dxa" w:w="3282"/>
          </w:tcPr>
          <w:p>
            <w:pPr>
              <w:spacing w:after="0"/>
            </w:pPr>
            <w:r/>
            <w:r>
              <w:rPr>
                <w:sz w:val="14"/>
              </w:rPr>
              <w:t>/reports/purchase-breakdown</w:t>
            </w:r>
          </w:p>
        </w:tc>
        <w:tc>
          <w:tcPr>
            <w:tcW w:type="dxa" w:w="2494"/>
          </w:tcPr>
          <w:p>
            <w:pPr>
              <w:spacing w:after="0"/>
            </w:pPr>
            <w:r/>
            <w:r>
              <w:rPr>
                <w:sz w:val="14"/>
              </w:rPr>
              <w:t>reports-purchase-breakdown</w:t>
            </w:r>
          </w:p>
        </w:tc>
        <w:tc>
          <w:tcPr>
            <w:tcW w:type="dxa" w:w="2625"/>
          </w:tcPr>
          <w:p>
            <w:pPr>
              <w:spacing w:after="0"/>
            </w:pPr>
            <w:r/>
            <w:r>
              <w:rPr>
                <w:sz w:val="14"/>
              </w:rPr>
              <w:t>finance.reports.view</w:t>
            </w:r>
          </w:p>
        </w:tc>
        <w:tc>
          <w:tcPr>
            <w:tcW w:type="dxa" w:w="1247"/>
          </w:tcPr>
          <w:p>
            <w:pPr>
              <w:spacing w:after="0"/>
            </w:pPr>
            <w:r/>
            <w:r>
              <w:rPr>
                <w:sz w:val="14"/>
              </w:rPr>
              <w:t>reports</w:t>
            </w:r>
          </w:p>
        </w:tc>
      </w:tr>
      <w:tr>
        <w:trPr>
          <w:cantSplit/>
        </w:trPr>
        <w:tc>
          <w:tcPr>
            <w:tcW w:type="dxa" w:w="3282"/>
          </w:tcPr>
          <w:p>
            <w:pPr>
              <w:spacing w:after="0"/>
            </w:pPr>
            <w:r/>
            <w:r>
              <w:rPr>
                <w:sz w:val="14"/>
              </w:rPr>
              <w:t>/reports/aging</w:t>
            </w:r>
          </w:p>
        </w:tc>
        <w:tc>
          <w:tcPr>
            <w:tcW w:type="dxa" w:w="2494"/>
          </w:tcPr>
          <w:p>
            <w:pPr>
              <w:spacing w:after="0"/>
            </w:pPr>
            <w:r/>
            <w:r>
              <w:rPr>
                <w:sz w:val="14"/>
              </w:rPr>
              <w:t>reports-aging</w:t>
            </w:r>
          </w:p>
        </w:tc>
        <w:tc>
          <w:tcPr>
            <w:tcW w:type="dxa" w:w="2625"/>
          </w:tcPr>
          <w:p>
            <w:pPr>
              <w:spacing w:after="0"/>
            </w:pPr>
            <w:r/>
            <w:r>
              <w:rPr>
                <w:sz w:val="14"/>
              </w:rPr>
              <w:t>finance.reports.view</w:t>
            </w:r>
          </w:p>
        </w:tc>
        <w:tc>
          <w:tcPr>
            <w:tcW w:type="dxa" w:w="1247"/>
          </w:tcPr>
          <w:p>
            <w:pPr>
              <w:spacing w:after="0"/>
            </w:pPr>
            <w:r/>
            <w:r>
              <w:rPr>
                <w:sz w:val="14"/>
              </w:rPr>
              <w:t>reports</w:t>
            </w:r>
          </w:p>
        </w:tc>
      </w:tr>
      <w:tr>
        <w:trPr>
          <w:cantSplit/>
        </w:trPr>
        <w:tc>
          <w:tcPr>
            <w:tcW w:type="dxa" w:w="3282"/>
          </w:tcPr>
          <w:p>
            <w:pPr>
              <w:spacing w:after="0"/>
            </w:pPr>
            <w:r/>
            <w:r>
              <w:rPr>
                <w:sz w:val="14"/>
              </w:rPr>
              <w:t>/reports/stock</w:t>
            </w:r>
          </w:p>
        </w:tc>
        <w:tc>
          <w:tcPr>
            <w:tcW w:type="dxa" w:w="2494"/>
          </w:tcPr>
          <w:p>
            <w:pPr>
              <w:spacing w:after="0"/>
            </w:pPr>
            <w:r/>
            <w:r>
              <w:rPr>
                <w:sz w:val="14"/>
              </w:rPr>
              <w:t>reports-stock</w:t>
            </w:r>
          </w:p>
        </w:tc>
        <w:tc>
          <w:tcPr>
            <w:tcW w:type="dxa" w:w="2625"/>
          </w:tcPr>
          <w:p>
            <w:pPr>
              <w:spacing w:after="0"/>
            </w:pPr>
            <w:r/>
            <w:r>
              <w:rPr>
                <w:sz w:val="14"/>
              </w:rPr>
              <w:t>inventory.stock.view</w:t>
            </w:r>
          </w:p>
        </w:tc>
        <w:tc>
          <w:tcPr>
            <w:tcW w:type="dxa" w:w="1247"/>
          </w:tcPr>
          <w:p>
            <w:pPr>
              <w:spacing w:after="0"/>
            </w:pPr>
            <w:r/>
            <w:r>
              <w:rPr>
                <w:sz w:val="14"/>
              </w:rPr>
              <w:t>reports</w:t>
            </w:r>
          </w:p>
        </w:tc>
      </w:tr>
      <w:tr>
        <w:trPr>
          <w:cantSplit/>
        </w:trPr>
        <w:tc>
          <w:tcPr>
            <w:tcW w:type="dxa" w:w="3282"/>
          </w:tcPr>
          <w:p>
            <w:pPr>
              <w:spacing w:after="0"/>
            </w:pPr>
            <w:r/>
            <w:r>
              <w:rPr>
                <w:sz w:val="14"/>
              </w:rPr>
              <w:t>/reports/stock-detail</w:t>
            </w:r>
          </w:p>
        </w:tc>
        <w:tc>
          <w:tcPr>
            <w:tcW w:type="dxa" w:w="2494"/>
          </w:tcPr>
          <w:p>
            <w:pPr>
              <w:spacing w:after="0"/>
            </w:pPr>
            <w:r/>
            <w:r>
              <w:rPr>
                <w:sz w:val="14"/>
              </w:rPr>
              <w:t>reports-stock-detail</w:t>
            </w:r>
          </w:p>
        </w:tc>
        <w:tc>
          <w:tcPr>
            <w:tcW w:type="dxa" w:w="2625"/>
          </w:tcPr>
          <w:p>
            <w:pPr>
              <w:spacing w:after="0"/>
            </w:pPr>
            <w:r/>
            <w:r>
              <w:rPr>
                <w:sz w:val="14"/>
              </w:rPr>
              <w:t>inventory.stock.view</w:t>
            </w:r>
          </w:p>
        </w:tc>
        <w:tc>
          <w:tcPr>
            <w:tcW w:type="dxa" w:w="1247"/>
          </w:tcPr>
          <w:p>
            <w:pPr>
              <w:spacing w:after="0"/>
            </w:pPr>
            <w:r/>
            <w:r>
              <w:rPr>
                <w:sz w:val="14"/>
              </w:rPr>
              <w:t>reports</w:t>
            </w:r>
          </w:p>
        </w:tc>
      </w:tr>
      <w:tr>
        <w:trPr>
          <w:cantSplit/>
        </w:trPr>
        <w:tc>
          <w:tcPr>
            <w:tcW w:type="dxa" w:w="3282"/>
          </w:tcPr>
          <w:p>
            <w:pPr>
              <w:spacing w:after="0"/>
            </w:pPr>
            <w:r/>
            <w:r>
              <w:rPr>
                <w:sz w:val="14"/>
              </w:rPr>
              <w:t>/reports/consolidated</w:t>
            </w:r>
          </w:p>
        </w:tc>
        <w:tc>
          <w:tcPr>
            <w:tcW w:type="dxa" w:w="2494"/>
          </w:tcPr>
          <w:p>
            <w:pPr>
              <w:spacing w:after="0"/>
            </w:pPr>
            <w:r/>
            <w:r>
              <w:rPr>
                <w:sz w:val="14"/>
              </w:rPr>
              <w:t>consolidated</w:t>
            </w:r>
          </w:p>
        </w:tc>
        <w:tc>
          <w:tcPr>
            <w:tcW w:type="dxa" w:w="2625"/>
          </w:tcPr>
          <w:p>
            <w:pPr>
              <w:spacing w:after="0"/>
            </w:pPr>
            <w:r/>
            <w:r>
              <w:rPr>
                <w:sz w:val="14"/>
              </w:rPr>
              <w:t>finance.reports.view</w:t>
            </w:r>
          </w:p>
        </w:tc>
        <w:tc>
          <w:tcPr>
            <w:tcW w:type="dxa" w:w="1247"/>
          </w:tcPr>
          <w:p>
            <w:pPr>
              <w:spacing w:after="0"/>
            </w:pPr>
            <w:r/>
            <w:r>
              <w:rPr>
                <w:sz w:val="14"/>
              </w:rPr>
              <w:t>reports</w:t>
            </w:r>
          </w:p>
        </w:tc>
      </w:tr>
      <w:tr>
        <w:trPr>
          <w:cantSplit/>
        </w:trPr>
        <w:tc>
          <w:tcPr>
            <w:tcW w:type="dxa" w:w="3282"/>
          </w:tcPr>
          <w:p>
            <w:pPr>
              <w:spacing w:after="0"/>
            </w:pPr>
            <w:r/>
            <w:r>
              <w:rPr>
                <w:sz w:val="14"/>
              </w:rPr>
              <w:t>/warehouse</w:t>
            </w:r>
          </w:p>
        </w:tc>
        <w:tc>
          <w:tcPr>
            <w:tcW w:type="dxa" w:w="2494"/>
          </w:tcPr>
          <w:p>
            <w:pPr>
              <w:spacing w:after="0"/>
            </w:pPr>
            <w:r/>
            <w:r>
              <w:rPr>
                <w:sz w:val="14"/>
              </w:rPr>
              <w:t>warehouse</w:t>
            </w:r>
          </w:p>
        </w:tc>
        <w:tc>
          <w:tcPr>
            <w:tcW w:type="dxa" w:w="2625"/>
          </w:tcPr>
          <w:p>
            <w:pPr>
              <w:spacing w:after="0"/>
            </w:pPr>
            <w:r/>
            <w:r>
              <w:rPr>
                <w:sz w:val="14"/>
              </w:rPr>
              <w:t>inventory.stock.view</w:t>
            </w:r>
          </w:p>
        </w:tc>
        <w:tc>
          <w:tcPr>
            <w:tcW w:type="dxa" w:w="1247"/>
          </w:tcPr>
          <w:p>
            <w:pPr>
              <w:spacing w:after="0"/>
            </w:pPr>
            <w:r/>
            <w:r>
              <w:rPr>
                <w:sz w:val="14"/>
              </w:rPr>
              <w:t>distribution</w:t>
            </w:r>
          </w:p>
        </w:tc>
      </w:tr>
      <w:tr>
        <w:trPr>
          <w:cantSplit/>
        </w:trPr>
        <w:tc>
          <w:tcPr>
            <w:tcW w:type="dxa" w:w="3282"/>
          </w:tcPr>
          <w:p>
            <w:pPr>
              <w:spacing w:after="0"/>
            </w:pPr>
            <w:r/>
            <w:r>
              <w:rPr>
                <w:sz w:val="14"/>
              </w:rPr>
              <w:t>/tracking/livemap</w:t>
            </w:r>
          </w:p>
        </w:tc>
        <w:tc>
          <w:tcPr>
            <w:tcW w:type="dxa" w:w="2494"/>
          </w:tcPr>
          <w:p>
            <w:pPr>
              <w:spacing w:after="0"/>
            </w:pPr>
            <w:r/>
            <w:r>
              <w:rPr>
                <w:sz w:val="14"/>
              </w:rPr>
              <w:t>livemap</w:t>
            </w:r>
          </w:p>
        </w:tc>
        <w:tc>
          <w:tcPr>
            <w:tcW w:type="dxa" w:w="2625"/>
          </w:tcPr>
          <w:p>
            <w:pPr>
              <w:spacing w:after="0"/>
            </w:pPr>
            <w:r/>
            <w:r>
              <w:rPr>
                <w:sz w:val="14"/>
              </w:rPr>
              <w:t>sales_tracking.locations.view</w:t>
            </w:r>
          </w:p>
        </w:tc>
        <w:tc>
          <w:tcPr>
            <w:tcW w:type="dxa" w:w="1247"/>
          </w:tcPr>
          <w:p>
            <w:pPr>
              <w:spacing w:after="0"/>
            </w:pPr>
            <w:r/>
            <w:r>
              <w:rPr>
                <w:sz w:val="14"/>
              </w:rPr>
              <w:t>tracking</w:t>
            </w:r>
          </w:p>
        </w:tc>
      </w:tr>
      <w:tr>
        <w:trPr>
          <w:cantSplit/>
        </w:trPr>
        <w:tc>
          <w:tcPr>
            <w:tcW w:type="dxa" w:w="3282"/>
          </w:tcPr>
          <w:p>
            <w:pPr>
              <w:spacing w:after="0"/>
            </w:pPr>
            <w:r/>
            <w:r>
              <w:rPr>
                <w:sz w:val="14"/>
              </w:rPr>
              <w:t>/tracking/visits</w:t>
            </w:r>
          </w:p>
        </w:tc>
        <w:tc>
          <w:tcPr>
            <w:tcW w:type="dxa" w:w="2494"/>
          </w:tcPr>
          <w:p>
            <w:pPr>
              <w:spacing w:after="0"/>
            </w:pPr>
            <w:r/>
            <w:r>
              <w:rPr>
                <w:sz w:val="14"/>
              </w:rPr>
              <w:t>visits</w:t>
            </w:r>
          </w:p>
        </w:tc>
        <w:tc>
          <w:tcPr>
            <w:tcW w:type="dxa" w:w="2625"/>
          </w:tcPr>
          <w:p>
            <w:pPr>
              <w:spacing w:after="0"/>
            </w:pPr>
            <w:r/>
            <w:r>
              <w:rPr>
                <w:sz w:val="14"/>
              </w:rPr>
              <w:t>sales_tracking.visits.view</w:t>
            </w:r>
          </w:p>
        </w:tc>
        <w:tc>
          <w:tcPr>
            <w:tcW w:type="dxa" w:w="1247"/>
          </w:tcPr>
          <w:p>
            <w:pPr>
              <w:spacing w:after="0"/>
            </w:pPr>
            <w:r/>
            <w:r>
              <w:rPr>
                <w:sz w:val="14"/>
              </w:rPr>
              <w:t>tracking</w:t>
            </w:r>
          </w:p>
        </w:tc>
      </w:tr>
      <w:tr>
        <w:trPr>
          <w:cantSplit/>
        </w:trPr>
        <w:tc>
          <w:tcPr>
            <w:tcW w:type="dxa" w:w="3282"/>
          </w:tcPr>
          <w:p>
            <w:pPr>
              <w:spacing w:after="0"/>
            </w:pPr>
            <w:r/>
            <w:r>
              <w:rPr>
                <w:sz w:val="14"/>
              </w:rPr>
              <w:t>/tracking/locations</w:t>
            </w:r>
          </w:p>
        </w:tc>
        <w:tc>
          <w:tcPr>
            <w:tcW w:type="dxa" w:w="2494"/>
          </w:tcPr>
          <w:p>
            <w:pPr>
              <w:spacing w:after="0"/>
            </w:pPr>
            <w:r/>
            <w:r>
              <w:rPr>
                <w:sz w:val="14"/>
              </w:rPr>
              <w:t>tracking-locations</w:t>
            </w:r>
          </w:p>
        </w:tc>
        <w:tc>
          <w:tcPr>
            <w:tcW w:type="dxa" w:w="2625"/>
          </w:tcPr>
          <w:p>
            <w:pPr>
              <w:spacing w:after="0"/>
            </w:pPr>
            <w:r/>
            <w:r>
              <w:rPr>
                <w:sz w:val="14"/>
              </w:rPr>
              <w:t>sales_tracking.locations.view</w:t>
            </w:r>
          </w:p>
        </w:tc>
        <w:tc>
          <w:tcPr>
            <w:tcW w:type="dxa" w:w="1247"/>
          </w:tcPr>
          <w:p>
            <w:pPr>
              <w:spacing w:after="0"/>
            </w:pPr>
            <w:r/>
            <w:r>
              <w:rPr>
                <w:sz w:val="14"/>
              </w:rPr>
              <w:t>tracking</w:t>
            </w:r>
          </w:p>
        </w:tc>
      </w:tr>
      <w:tr>
        <w:trPr>
          <w:cantSplit/>
        </w:trPr>
        <w:tc>
          <w:tcPr>
            <w:tcW w:type="dxa" w:w="3282"/>
          </w:tcPr>
          <w:p>
            <w:pPr>
              <w:spacing w:after="0"/>
            </w:pPr>
            <w:r/>
            <w:r>
              <w:rPr>
                <w:sz w:val="14"/>
              </w:rPr>
              <w:t>/tracking/activities</w:t>
            </w:r>
          </w:p>
        </w:tc>
        <w:tc>
          <w:tcPr>
            <w:tcW w:type="dxa" w:w="2494"/>
          </w:tcPr>
          <w:p>
            <w:pPr>
              <w:spacing w:after="0"/>
            </w:pPr>
            <w:r/>
            <w:r>
              <w:rPr>
                <w:sz w:val="14"/>
              </w:rPr>
              <w:t>activities</w:t>
            </w:r>
          </w:p>
        </w:tc>
        <w:tc>
          <w:tcPr>
            <w:tcW w:type="dxa" w:w="2625"/>
          </w:tcPr>
          <w:p>
            <w:pPr>
              <w:spacing w:after="0"/>
            </w:pPr>
            <w:r/>
            <w:r>
              <w:rPr>
                <w:sz w:val="14"/>
              </w:rPr>
              <w:t>sales_tracking.activities.view</w:t>
            </w:r>
          </w:p>
        </w:tc>
        <w:tc>
          <w:tcPr>
            <w:tcW w:type="dxa" w:w="1247"/>
          </w:tcPr>
          <w:p>
            <w:pPr>
              <w:spacing w:after="0"/>
            </w:pPr>
            <w:r/>
            <w:r>
              <w:rPr>
                <w:sz w:val="14"/>
              </w:rPr>
              <w:t>tracking</w:t>
            </w:r>
          </w:p>
        </w:tc>
      </w:tr>
      <w:tr>
        <w:trPr>
          <w:cantSplit/>
        </w:trPr>
        <w:tc>
          <w:tcPr>
            <w:tcW w:type="dxa" w:w="3282"/>
          </w:tcPr>
          <w:p>
            <w:pPr>
              <w:spacing w:after="0"/>
            </w:pPr>
            <w:r/>
            <w:r>
              <w:rPr>
                <w:sz w:val="14"/>
              </w:rPr>
              <w:t>/tracking/routes</w:t>
            </w:r>
          </w:p>
        </w:tc>
        <w:tc>
          <w:tcPr>
            <w:tcW w:type="dxa" w:w="2494"/>
          </w:tcPr>
          <w:p>
            <w:pPr>
              <w:spacing w:after="0"/>
            </w:pPr>
            <w:r/>
            <w:r>
              <w:rPr>
                <w:sz w:val="14"/>
              </w:rPr>
              <w:t>routes</w:t>
            </w:r>
          </w:p>
        </w:tc>
        <w:tc>
          <w:tcPr>
            <w:tcW w:type="dxa" w:w="2625"/>
          </w:tcPr>
          <w:p>
            <w:pPr>
              <w:spacing w:after="0"/>
            </w:pPr>
            <w:r/>
            <w:r>
              <w:rPr>
                <w:sz w:val="14"/>
              </w:rPr>
              <w:t>sales_tracking.routes.view</w:t>
            </w:r>
          </w:p>
        </w:tc>
        <w:tc>
          <w:tcPr>
            <w:tcW w:type="dxa" w:w="1247"/>
          </w:tcPr>
          <w:p>
            <w:pPr>
              <w:spacing w:after="0"/>
            </w:pPr>
            <w:r/>
            <w:r>
              <w:rPr>
                <w:sz w:val="14"/>
              </w:rPr>
              <w:t>tracking</w:t>
            </w:r>
          </w:p>
        </w:tc>
      </w:tr>
      <w:tr>
        <w:trPr>
          <w:cantSplit/>
        </w:trPr>
        <w:tc>
          <w:tcPr>
            <w:tcW w:type="dxa" w:w="3282"/>
          </w:tcPr>
          <w:p>
            <w:pPr>
              <w:spacing w:after="0"/>
            </w:pPr>
            <w:r/>
            <w:r>
              <w:rPr>
                <w:sz w:val="14"/>
              </w:rPr>
              <w:t>/tracking/visit-schedule</w:t>
            </w:r>
          </w:p>
        </w:tc>
        <w:tc>
          <w:tcPr>
            <w:tcW w:type="dxa" w:w="2494"/>
          </w:tcPr>
          <w:p>
            <w:pPr>
              <w:spacing w:after="0"/>
            </w:pPr>
            <w:r/>
            <w:r>
              <w:rPr>
                <w:sz w:val="14"/>
              </w:rPr>
              <w:t>visit-schedule</w:t>
            </w:r>
          </w:p>
        </w:tc>
        <w:tc>
          <w:tcPr>
            <w:tcW w:type="dxa" w:w="2625"/>
          </w:tcPr>
          <w:p>
            <w:pPr>
              <w:spacing w:after="0"/>
            </w:pPr>
            <w:r/>
            <w:r>
              <w:rPr>
                <w:sz w:val="14"/>
              </w:rPr>
              <w:t>sales_tracking.visits.view</w:t>
            </w:r>
          </w:p>
        </w:tc>
        <w:tc>
          <w:tcPr>
            <w:tcW w:type="dxa" w:w="1247"/>
          </w:tcPr>
          <w:p>
            <w:pPr>
              <w:spacing w:after="0"/>
            </w:pPr>
            <w:r/>
            <w:r>
              <w:rPr>
                <w:sz w:val="14"/>
              </w:rPr>
              <w:t>tracking</w:t>
            </w:r>
          </w:p>
        </w:tc>
      </w:tr>
      <w:tr>
        <w:trPr>
          <w:cantSplit/>
        </w:trPr>
        <w:tc>
          <w:tcPr>
            <w:tcW w:type="dxa" w:w="3282"/>
          </w:tcPr>
          <w:p>
            <w:pPr>
              <w:spacing w:after="0"/>
            </w:pPr>
            <w:r/>
            <w:r>
              <w:rPr>
                <w:sz w:val="14"/>
              </w:rPr>
              <w:t>/tracking/my-visits</w:t>
            </w:r>
          </w:p>
        </w:tc>
        <w:tc>
          <w:tcPr>
            <w:tcW w:type="dxa" w:w="2494"/>
          </w:tcPr>
          <w:p>
            <w:pPr>
              <w:spacing w:after="0"/>
            </w:pPr>
            <w:r/>
            <w:r>
              <w:rPr>
                <w:sz w:val="14"/>
              </w:rPr>
              <w:t>my-visits</w:t>
            </w:r>
          </w:p>
        </w:tc>
        <w:tc>
          <w:tcPr>
            <w:tcW w:type="dxa" w:w="2625"/>
          </w:tcPr>
          <w:p>
            <w:pPr>
              <w:spacing w:after="0"/>
            </w:pPr>
            <w:r/>
            <w:r>
              <w:rPr>
                <w:sz w:val="14"/>
              </w:rPr>
              <w:t>sales_tracking.visits.view_own</w:t>
            </w:r>
          </w:p>
        </w:tc>
        <w:tc>
          <w:tcPr>
            <w:tcW w:type="dxa" w:w="1247"/>
          </w:tcPr>
          <w:p>
            <w:pPr>
              <w:spacing w:after="0"/>
            </w:pPr>
            <w:r/>
            <w:r>
              <w:rPr>
                <w:sz w:val="14"/>
              </w:rPr>
              <w:t>tracking</w:t>
            </w:r>
          </w:p>
        </w:tc>
      </w:tr>
      <w:tr>
        <w:trPr>
          <w:cantSplit/>
        </w:trPr>
        <w:tc>
          <w:tcPr>
            <w:tcW w:type="dxa" w:w="3282"/>
          </w:tcPr>
          <w:p>
            <w:pPr>
              <w:spacing w:after="0"/>
            </w:pPr>
            <w:r/>
            <w:r>
              <w:rPr>
                <w:sz w:val="14"/>
              </w:rPr>
              <w:t>/distribution/map</w:t>
            </w:r>
          </w:p>
        </w:tc>
        <w:tc>
          <w:tcPr>
            <w:tcW w:type="dxa" w:w="2494"/>
          </w:tcPr>
          <w:p>
            <w:pPr>
              <w:spacing w:after="0"/>
            </w:pPr>
            <w:r/>
            <w:r>
              <w:rPr>
                <w:sz w:val="14"/>
              </w:rPr>
              <w:t>tracking-map</w:t>
            </w:r>
          </w:p>
        </w:tc>
        <w:tc>
          <w:tcPr>
            <w:tcW w:type="dxa" w:w="2625"/>
          </w:tcPr>
          <w:p>
            <w:pPr>
              <w:spacing w:after="0"/>
            </w:pPr>
            <w:r/>
            <w:r>
              <w:rPr>
                <w:sz w:val="14"/>
              </w:rPr>
              <w:t>distribution.delivery-orders.view</w:t>
            </w:r>
          </w:p>
        </w:tc>
        <w:tc>
          <w:tcPr>
            <w:tcW w:type="dxa" w:w="1247"/>
          </w:tcPr>
          <w:p>
            <w:pPr>
              <w:spacing w:after="0"/>
            </w:pPr>
            <w:r/>
            <w:r>
              <w:rPr>
                <w:sz w:val="14"/>
              </w:rPr>
              <w:t>distribution</w:t>
            </w:r>
          </w:p>
        </w:tc>
      </w:tr>
      <w:tr>
        <w:trPr>
          <w:cantSplit/>
        </w:trPr>
        <w:tc>
          <w:tcPr>
            <w:tcW w:type="dxa" w:w="3282"/>
          </w:tcPr>
          <w:p>
            <w:pPr>
              <w:spacing w:after="0"/>
            </w:pPr>
            <w:r/>
            <w:r>
              <w:rPr>
                <w:sz w:val="14"/>
              </w:rPr>
              <w:t>/warehouse</w:t>
            </w:r>
          </w:p>
        </w:tc>
        <w:tc>
          <w:tcPr>
            <w:tcW w:type="dxa" w:w="2494"/>
          </w:tcPr>
          <w:p>
            <w:pPr>
              <w:spacing w:after="0"/>
            </w:pPr>
            <w:r/>
            <w:r>
              <w:rPr>
                <w:sz w:val="14"/>
              </w:rPr>
              <w:t>warehouse</w:t>
            </w:r>
          </w:p>
        </w:tc>
        <w:tc>
          <w:tcPr>
            <w:tcW w:type="dxa" w:w="2625"/>
          </w:tcPr>
          <w:p>
            <w:pPr>
              <w:spacing w:after="0"/>
            </w:pPr>
            <w:r/>
            <w:r>
              <w:rPr>
                <w:sz w:val="14"/>
              </w:rPr>
              <w:t>inventory.stock.view</w:t>
            </w:r>
          </w:p>
        </w:tc>
        <w:tc>
          <w:tcPr>
            <w:tcW w:type="dxa" w:w="1247"/>
          </w:tcPr>
          <w:p>
            <w:pPr>
              <w:spacing w:after="0"/>
            </w:pPr>
            <w:r/>
            <w:r>
              <w:rPr>
                <w:sz w:val="14"/>
              </w:rPr>
              <w:t>distribution</w:t>
            </w:r>
          </w:p>
        </w:tc>
      </w:tr>
      <w:tr>
        <w:trPr>
          <w:cantSplit/>
        </w:trPr>
        <w:tc>
          <w:tcPr>
            <w:tcW w:type="dxa" w:w="3282"/>
          </w:tcPr>
          <w:p>
            <w:pPr>
              <w:spacing w:after="0"/>
            </w:pPr>
            <w:r/>
            <w:r>
              <w:rPr>
                <w:sz w:val="14"/>
              </w:rPr>
              <w:t>/hr/employees</w:t>
            </w:r>
          </w:p>
        </w:tc>
        <w:tc>
          <w:tcPr>
            <w:tcW w:type="dxa" w:w="2494"/>
          </w:tcPr>
          <w:p>
            <w:pPr>
              <w:spacing w:after="0"/>
            </w:pPr>
            <w:r/>
            <w:r>
              <w:rPr>
                <w:sz w:val="14"/>
              </w:rPr>
              <w:t>employees</w:t>
            </w:r>
          </w:p>
        </w:tc>
        <w:tc>
          <w:tcPr>
            <w:tcW w:type="dxa" w:w="2625"/>
          </w:tcPr>
          <w:p>
            <w:pPr>
              <w:spacing w:after="0"/>
            </w:pPr>
            <w:r/>
            <w:r>
              <w:rPr>
                <w:sz w:val="14"/>
              </w:rPr>
              <w:t>hr.employees.view</w:t>
            </w:r>
          </w:p>
        </w:tc>
        <w:tc>
          <w:tcPr>
            <w:tcW w:type="dxa" w:w="1247"/>
          </w:tcPr>
          <w:p>
            <w:pPr>
              <w:spacing w:after="0"/>
            </w:pPr>
            <w:r/>
            <w:r>
              <w:rPr>
                <w:sz w:val="14"/>
              </w:rPr>
              <w:t>hr</w:t>
            </w:r>
          </w:p>
        </w:tc>
      </w:tr>
      <w:tr>
        <w:trPr>
          <w:cantSplit/>
        </w:trPr>
        <w:tc>
          <w:tcPr>
            <w:tcW w:type="dxa" w:w="3282"/>
          </w:tcPr>
          <w:p>
            <w:pPr>
              <w:spacing w:after="0"/>
            </w:pPr>
            <w:r/>
            <w:r>
              <w:rPr>
                <w:sz w:val="14"/>
              </w:rPr>
              <w:t>/hr/attendance</w:t>
            </w:r>
          </w:p>
        </w:tc>
        <w:tc>
          <w:tcPr>
            <w:tcW w:type="dxa" w:w="2494"/>
          </w:tcPr>
          <w:p>
            <w:pPr>
              <w:spacing w:after="0"/>
            </w:pPr>
            <w:r/>
            <w:r>
              <w:rPr>
                <w:sz w:val="14"/>
              </w:rPr>
              <w:t>attendance</w:t>
            </w:r>
          </w:p>
        </w:tc>
        <w:tc>
          <w:tcPr>
            <w:tcW w:type="dxa" w:w="2625"/>
          </w:tcPr>
          <w:p>
            <w:pPr>
              <w:spacing w:after="0"/>
            </w:pPr>
            <w:r/>
            <w:r>
              <w:rPr>
                <w:sz w:val="14"/>
              </w:rPr>
              <w:t>hr.attendance.view</w:t>
            </w:r>
          </w:p>
        </w:tc>
        <w:tc>
          <w:tcPr>
            <w:tcW w:type="dxa" w:w="1247"/>
          </w:tcPr>
          <w:p>
            <w:pPr>
              <w:spacing w:after="0"/>
            </w:pPr>
            <w:r/>
            <w:r>
              <w:rPr>
                <w:sz w:val="14"/>
              </w:rPr>
              <w:t>hr</w:t>
            </w:r>
          </w:p>
        </w:tc>
      </w:tr>
      <w:tr>
        <w:trPr>
          <w:cantSplit/>
        </w:trPr>
        <w:tc>
          <w:tcPr>
            <w:tcW w:type="dxa" w:w="3282"/>
          </w:tcPr>
          <w:p>
            <w:pPr>
              <w:spacing w:after="0"/>
            </w:pPr>
            <w:r/>
            <w:r>
              <w:rPr>
                <w:sz w:val="14"/>
              </w:rPr>
              <w:t>/hr/payroll</w:t>
            </w:r>
          </w:p>
        </w:tc>
        <w:tc>
          <w:tcPr>
            <w:tcW w:type="dxa" w:w="2494"/>
          </w:tcPr>
          <w:p>
            <w:pPr>
              <w:spacing w:after="0"/>
            </w:pPr>
            <w:r/>
            <w:r>
              <w:rPr>
                <w:sz w:val="14"/>
              </w:rPr>
              <w:t>payroll</w:t>
            </w:r>
          </w:p>
        </w:tc>
        <w:tc>
          <w:tcPr>
            <w:tcW w:type="dxa" w:w="2625"/>
          </w:tcPr>
          <w:p>
            <w:pPr>
              <w:spacing w:after="0"/>
            </w:pPr>
            <w:r/>
            <w:r>
              <w:rPr>
                <w:sz w:val="14"/>
              </w:rPr>
              <w:t>hr.payrolls.view</w:t>
            </w:r>
          </w:p>
        </w:tc>
        <w:tc>
          <w:tcPr>
            <w:tcW w:type="dxa" w:w="1247"/>
          </w:tcPr>
          <w:p>
            <w:pPr>
              <w:spacing w:after="0"/>
            </w:pPr>
            <w:r/>
            <w:r>
              <w:rPr>
                <w:sz w:val="14"/>
              </w:rPr>
              <w:t>hr</w:t>
            </w:r>
          </w:p>
        </w:tc>
      </w:tr>
      <w:tr>
        <w:trPr>
          <w:cantSplit/>
        </w:trPr>
        <w:tc>
          <w:tcPr>
            <w:tcW w:type="dxa" w:w="3282"/>
          </w:tcPr>
          <w:p>
            <w:pPr>
              <w:spacing w:after="0"/>
            </w:pPr>
            <w:r/>
            <w:r>
              <w:rPr>
                <w:sz w:val="14"/>
              </w:rPr>
              <w:t>/hr/leaves</w:t>
            </w:r>
          </w:p>
        </w:tc>
        <w:tc>
          <w:tcPr>
            <w:tcW w:type="dxa" w:w="2494"/>
          </w:tcPr>
          <w:p>
            <w:pPr>
              <w:spacing w:after="0"/>
            </w:pPr>
            <w:r/>
            <w:r>
              <w:rPr>
                <w:sz w:val="14"/>
              </w:rPr>
              <w:t>leaves</w:t>
            </w:r>
          </w:p>
        </w:tc>
        <w:tc>
          <w:tcPr>
            <w:tcW w:type="dxa" w:w="2625"/>
          </w:tcPr>
          <w:p>
            <w:pPr>
              <w:spacing w:after="0"/>
            </w:pPr>
            <w:r/>
            <w:r>
              <w:rPr>
                <w:sz w:val="14"/>
              </w:rPr>
              <w:t>hr.leaves.view</w:t>
            </w:r>
          </w:p>
        </w:tc>
        <w:tc>
          <w:tcPr>
            <w:tcW w:type="dxa" w:w="1247"/>
          </w:tcPr>
          <w:p>
            <w:pPr>
              <w:spacing w:after="0"/>
            </w:pPr>
            <w:r/>
            <w:r>
              <w:rPr>
                <w:sz w:val="14"/>
              </w:rPr>
              <w:t>hr</w:t>
            </w:r>
          </w:p>
        </w:tc>
      </w:tr>
      <w:tr>
        <w:trPr>
          <w:cantSplit/>
        </w:trPr>
        <w:tc>
          <w:tcPr>
            <w:tcW w:type="dxa" w:w="3282"/>
          </w:tcPr>
          <w:p>
            <w:pPr>
              <w:spacing w:after="0"/>
            </w:pPr>
            <w:r/>
            <w:r>
              <w:rPr>
                <w:sz w:val="14"/>
              </w:rPr>
              <w:t>/hr/performances</w:t>
            </w:r>
          </w:p>
        </w:tc>
        <w:tc>
          <w:tcPr>
            <w:tcW w:type="dxa" w:w="2494"/>
          </w:tcPr>
          <w:p>
            <w:pPr>
              <w:spacing w:after="0"/>
            </w:pPr>
            <w:r/>
            <w:r>
              <w:rPr>
                <w:sz w:val="14"/>
              </w:rPr>
              <w:t>performances</w:t>
            </w:r>
          </w:p>
        </w:tc>
        <w:tc>
          <w:tcPr>
            <w:tcW w:type="dxa" w:w="2625"/>
          </w:tcPr>
          <w:p>
            <w:pPr>
              <w:spacing w:after="0"/>
            </w:pPr>
            <w:r/>
            <w:r>
              <w:rPr>
                <w:sz w:val="14"/>
              </w:rPr>
              <w:t>hr.performances.view</w:t>
            </w:r>
          </w:p>
        </w:tc>
        <w:tc>
          <w:tcPr>
            <w:tcW w:type="dxa" w:w="1247"/>
          </w:tcPr>
          <w:p>
            <w:pPr>
              <w:spacing w:after="0"/>
            </w:pPr>
            <w:r/>
            <w:r>
              <w:rPr>
                <w:sz w:val="14"/>
              </w:rPr>
              <w:t>hr</w:t>
            </w:r>
          </w:p>
        </w:tc>
      </w:tr>
      <w:tr>
        <w:trPr>
          <w:cantSplit/>
        </w:trPr>
        <w:tc>
          <w:tcPr>
            <w:tcW w:type="dxa" w:w="3282"/>
          </w:tcPr>
          <w:p>
            <w:pPr>
              <w:spacing w:after="0"/>
            </w:pPr>
            <w:r/>
            <w:r>
              <w:rPr>
                <w:sz w:val="14"/>
              </w:rPr>
              <w:t>/system/users</w:t>
            </w:r>
          </w:p>
        </w:tc>
        <w:tc>
          <w:tcPr>
            <w:tcW w:type="dxa" w:w="2494"/>
          </w:tcPr>
          <w:p>
            <w:pPr>
              <w:spacing w:after="0"/>
            </w:pPr>
            <w:r/>
            <w:r>
              <w:rPr>
                <w:sz w:val="14"/>
              </w:rPr>
              <w:t>users</w:t>
            </w:r>
          </w:p>
        </w:tc>
        <w:tc>
          <w:tcPr>
            <w:tcW w:type="dxa" w:w="2625"/>
          </w:tcPr>
          <w:p>
            <w:pPr>
              <w:spacing w:after="0"/>
            </w:pPr>
            <w:r/>
            <w:r>
              <w:rPr>
                <w:sz w:val="14"/>
              </w:rPr>
              <w:t>system.users.view</w:t>
            </w:r>
          </w:p>
        </w:tc>
        <w:tc>
          <w:tcPr>
            <w:tcW w:type="dxa" w:w="1247"/>
          </w:tcPr>
          <w:p>
            <w:pPr>
              <w:spacing w:after="0"/>
            </w:pPr>
            <w:r/>
            <w:r>
              <w:rPr>
                <w:sz w:val="14"/>
              </w:rPr>
              <w:t>system</w:t>
            </w:r>
          </w:p>
        </w:tc>
      </w:tr>
      <w:tr>
        <w:trPr>
          <w:cantSplit/>
        </w:trPr>
        <w:tc>
          <w:tcPr>
            <w:tcW w:type="dxa" w:w="3282"/>
          </w:tcPr>
          <w:p>
            <w:pPr>
              <w:spacing w:after="0"/>
            </w:pPr>
            <w:r/>
            <w:r>
              <w:rPr>
                <w:sz w:val="14"/>
              </w:rPr>
              <w:t>/system/roles</w:t>
            </w:r>
          </w:p>
        </w:tc>
        <w:tc>
          <w:tcPr>
            <w:tcW w:type="dxa" w:w="2494"/>
          </w:tcPr>
          <w:p>
            <w:pPr>
              <w:spacing w:after="0"/>
            </w:pPr>
            <w:r/>
            <w:r>
              <w:rPr>
                <w:sz w:val="14"/>
              </w:rPr>
              <w:t>roles</w:t>
            </w:r>
          </w:p>
        </w:tc>
        <w:tc>
          <w:tcPr>
            <w:tcW w:type="dxa" w:w="2625"/>
          </w:tcPr>
          <w:p>
            <w:pPr>
              <w:spacing w:after="0"/>
            </w:pPr>
            <w:r/>
            <w:r>
              <w:rPr>
                <w:sz w:val="14"/>
              </w:rPr>
              <w:t>system.roles.view</w:t>
            </w:r>
          </w:p>
        </w:tc>
        <w:tc>
          <w:tcPr>
            <w:tcW w:type="dxa" w:w="1247"/>
          </w:tcPr>
          <w:p>
            <w:pPr>
              <w:spacing w:after="0"/>
            </w:pPr>
            <w:r/>
            <w:r>
              <w:rPr>
                <w:sz w:val="14"/>
              </w:rPr>
              <w:t>system</w:t>
            </w:r>
          </w:p>
        </w:tc>
      </w:tr>
      <w:tr>
        <w:trPr>
          <w:cantSplit/>
        </w:trPr>
        <w:tc>
          <w:tcPr>
            <w:tcW w:type="dxa" w:w="3282"/>
          </w:tcPr>
          <w:p>
            <w:pPr>
              <w:spacing w:after="0"/>
            </w:pPr>
            <w:r/>
            <w:r>
              <w:rPr>
                <w:sz w:val="14"/>
              </w:rPr>
              <w:t>/system/reports</w:t>
            </w:r>
          </w:p>
        </w:tc>
        <w:tc>
          <w:tcPr>
            <w:tcW w:type="dxa" w:w="2494"/>
          </w:tcPr>
          <w:p>
            <w:pPr>
              <w:spacing w:after="0"/>
            </w:pPr>
            <w:r/>
            <w:r>
              <w:rPr>
                <w:sz w:val="14"/>
              </w:rPr>
              <w:t>report-templates</w:t>
            </w:r>
          </w:p>
        </w:tc>
        <w:tc>
          <w:tcPr>
            <w:tcW w:type="dxa" w:w="2625"/>
          </w:tcPr>
          <w:p>
            <w:pPr>
              <w:spacing w:after="0"/>
            </w:pPr>
            <w:r/>
            <w:r>
              <w:rPr>
                <w:sz w:val="14"/>
              </w:rPr>
              <w:t>system.reports.view</w:t>
            </w:r>
          </w:p>
        </w:tc>
        <w:tc>
          <w:tcPr>
            <w:tcW w:type="dxa" w:w="1247"/>
          </w:tcPr>
          <w:p>
            <w:pPr>
              <w:spacing w:after="0"/>
            </w:pPr>
            <w:r/>
            <w:r>
              <w:rPr>
                <w:sz w:val="14"/>
              </w:rPr>
              <w:t>system</w:t>
            </w:r>
          </w:p>
        </w:tc>
      </w:tr>
      <w:tr>
        <w:trPr>
          <w:cantSplit/>
        </w:trPr>
        <w:tc>
          <w:tcPr>
            <w:tcW w:type="dxa" w:w="3282"/>
          </w:tcPr>
          <w:p>
            <w:pPr>
              <w:spacing w:after="0"/>
            </w:pPr>
            <w:r/>
            <w:r>
              <w:rPr>
                <w:sz w:val="14"/>
              </w:rPr>
              <w:t>/system/reports/:id/designer</w:t>
            </w:r>
          </w:p>
        </w:tc>
        <w:tc>
          <w:tcPr>
            <w:tcW w:type="dxa" w:w="2494"/>
          </w:tcPr>
          <w:p>
            <w:pPr>
              <w:spacing w:after="0"/>
            </w:pPr>
            <w:r/>
            <w:r>
              <w:rPr>
                <w:sz w:val="14"/>
              </w:rPr>
              <w:t>report-designer</w:t>
            </w:r>
          </w:p>
        </w:tc>
        <w:tc>
          <w:tcPr>
            <w:tcW w:type="dxa" w:w="2625"/>
          </w:tcPr>
          <w:p>
            <w:pPr>
              <w:spacing w:after="0"/>
            </w:pPr>
            <w:r/>
            <w:r>
              <w:rPr>
                <w:sz w:val="14"/>
              </w:rPr>
              <w:t>system.reports.manage</w:t>
            </w:r>
          </w:p>
        </w:tc>
        <w:tc>
          <w:tcPr>
            <w:tcW w:type="dxa" w:w="1247"/>
          </w:tcPr>
          <w:p>
            <w:pPr>
              <w:spacing w:after="0"/>
            </w:pPr>
            <w:r/>
            <w:r>
              <w:rPr>
                <w:sz w:val="14"/>
              </w:rPr>
              <w:t>system</w:t>
            </w:r>
          </w:p>
        </w:tc>
      </w:tr>
      <w:tr>
        <w:trPr>
          <w:cantSplit/>
        </w:trPr>
        <w:tc>
          <w:tcPr>
            <w:tcW w:type="dxa" w:w="3282"/>
          </w:tcPr>
          <w:p>
            <w:pPr>
              <w:spacing w:after="0"/>
            </w:pPr>
            <w:r/>
            <w:r>
              <w:rPr>
                <w:sz w:val="14"/>
              </w:rPr>
              <w:t>/system/stores</w:t>
            </w:r>
          </w:p>
        </w:tc>
        <w:tc>
          <w:tcPr>
            <w:tcW w:type="dxa" w:w="2494"/>
          </w:tcPr>
          <w:p>
            <w:pPr>
              <w:spacing w:after="0"/>
            </w:pPr>
            <w:r/>
            <w:r>
              <w:rPr>
                <w:sz w:val="14"/>
              </w:rPr>
              <w:t>stores</w:t>
            </w:r>
          </w:p>
        </w:tc>
        <w:tc>
          <w:tcPr>
            <w:tcW w:type="dxa" w:w="2625"/>
          </w:tcPr>
          <w:p>
            <w:pPr>
              <w:spacing w:after="0"/>
            </w:pPr>
            <w:r/>
            <w:r>
              <w:rPr>
                <w:sz w:val="14"/>
              </w:rPr>
              <w:t>system.stores.view</w:t>
            </w:r>
          </w:p>
        </w:tc>
        <w:tc>
          <w:tcPr>
            <w:tcW w:type="dxa" w:w="1247"/>
          </w:tcPr>
          <w:p>
            <w:pPr>
              <w:spacing w:after="0"/>
            </w:pPr>
            <w:r/>
            <w:r>
              <w:rPr>
                <w:sz w:val="14"/>
              </w:rPr>
              <w:t>system</w:t>
            </w:r>
          </w:p>
        </w:tc>
      </w:tr>
      <w:tr>
        <w:trPr>
          <w:cantSplit/>
        </w:trPr>
        <w:tc>
          <w:tcPr>
            <w:tcW w:type="dxa" w:w="3282"/>
          </w:tcPr>
          <w:p>
            <w:pPr>
              <w:spacing w:after="0"/>
            </w:pPr>
            <w:r/>
            <w:r>
              <w:rPr>
                <w:sz w:val="14"/>
              </w:rPr>
              <w:t>/system/stores/:id</w:t>
            </w:r>
          </w:p>
        </w:tc>
        <w:tc>
          <w:tcPr>
            <w:tcW w:type="dxa" w:w="2494"/>
          </w:tcPr>
          <w:p>
            <w:pPr>
              <w:spacing w:after="0"/>
            </w:pPr>
            <w:r/>
            <w:r>
              <w:rPr>
                <w:sz w:val="14"/>
              </w:rPr>
              <w:t>branch-detail</w:t>
            </w:r>
          </w:p>
        </w:tc>
        <w:tc>
          <w:tcPr>
            <w:tcW w:type="dxa" w:w="2625"/>
          </w:tcPr>
          <w:p>
            <w:pPr>
              <w:spacing w:after="0"/>
            </w:pPr>
            <w:r/>
            <w:r>
              <w:rPr>
                <w:sz w:val="14"/>
              </w:rPr>
              <w:t>system.stores.view</w:t>
            </w:r>
          </w:p>
        </w:tc>
        <w:tc>
          <w:tcPr>
            <w:tcW w:type="dxa" w:w="1247"/>
          </w:tcPr>
          <w:p>
            <w:pPr>
              <w:spacing w:after="0"/>
            </w:pPr>
            <w:r/>
            <w:r>
              <w:rPr>
                <w:sz w:val="14"/>
              </w:rPr>
              <w:t>system</w:t>
            </w:r>
          </w:p>
        </w:tc>
      </w:tr>
      <w:tr>
        <w:trPr>
          <w:cantSplit/>
        </w:trPr>
        <w:tc>
          <w:tcPr>
            <w:tcW w:type="dxa" w:w="3282"/>
          </w:tcPr>
          <w:p>
            <w:pPr>
              <w:spacing w:after="0"/>
            </w:pPr>
            <w:r/>
            <w:r>
              <w:rPr>
                <w:sz w:val="14"/>
              </w:rPr>
              <w:t>/system/activity-log</w:t>
            </w:r>
          </w:p>
        </w:tc>
        <w:tc>
          <w:tcPr>
            <w:tcW w:type="dxa" w:w="2494"/>
          </w:tcPr>
          <w:p>
            <w:pPr>
              <w:spacing w:after="0"/>
            </w:pPr>
            <w:r/>
            <w:r>
              <w:rPr>
                <w:sz w:val="14"/>
              </w:rPr>
              <w:t>activity-log</w:t>
            </w:r>
          </w:p>
        </w:tc>
        <w:tc>
          <w:tcPr>
            <w:tcW w:type="dxa" w:w="2625"/>
          </w:tcPr>
          <w:p>
            <w:pPr>
              <w:spacing w:after="0"/>
            </w:pPr>
            <w:r/>
            <w:r>
              <w:rPr>
                <w:sz w:val="14"/>
              </w:rPr>
              <w:t>system.activity-logs.view</w:t>
            </w:r>
          </w:p>
        </w:tc>
        <w:tc>
          <w:tcPr>
            <w:tcW w:type="dxa" w:w="1247"/>
          </w:tcPr>
          <w:p>
            <w:pPr>
              <w:spacing w:after="0"/>
            </w:pPr>
            <w:r/>
            <w:r>
              <w:rPr>
                <w:sz w:val="14"/>
              </w:rPr>
              <w:t>system</w:t>
            </w:r>
          </w:p>
        </w:tc>
      </w:tr>
      <w:tr>
        <w:trPr>
          <w:cantSplit/>
        </w:trPr>
        <w:tc>
          <w:tcPr>
            <w:tcW w:type="dxa" w:w="3282"/>
          </w:tcPr>
          <w:p>
            <w:pPr>
              <w:spacing w:after="0"/>
            </w:pPr>
            <w:r/>
            <w:r>
              <w:rPr>
                <w:sz w:val="14"/>
              </w:rPr>
              <w:t>/settings</w:t>
            </w:r>
          </w:p>
        </w:tc>
        <w:tc>
          <w:tcPr>
            <w:tcW w:type="dxa" w:w="2494"/>
          </w:tcPr>
          <w:p>
            <w:pPr>
              <w:spacing w:after="0"/>
            </w:pPr>
            <w:r/>
            <w:r>
              <w:rPr>
                <w:sz w:val="14"/>
              </w:rPr>
              <w:t>settings</w:t>
            </w:r>
          </w:p>
        </w:tc>
        <w:tc>
          <w:tcPr>
            <w:tcW w:type="dxa" w:w="2625"/>
          </w:tcPr>
          <w:p>
            <w:pPr>
              <w:spacing w:after="0"/>
            </w:pPr>
            <w:r/>
            <w:r>
              <w:rPr>
                <w:sz w:val="14"/>
              </w:rPr>
              <w:t>system.settings.view</w:t>
            </w:r>
          </w:p>
        </w:tc>
        <w:tc>
          <w:tcPr>
            <w:tcW w:type="dxa" w:w="1247"/>
          </w:tcPr>
          <w:p>
            <w:pPr>
              <w:spacing w:after="0"/>
            </w:pPr>
            <w:r/>
            <w:r>
              <w:rPr>
                <w:sz w:val="14"/>
              </w:rPr>
              <w:t>settings</w:t>
            </w:r>
          </w:p>
        </w:tc>
      </w:tr>
      <w:tr>
        <w:trPr>
          <w:cantSplit/>
        </w:trPr>
        <w:tc>
          <w:tcPr>
            <w:tcW w:type="dxa" w:w="3282"/>
          </w:tcPr>
          <w:p>
            <w:pPr>
              <w:spacing w:after="0"/>
            </w:pPr>
            <w:r/>
            <w:r>
              <w:rPr>
                <w:sz w:val="14"/>
              </w:rPr>
              <w:t>/support/tickets</w:t>
            </w:r>
          </w:p>
        </w:tc>
        <w:tc>
          <w:tcPr>
            <w:tcW w:type="dxa" w:w="2494"/>
          </w:tcPr>
          <w:p>
            <w:pPr>
              <w:spacing w:after="0"/>
            </w:pPr>
            <w:r/>
            <w:r>
              <w:rPr>
                <w:sz w:val="14"/>
              </w:rPr>
              <w:t>support-tickets</w:t>
            </w:r>
          </w:p>
        </w:tc>
        <w:tc>
          <w:tcPr>
            <w:tcW w:type="dxa" w:w="2625"/>
          </w:tcPr>
          <w:p>
            <w:pPr>
              <w:spacing w:after="0"/>
            </w:pPr>
            <w:r/>
            <w:r>
              <w:rPr>
                <w:sz w:val="14"/>
              </w:rPr>
              <w:t>support.tickets.view</w:t>
            </w:r>
          </w:p>
        </w:tc>
        <w:tc>
          <w:tcPr>
            <w:tcW w:type="dxa" w:w="1247"/>
          </w:tcPr>
          <w:p>
            <w:pPr>
              <w:spacing w:after="0"/>
            </w:pPr>
            <w:r/>
            <w:r>
              <w:rPr>
                <w:sz w:val="14"/>
              </w:rPr>
              <w:t>system</w:t>
            </w:r>
          </w:p>
        </w:tc>
      </w:tr>
      <w:tr>
        <w:trPr>
          <w:cantSplit/>
        </w:trPr>
        <w:tc>
          <w:tcPr>
            <w:tcW w:type="dxa" w:w="3282"/>
          </w:tcPr>
          <w:p>
            <w:pPr>
              <w:spacing w:after="0"/>
            </w:pPr>
            <w:r/>
            <w:r>
              <w:rPr>
                <w:sz w:val="14"/>
              </w:rPr>
              <w:t>/support/tickets/:id</w:t>
            </w:r>
          </w:p>
        </w:tc>
        <w:tc>
          <w:tcPr>
            <w:tcW w:type="dxa" w:w="2494"/>
          </w:tcPr>
          <w:p>
            <w:pPr>
              <w:spacing w:after="0"/>
            </w:pPr>
            <w:r/>
            <w:r>
              <w:rPr>
                <w:sz w:val="14"/>
              </w:rPr>
              <w:t>support-ticket-detail</w:t>
            </w:r>
          </w:p>
        </w:tc>
        <w:tc>
          <w:tcPr>
            <w:tcW w:type="dxa" w:w="2625"/>
          </w:tcPr>
          <w:p>
            <w:pPr>
              <w:spacing w:after="0"/>
            </w:pPr>
            <w:r/>
            <w:r>
              <w:rPr>
                <w:sz w:val="14"/>
              </w:rPr>
              <w:t>support.tickets.view</w:t>
            </w:r>
          </w:p>
        </w:tc>
        <w:tc>
          <w:tcPr>
            <w:tcW w:type="dxa" w:w="1247"/>
          </w:tcPr>
          <w:p>
            <w:pPr>
              <w:spacing w:after="0"/>
            </w:pPr>
            <w:r/>
            <w:r>
              <w:rPr>
                <w:sz w:val="14"/>
              </w:rPr>
              <w:t>system</w:t>
            </w:r>
          </w:p>
        </w:tc>
      </w:tr>
      <w:tr>
        <w:trPr>
          <w:cantSplit/>
        </w:trPr>
        <w:tc>
          <w:tcPr>
            <w:tcW w:type="dxa" w:w="3282"/>
          </w:tcPr>
          <w:p>
            <w:pPr>
              <w:spacing w:after="0"/>
            </w:pPr>
            <w:r/>
            <w:r>
              <w:rPr>
                <w:sz w:val="14"/>
              </w:rPr>
              <w:t>/changelog</w:t>
            </w:r>
          </w:p>
        </w:tc>
        <w:tc>
          <w:tcPr>
            <w:tcW w:type="dxa" w:w="2494"/>
          </w:tcPr>
          <w:p>
            <w:pPr>
              <w:spacing w:after="0"/>
            </w:pPr>
            <w:r/>
            <w:r>
              <w:rPr>
                <w:sz w:val="14"/>
              </w:rPr>
              <w:t>changelog</w:t>
            </w:r>
          </w:p>
        </w:tc>
        <w:tc>
          <w:tcPr>
            <w:tcW w:type="dxa" w:w="2625"/>
          </w:tcPr>
          <w:p>
            <w:pPr>
              <w:spacing w:after="0"/>
            </w:pPr>
            <w:r/>
            <w:r>
              <w:rPr>
                <w:sz w:val="14"/>
              </w:rPr>
              <w:t>(authenticated)</w:t>
            </w:r>
          </w:p>
        </w:tc>
        <w:tc>
          <w:tcPr>
            <w:tcW w:type="dxa" w:w="1247"/>
          </w:tcPr>
          <w:p>
            <w:pPr>
              <w:spacing w:after="0"/>
            </w:pPr>
            <w:r/>
            <w:r>
              <w:rPr>
                <w:sz w:val="14"/>
              </w:rPr>
              <w:t>dashboard</w:t>
            </w:r>
          </w:p>
        </w:tc>
      </w:tr>
      <w:tr>
        <w:trPr>
          <w:cantSplit/>
        </w:trPr>
        <w:tc>
          <w:tcPr>
            <w:tcW w:type="dxa" w:w="3282"/>
          </w:tcPr>
          <w:p>
            <w:pPr>
              <w:spacing w:after="0"/>
            </w:pPr>
            <w:r/>
            <w:r>
              <w:rPr>
                <w:sz w:val="14"/>
              </w:rPr>
              <w:t>/contact</w:t>
            </w:r>
          </w:p>
        </w:tc>
        <w:tc>
          <w:tcPr>
            <w:tcW w:type="dxa" w:w="2494"/>
          </w:tcPr>
          <w:p>
            <w:pPr>
              <w:spacing w:after="0"/>
            </w:pPr>
            <w:r/>
            <w:r>
              <w:rPr>
                <w:sz w:val="14"/>
              </w:rPr>
              <w:t>contact</w:t>
            </w:r>
          </w:p>
        </w:tc>
        <w:tc>
          <w:tcPr>
            <w:tcW w:type="dxa" w:w="2625"/>
          </w:tcPr>
          <w:p>
            <w:pPr>
              <w:spacing w:after="0"/>
            </w:pPr>
            <w:r/>
            <w:r>
              <w:rPr>
                <w:sz w:val="14"/>
              </w:rPr>
              <w:t>(authenticated)</w:t>
            </w:r>
          </w:p>
        </w:tc>
        <w:tc>
          <w:tcPr>
            <w:tcW w:type="dxa" w:w="1247"/>
          </w:tcPr>
          <w:p>
            <w:pPr>
              <w:spacing w:after="0"/>
            </w:pPr>
            <w:r/>
            <w:r>
              <w:rPr>
                <w:sz w:val="14"/>
              </w:rPr>
              <w:t>dashboard</w:t>
            </w:r>
          </w:p>
        </w:tc>
      </w:tr>
    </w:tbl>
    <w:p>
      <w:pPr>
        <w:spacing w:after="200"/>
      </w:pPr>
      <w:r>
        <w:rPr>
          <w:i/>
          <w:color w:val="555F6D"/>
          <w:sz w:val="17"/>
        </w:rPr>
        <w:t>Table 26. ERP page routes (78 records; 15 legacy redirects and 2 layout wrappers are omitted)</w:t>
      </w:r>
    </w:p>
    <w:p>
      <w:pPr>
        <w:spacing w:after="160"/>
        <w:ind w:left="216"/>
        <w:pBdr>
          <w:left w:val="single" w:sz="18" w:space="6" w:color="1E6B3A"/>
        </w:pBdr>
      </w:pPr>
      <w:r>
        <w:rPr>
          <w:b/>
          <w:color w:val="1E6B3A"/>
          <w:sz w:val="19"/>
        </w:rPr>
        <w:t xml:space="preserve">Route/permission consistency: </w:t>
      </w:r>
      <w:r>
        <w:rPr>
          <w:sz w:val="19"/>
        </w:rPr>
        <w:t>Every meta.perm in the router (48 distinct keys) exists in the backend catalogue; 46 of them also appear in the sidebar config. The two router-only keys are system.reports.manage (designer page) and system.settings.view (settings page), which are actions rather than navigation entries.</w:t>
      </w:r>
    </w:p>
    <w:p>
      <w:bookmarkStart w:id="1047" w:name="_Toc1047"/>
      <w:pPr>
        <w:pStyle w:val="Heading2"/>
      </w:pPr>
      <w:r>
        <w:t>8.3 Navigation model</w:t>
      </w:r>
      <w:bookmarkEnd w:id="1047"/>
    </w:p>
    <w:p>
      <w:r>
        <w:rPr>
          <w:i w:val="0"/>
        </w:rPr>
        <w:t>Sidebar visibility is permission-driven, not role-driven. navigation.js states this explicitly: the only authority is child.perm evaluated through auth.can(). The MODULES array still carries role hints, but the comment in the file says it is metadata used as a fallback, not the visibility rule.</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2016"/>
            <w:shd w:val="clear" w:color="auto" w:fill="1F3A5F"/>
          </w:tcPr>
          <w:p>
            <w:pPr>
              <w:spacing w:after="0"/>
            </w:pPr>
            <w:r/>
            <w:r>
              <w:rPr>
                <w:b/>
                <w:color w:val="FFFFFF"/>
                <w:sz w:val="16"/>
              </w:rPr>
              <w:t>Section</w:t>
            </w:r>
          </w:p>
        </w:tc>
        <w:tc>
          <w:tcPr>
            <w:tcW w:type="dxa" w:w="7344"/>
            <w:shd w:val="clear" w:color="auto" w:fill="1F3A5F"/>
          </w:tcPr>
          <w:p>
            <w:pPr>
              <w:spacing w:after="0"/>
            </w:pPr>
            <w:r/>
            <w:r>
              <w:rPr>
                <w:b/>
                <w:color w:val="FFFFFF"/>
                <w:sz w:val="16"/>
              </w:rPr>
              <w:t>Items (permission)</w:t>
            </w:r>
          </w:p>
        </w:tc>
      </w:tr>
      <w:tr>
        <w:trPr>
          <w:cantSplit/>
        </w:trPr>
        <w:tc>
          <w:tcPr>
            <w:tcW w:type="dxa" w:w="2016"/>
          </w:tcPr>
          <w:p>
            <w:pPr>
              <w:spacing w:after="0"/>
            </w:pPr>
            <w:r/>
            <w:r>
              <w:rPr>
                <w:sz w:val="16"/>
              </w:rPr>
              <w:t>—</w:t>
            </w:r>
          </w:p>
        </w:tc>
        <w:tc>
          <w:tcPr>
            <w:tcW w:type="dxa" w:w="7344"/>
          </w:tcPr>
          <w:p>
            <w:pPr>
              <w:spacing w:after="0"/>
            </w:pPr>
            <w:r/>
            <w:r>
              <w:rPr>
                <w:sz w:val="16"/>
              </w:rPr>
              <w:t>Dashboard (dashboard.view)</w:t>
            </w:r>
          </w:p>
        </w:tc>
      </w:tr>
      <w:tr>
        <w:trPr>
          <w:cantSplit/>
        </w:trPr>
        <w:tc>
          <w:tcPr>
            <w:tcW w:type="dxa" w:w="2016"/>
          </w:tcPr>
          <w:p>
            <w:pPr>
              <w:spacing w:after="0"/>
            </w:pPr>
            <w:r/>
            <w:r>
              <w:rPr>
                <w:sz w:val="16"/>
              </w:rPr>
              <w:t>Operasional</w:t>
            </w:r>
          </w:p>
        </w:tc>
        <w:tc>
          <w:tcPr>
            <w:tcW w:type="dxa" w:w="7344"/>
          </w:tcPr>
          <w:p>
            <w:pPr>
              <w:spacing w:after="0"/>
            </w:pPr>
            <w:r/>
            <w:r>
              <w:rPr>
                <w:sz w:val="16"/>
              </w:rPr>
              <w:t>Master Data: Produk, Kategori, Satuan, Supplier, Customer; Keanggotaan: Daftar Member, Pengaturan Diskon Tier; Inventory: Posisi Stok, Pergerakan Stok, Transfer Stok, Opname; Purchasing: Purchase Order, Penerimaan Barang, Voucher, Hutang Supplier; Sales: Katalog Produk, Sales Order, LHPP, Target Sales, Voucher Penjualan; Finance: Laporan Arus Kas, Piutang &amp; Pembayaran, Hub Keuangan, Arus Kas Kasir</w:t>
            </w:r>
          </w:p>
        </w:tc>
      </w:tr>
      <w:tr>
        <w:trPr>
          <w:cantSplit/>
        </w:trPr>
        <w:tc>
          <w:tcPr>
            <w:tcW w:type="dxa" w:w="2016"/>
          </w:tcPr>
          <w:p>
            <w:pPr>
              <w:spacing w:after="0"/>
            </w:pPr>
            <w:r/>
            <w:r>
              <w:rPr>
                <w:sz w:val="16"/>
              </w:rPr>
              <w:t>Jurnal &amp; Buku Besar</w:t>
            </w:r>
          </w:p>
        </w:tc>
        <w:tc>
          <w:tcPr>
            <w:tcW w:type="dxa" w:w="7344"/>
          </w:tcPr>
          <w:p>
            <w:pPr>
              <w:spacing w:after="0"/>
            </w:pPr>
            <w:r/>
            <w:r>
              <w:rPr>
                <w:sz w:val="16"/>
              </w:rPr>
              <w:t>Jurnal Umum, Jurnal Pengeluaran Kas, Jurnal Penerimaan Kas, Jurnal Pengeluaran Bank, Jurnal Penerimaan Bank, Jurnal Terima Deposit, Jurnal Keluar Deposit, Buku Besar, COA &amp; Departemen, Deposit Customer</w:t>
            </w:r>
          </w:p>
        </w:tc>
      </w:tr>
      <w:tr>
        <w:trPr>
          <w:cantSplit/>
        </w:trPr>
        <w:tc>
          <w:tcPr>
            <w:tcW w:type="dxa" w:w="2016"/>
          </w:tcPr>
          <w:p>
            <w:pPr>
              <w:spacing w:after="0"/>
            </w:pPr>
            <w:r/>
            <w:r>
              <w:rPr>
                <w:sz w:val="16"/>
              </w:rPr>
              <w:t>Analitik</w:t>
            </w:r>
          </w:p>
        </w:tc>
        <w:tc>
          <w:tcPr>
            <w:tcW w:type="dxa" w:w="7344"/>
          </w:tcPr>
          <w:p>
            <w:pPr>
              <w:spacing w:after="0"/>
            </w:pPr>
            <w:r/>
            <w:r>
              <w:rPr>
                <w:sz w:val="16"/>
              </w:rPr>
              <w:t>Laporan Arus Kas, Laba Rugi, Neraca, Laporan Penjualan, Penjualan Rinci, Pembelian Rinci, Umur Piutang/Hutang, Laporan Stok, Stok Rinci, Konsolidasi</w:t>
            </w:r>
          </w:p>
        </w:tc>
      </w:tr>
      <w:tr>
        <w:trPr>
          <w:cantSplit/>
        </w:trPr>
        <w:tc>
          <w:tcPr>
            <w:tcW w:type="dxa" w:w="2016"/>
          </w:tcPr>
          <w:p>
            <w:pPr>
              <w:spacing w:after="0"/>
            </w:pPr>
            <w:r/>
            <w:r>
              <w:rPr>
                <w:sz w:val="16"/>
              </w:rPr>
              <w:t>Toko &amp; Cabang</w:t>
            </w:r>
          </w:p>
        </w:tc>
        <w:tc>
          <w:tcPr>
            <w:tcW w:type="dxa" w:w="7344"/>
          </w:tcPr>
          <w:p>
            <w:pPr>
              <w:spacing w:after="0"/>
            </w:pPr>
            <w:r/>
            <w:r>
              <w:rPr>
                <w:sz w:val="16"/>
              </w:rPr>
              <w:t>Toko (system.stores.view)</w:t>
            </w:r>
          </w:p>
        </w:tc>
      </w:tr>
      <w:tr>
        <w:trPr>
          <w:cantSplit/>
        </w:trPr>
        <w:tc>
          <w:tcPr>
            <w:tcW w:type="dxa" w:w="2016"/>
          </w:tcPr>
          <w:p>
            <w:pPr>
              <w:spacing w:after="0"/>
            </w:pPr>
            <w:r/>
            <w:r>
              <w:rPr>
                <w:sz w:val="16"/>
              </w:rPr>
              <w:t>Pelacakan &amp; Lapangan</w:t>
            </w:r>
          </w:p>
        </w:tc>
        <w:tc>
          <w:tcPr>
            <w:tcW w:type="dxa" w:w="7344"/>
          </w:tcPr>
          <w:p>
            <w:pPr>
              <w:spacing w:after="0"/>
            </w:pPr>
            <w:r/>
            <w:r>
              <w:rPr>
                <w:sz w:val="16"/>
              </w:rPr>
              <w:t>Kunjungan Sales, Jadwal Kunjungan, Jadwal Saya, Peta Aktivitas Sales, Lokasi Customer, Aktivitas, Rute, Customer Order, Delivery Order, Driver, Peta Pelacakan, Gudang &amp; Serah Terima, Karyawan, Absensi, Payroll, Cuti, Evaluasi</w:t>
            </w:r>
          </w:p>
        </w:tc>
      </w:tr>
      <w:tr>
        <w:trPr>
          <w:cantSplit/>
        </w:trPr>
        <w:tc>
          <w:tcPr>
            <w:tcW w:type="dxa" w:w="2016"/>
          </w:tcPr>
          <w:p>
            <w:pPr>
              <w:spacing w:after="0"/>
            </w:pPr>
            <w:r/>
            <w:r>
              <w:rPr>
                <w:sz w:val="16"/>
              </w:rPr>
              <w:t>Sistem</w:t>
            </w:r>
          </w:p>
        </w:tc>
        <w:tc>
          <w:tcPr>
            <w:tcW w:type="dxa" w:w="7344"/>
          </w:tcPr>
          <w:p>
            <w:pPr>
              <w:spacing w:after="0"/>
            </w:pPr>
            <w:r/>
            <w:r>
              <w:rPr>
                <w:sz w:val="16"/>
              </w:rPr>
              <w:t>Pengguna, Peran (adminOnly), Template Laporan, Log Aktivitas</w:t>
            </w:r>
          </w:p>
        </w:tc>
      </w:tr>
      <w:tr>
        <w:trPr>
          <w:cantSplit/>
        </w:trPr>
        <w:tc>
          <w:tcPr>
            <w:tcW w:type="dxa" w:w="2016"/>
          </w:tcPr>
          <w:p>
            <w:pPr>
              <w:spacing w:after="0"/>
            </w:pPr>
            <w:r/>
            <w:r>
              <w:rPr>
                <w:sz w:val="16"/>
              </w:rPr>
              <w:t>Dukungan &amp; Bantuan</w:t>
            </w:r>
          </w:p>
        </w:tc>
        <w:tc>
          <w:tcPr>
            <w:tcW w:type="dxa" w:w="7344"/>
          </w:tcPr>
          <w:p>
            <w:pPr>
              <w:spacing w:after="0"/>
            </w:pPr>
            <w:r/>
            <w:r>
              <w:rPr>
                <w:sz w:val="16"/>
              </w:rPr>
              <w:t>Tiket Kendala, Catatan Rilis, Hubungi Developer</w:t>
            </w:r>
          </w:p>
        </w:tc>
      </w:tr>
    </w:tbl>
    <w:p>
      <w:pPr>
        <w:spacing w:after="200"/>
      </w:pPr>
      <w:r>
        <w:rPr>
          <w:i/>
          <w:color w:val="555F6D"/>
          <w:sz w:val="17"/>
        </w:rPr>
        <w:t>Table 27. ERP sidebar structure</w:t>
      </w:r>
    </w:p>
    <w:p>
      <w:pPr>
        <w:spacing w:after="160"/>
        <w:ind w:left="216"/>
        <w:pBdr>
          <w:left w:val="single" w:sz="18" w:space="6" w:color="1E6B3A"/>
        </w:pBdr>
      </w:pPr>
      <w:r>
        <w:rPr>
          <w:b/>
          <w:color w:val="1E6B3A"/>
          <w:sz w:val="19"/>
        </w:rPr>
        <w:t xml:space="preserve">Navigation gap: </w:t>
      </w:r>
      <w:r>
        <w:rPr>
          <w:sz w:val="19"/>
        </w:rPr>
        <w:t>Several journal sub-pages carry an additional roles: [...] list in navigation.js on top of their permission (for example cash-disbursement is limited to cashier, store_manager, finance, finance_head, admin, owner). The router does not apply that role list — only meta.perm — so a user who holds accounting.journals.view but is not in the role list can reach the page by URL while the menu hides it. The backend still enforces its own journal-type/role validation (validateRoleForJournalType).</w:t>
      </w:r>
    </w:p>
    <w:p>
      <w:bookmarkStart w:id="1048" w:name="_Toc1048"/>
      <w:pPr>
        <w:pStyle w:val="Heading2"/>
      </w:pPr>
      <w:r>
        <w:t>8.4 Key pages and components</w:t>
      </w:r>
      <w:bookmarkEnd w:id="1048"/>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1944"/>
            <w:shd w:val="clear" w:color="auto" w:fill="1F3A5F"/>
          </w:tcPr>
          <w:p>
            <w:pPr>
              <w:spacing w:after="0"/>
            </w:pPr>
            <w:r/>
            <w:r>
              <w:rPr>
                <w:b/>
                <w:color w:val="FFFFFF"/>
                <w:sz w:val="16"/>
              </w:rPr>
              <w:t>Component group</w:t>
            </w:r>
          </w:p>
        </w:tc>
        <w:tc>
          <w:tcPr>
            <w:tcW w:type="dxa" w:w="4536"/>
            <w:shd w:val="clear" w:color="auto" w:fill="1F3A5F"/>
          </w:tcPr>
          <w:p>
            <w:pPr>
              <w:spacing w:after="0"/>
            </w:pPr>
            <w:r/>
            <w:r>
              <w:rPr>
                <w:b/>
                <w:color w:val="FFFFFF"/>
                <w:sz w:val="16"/>
              </w:rPr>
              <w:t>Examples</w:t>
            </w:r>
          </w:p>
        </w:tc>
        <w:tc>
          <w:tcPr>
            <w:tcW w:type="dxa" w:w="2880"/>
            <w:shd w:val="clear" w:color="auto" w:fill="1F3A5F"/>
          </w:tcPr>
          <w:p>
            <w:pPr>
              <w:spacing w:after="0"/>
            </w:pPr>
            <w:r/>
            <w:r>
              <w:rPr>
                <w:b/>
                <w:color w:val="FFFFFF"/>
                <w:sz w:val="16"/>
              </w:rPr>
              <w:t>Role</w:t>
            </w:r>
          </w:p>
        </w:tc>
      </w:tr>
      <w:tr>
        <w:trPr>
          <w:cantSplit/>
        </w:trPr>
        <w:tc>
          <w:tcPr>
            <w:tcW w:type="dxa" w:w="1944"/>
          </w:tcPr>
          <w:p>
            <w:pPr>
              <w:spacing w:after="0"/>
            </w:pPr>
            <w:r/>
            <w:r>
              <w:rPr>
                <w:sz w:val="16"/>
              </w:rPr>
              <w:t>k/ (design system)</w:t>
            </w:r>
          </w:p>
        </w:tc>
        <w:tc>
          <w:tcPr>
            <w:tcW w:type="dxa" w:w="4536"/>
          </w:tcPr>
          <w:p>
            <w:pPr>
              <w:spacing w:after="0"/>
            </w:pPr>
            <w:r/>
            <w:r>
              <w:rPr>
                <w:sz w:val="16"/>
              </w:rPr>
              <w:t>KButton, KInput, KSelect, KDataTable, KModal, KFormModal, KDatePicker, KCurrencyInput, KStatCard, KToaster</w:t>
            </w:r>
          </w:p>
        </w:tc>
        <w:tc>
          <w:tcPr>
            <w:tcW w:type="dxa" w:w="2880"/>
          </w:tcPr>
          <w:p>
            <w:pPr>
              <w:spacing w:after="0"/>
            </w:pPr>
            <w:r/>
            <w:r>
              <w:rPr>
                <w:sz w:val="16"/>
              </w:rPr>
              <w:t>In-house component layer used by every page; 55 components</w:t>
            </w:r>
          </w:p>
        </w:tc>
      </w:tr>
      <w:tr>
        <w:trPr>
          <w:cantSplit/>
        </w:trPr>
        <w:tc>
          <w:tcPr>
            <w:tcW w:type="dxa" w:w="1944"/>
          </w:tcPr>
          <w:p>
            <w:pPr>
              <w:spacing w:after="0"/>
            </w:pPr>
            <w:r/>
            <w:r>
              <w:rPr>
                <w:sz w:val="16"/>
              </w:rPr>
              <w:t>k/entity</w:t>
            </w:r>
          </w:p>
        </w:tc>
        <w:tc>
          <w:tcPr>
            <w:tcW w:type="dxa" w:w="4536"/>
          </w:tcPr>
          <w:p>
            <w:pPr>
              <w:spacing w:after="0"/>
            </w:pPr>
            <w:r/>
            <w:r>
              <w:rPr>
                <w:sz w:val="16"/>
              </w:rPr>
              <w:t>KCustomerSelect, KProductSelect, KSupplierSelect, KWarehouseSelect</w:t>
            </w:r>
          </w:p>
        </w:tc>
        <w:tc>
          <w:tcPr>
            <w:tcW w:type="dxa" w:w="2880"/>
          </w:tcPr>
          <w:p>
            <w:pPr>
              <w:spacing w:after="0"/>
            </w:pPr>
            <w:r/>
            <w:r>
              <w:rPr>
                <w:sz w:val="16"/>
              </w:rPr>
              <w:t>Async search selects backed by the corresponding list endpoints</w:t>
            </w:r>
          </w:p>
        </w:tc>
      </w:tr>
      <w:tr>
        <w:trPr>
          <w:cantSplit/>
        </w:trPr>
        <w:tc>
          <w:tcPr>
            <w:tcW w:type="dxa" w:w="1944"/>
          </w:tcPr>
          <w:p>
            <w:pPr>
              <w:spacing w:after="0"/>
            </w:pPr>
            <w:r/>
            <w:r>
              <w:rPr>
                <w:sz w:val="16"/>
              </w:rPr>
              <w:t>layout</w:t>
            </w:r>
          </w:p>
        </w:tc>
        <w:tc>
          <w:tcPr>
            <w:tcW w:type="dxa" w:w="4536"/>
          </w:tcPr>
          <w:p>
            <w:pPr>
              <w:spacing w:after="0"/>
            </w:pPr>
            <w:r/>
            <w:r>
              <w:rPr>
                <w:sz w:val="16"/>
              </w:rPr>
              <w:t>Sidebar, Topbar, ShortcutCheatsheetModal</w:t>
            </w:r>
          </w:p>
        </w:tc>
        <w:tc>
          <w:tcPr>
            <w:tcW w:type="dxa" w:w="2880"/>
          </w:tcPr>
          <w:p>
            <w:pPr>
              <w:spacing w:after="0"/>
            </w:pPr>
            <w:r/>
            <w:r>
              <w:rPr>
                <w:sz w:val="16"/>
              </w:rPr>
              <w:t>Persistent shell; shortcut cheatsheet opens with ? or Ctrl+/</w:t>
            </w:r>
          </w:p>
        </w:tc>
      </w:tr>
      <w:tr>
        <w:trPr>
          <w:cantSplit/>
        </w:trPr>
        <w:tc>
          <w:tcPr>
            <w:tcW w:type="dxa" w:w="1944"/>
          </w:tcPr>
          <w:p>
            <w:pPr>
              <w:spacing w:after="0"/>
            </w:pPr>
            <w:r/>
            <w:r>
              <w:rPr>
                <w:sz w:val="16"/>
              </w:rPr>
              <w:t>dashboard</w:t>
            </w:r>
          </w:p>
        </w:tc>
        <w:tc>
          <w:tcPr>
            <w:tcW w:type="dxa" w:w="4536"/>
          </w:tcPr>
          <w:p>
            <w:pPr>
              <w:spacing w:after="0"/>
            </w:pPr>
            <w:r/>
            <w:r>
              <w:rPr>
                <w:sz w:val="16"/>
              </w:rPr>
              <w:t>RevenueTrendChart, CashflowChart, LowStockList, TopProductsComparisonChart, AOPerformance, RecentNOO, PendingInvoices</w:t>
            </w:r>
          </w:p>
        </w:tc>
        <w:tc>
          <w:tcPr>
            <w:tcW w:type="dxa" w:w="2880"/>
          </w:tcPr>
          <w:p>
            <w:pPr>
              <w:spacing w:after="0"/>
            </w:pPr>
            <w:r/>
            <w:r>
              <w:rPr>
                <w:sz w:val="16"/>
              </w:rPr>
              <w:t>Dashboard widgets; each reads a reports or dashboard endpoint</w:t>
            </w:r>
          </w:p>
        </w:tc>
      </w:tr>
      <w:tr>
        <w:trPr>
          <w:cantSplit/>
        </w:trPr>
        <w:tc>
          <w:tcPr>
            <w:tcW w:type="dxa" w:w="1944"/>
          </w:tcPr>
          <w:p>
            <w:pPr>
              <w:spacing w:after="0"/>
            </w:pPr>
            <w:r/>
            <w:r>
              <w:rPr>
                <w:sz w:val="16"/>
              </w:rPr>
              <w:t>inventory</w:t>
            </w:r>
          </w:p>
        </w:tc>
        <w:tc>
          <w:tcPr>
            <w:tcW w:type="dxa" w:w="4536"/>
          </w:tcPr>
          <w:p>
            <w:pPr>
              <w:spacing w:after="0"/>
            </w:pPr>
            <w:r/>
            <w:r>
              <w:rPr>
                <w:sz w:val="16"/>
              </w:rPr>
              <w:t>StockValueModal</w:t>
            </w:r>
          </w:p>
        </w:tc>
        <w:tc>
          <w:tcPr>
            <w:tcW w:type="dxa" w:w="2880"/>
          </w:tcPr>
          <w:p>
            <w:pPr>
              <w:spacing w:after="0"/>
            </w:pPr>
            <w:r/>
            <w:r>
              <w:rPr>
                <w:sz w:val="16"/>
              </w:rPr>
              <w:t>HPP/stock-value breakdown dialog</w:t>
            </w:r>
          </w:p>
        </w:tc>
      </w:tr>
      <w:tr>
        <w:trPr>
          <w:cantSplit/>
        </w:trPr>
        <w:tc>
          <w:tcPr>
            <w:tcW w:type="dxa" w:w="1944"/>
          </w:tcPr>
          <w:p>
            <w:pPr>
              <w:spacing w:after="0"/>
            </w:pPr>
            <w:r/>
            <w:r>
              <w:rPr>
                <w:sz w:val="16"/>
              </w:rPr>
              <w:t>reports</w:t>
            </w:r>
          </w:p>
        </w:tc>
        <w:tc>
          <w:tcPr>
            <w:tcW w:type="dxa" w:w="4536"/>
          </w:tcPr>
          <w:p>
            <w:pPr>
              <w:spacing w:after="0"/>
            </w:pPr>
            <w:r/>
            <w:r>
              <w:rPr>
                <w:sz w:val="16"/>
              </w:rPr>
              <w:t>ReportPrintButton</w:t>
            </w:r>
          </w:p>
        </w:tc>
        <w:tc>
          <w:tcPr>
            <w:tcW w:type="dxa" w:w="2880"/>
          </w:tcPr>
          <w:p>
            <w:pPr>
              <w:spacing w:after="0"/>
            </w:pPr>
            <w:r/>
            <w:r>
              <w:rPr>
                <w:sz w:val="16"/>
              </w:rPr>
              <w:t>Calls /api/v1/reports/render and opens the PDF</w:t>
            </w:r>
          </w:p>
        </w:tc>
      </w:tr>
      <w:tr>
        <w:trPr>
          <w:cantSplit/>
        </w:trPr>
        <w:tc>
          <w:tcPr>
            <w:tcW w:type="dxa" w:w="1944"/>
          </w:tcPr>
          <w:p>
            <w:pPr>
              <w:spacing w:after="0"/>
            </w:pPr>
            <w:r/>
            <w:r>
              <w:rPr>
                <w:sz w:val="16"/>
              </w:rPr>
              <w:t>scanner</w:t>
            </w:r>
          </w:p>
        </w:tc>
        <w:tc>
          <w:tcPr>
            <w:tcW w:type="dxa" w:w="4536"/>
          </w:tcPr>
          <w:p>
            <w:pPr>
              <w:spacing w:after="0"/>
            </w:pPr>
            <w:r/>
            <w:r>
              <w:rPr>
                <w:sz w:val="16"/>
              </w:rPr>
              <w:t>BarcodeScannerModal</w:t>
            </w:r>
          </w:p>
        </w:tc>
        <w:tc>
          <w:tcPr>
            <w:tcW w:type="dxa" w:w="2880"/>
          </w:tcPr>
          <w:p>
            <w:pPr>
              <w:spacing w:after="0"/>
            </w:pPr>
            <w:r/>
            <w:r>
              <w:rPr>
                <w:sz w:val="16"/>
              </w:rPr>
              <w:t>zxing-wasm camera scanning for products</w:t>
            </w:r>
          </w:p>
        </w:tc>
      </w:tr>
      <w:tr>
        <w:trPr>
          <w:cantSplit/>
        </w:trPr>
        <w:tc>
          <w:tcPr>
            <w:tcW w:type="dxa" w:w="1944"/>
          </w:tcPr>
          <w:p>
            <w:pPr>
              <w:spacing w:after="0"/>
            </w:pPr>
            <w:r/>
            <w:r>
              <w:rPr>
                <w:sz w:val="16"/>
              </w:rPr>
              <w:t>map</w:t>
            </w:r>
          </w:p>
        </w:tc>
        <w:tc>
          <w:tcPr>
            <w:tcW w:type="dxa" w:w="4536"/>
          </w:tcPr>
          <w:p>
            <w:pPr>
              <w:spacing w:after="0"/>
            </w:pPr>
            <w:r/>
            <w:r>
              <w:rPr>
                <w:sz w:val="16"/>
              </w:rPr>
              <w:t>BaseMap, MapPicker</w:t>
            </w:r>
          </w:p>
        </w:tc>
        <w:tc>
          <w:tcPr>
            <w:tcW w:type="dxa" w:w="2880"/>
          </w:tcPr>
          <w:p>
            <w:pPr>
              <w:spacing w:after="0"/>
            </w:pPr>
            <w:r/>
            <w:r>
              <w:rPr>
                <w:sz w:val="16"/>
              </w:rPr>
              <w:t>Leaflet + OSM tiles; coordinate precision helpers</w:t>
            </w:r>
          </w:p>
        </w:tc>
      </w:tr>
      <w:tr>
        <w:trPr>
          <w:cantSplit/>
        </w:trPr>
        <w:tc>
          <w:tcPr>
            <w:tcW w:type="dxa" w:w="1944"/>
          </w:tcPr>
          <w:p>
            <w:pPr>
              <w:spacing w:after="0"/>
            </w:pPr>
            <w:r/>
            <w:r>
              <w:rPr>
                <w:sz w:val="16"/>
              </w:rPr>
              <w:t>accounting</w:t>
            </w:r>
          </w:p>
        </w:tc>
        <w:tc>
          <w:tcPr>
            <w:tcW w:type="dxa" w:w="4536"/>
          </w:tcPr>
          <w:p>
            <w:pPr>
              <w:spacing w:after="0"/>
            </w:pPr>
            <w:r/>
            <w:r>
              <w:rPr>
                <w:sz w:val="16"/>
              </w:rPr>
              <w:t>AccountingWorkflowBanner, JournalGuideModal</w:t>
            </w:r>
          </w:p>
        </w:tc>
        <w:tc>
          <w:tcPr>
            <w:tcW w:type="dxa" w:w="2880"/>
          </w:tcPr>
          <w:p>
            <w:pPr>
              <w:spacing w:after="0"/>
            </w:pPr>
            <w:r/>
            <w:r>
              <w:rPr>
                <w:sz w:val="16"/>
              </w:rPr>
              <w:t>Draft → post → reverse guidance</w:t>
            </w:r>
          </w:p>
        </w:tc>
      </w:tr>
    </w:tbl>
    <w:p>
      <w:pPr>
        <w:spacing w:after="200"/>
      </w:pPr>
      <w:r>
        <w:rPr>
          <w:i/>
          <w:color w:val="555F6D"/>
          <w:sz w:val="17"/>
        </w:rPr>
        <w:t>Table 28. ERP component inventory (90 .vue files, grouped)</w:t>
      </w:r>
    </w:p>
    <w:p>
      <w:bookmarkStart w:id="1049" w:name="_Toc1049"/>
      <w:pPr>
        <w:pStyle w:val="Heading2"/>
      </w:pPr>
      <w:r>
        <w:t>8.5 State and interaction behaviour</w:t>
      </w:r>
      <w:bookmarkEnd w:id="1049"/>
    </w:p>
    <w:p>
      <w:pPr>
        <w:pStyle w:val="ListBullet"/>
      </w:pPr>
      <w:r>
        <w:t>Auth store persists the token and user in session storage; on boot it refreshes /auth/me to obtain the effective permission map before any route renders.</w:t>
      </w:r>
    </w:p>
    <w:p>
      <w:pPr>
        <w:pStyle w:val="ListBullet"/>
      </w:pPr>
      <w:r>
        <w:t>The router guard clears the session and bounces to login when the identity's application scope is not ERP. The code comments state plainly that this is UX, not a security control.</w:t>
      </w:r>
    </w:p>
    <w:p>
      <w:pPr>
        <w:pStyle w:val="ListBullet"/>
      </w:pPr>
      <w:r>
        <w:t>Admin/owner with an empty permission matrix are forced to the Roles page (?setup=1) until at least one permission is assigned — a first-run bootstrap guard.</w:t>
      </w:r>
    </w:p>
    <w:p>
      <w:pPr>
        <w:pStyle w:val="ListBullet"/>
      </w:pPr>
      <w:r>
        <w:t>Table pages share useDataTableQuery (search, page, per-page, sort) so query strings survive a refresh.</w:t>
      </w:r>
    </w:p>
    <w:p>
      <w:pPr>
        <w:pStyle w:val="ListBullet"/>
      </w:pPr>
      <w:r>
        <w:t>Idempotency keys are minted by services/idempotency.js (keyFor(slot) / settle(slot, err)); the axios interceptor adds a random fallback for unmigrated writes and logs a development warning (finding F-14).</w:t>
      </w:r>
    </w:p>
    <w:p>
      <w:pPr>
        <w:pStyle w:val="ListBullet"/>
      </w:pPr>
      <w:r>
        <w:t>Charts use chart.js via vue-chartjs; maps use Leaflet with OSM tiles configured through VITE_MAP_* (attribution mandatory).</w:t>
      </w:r>
    </w:p>
    <w:p>
      <w:pPr>
        <w:pStyle w:val="ListBullet"/>
      </w:pPr>
      <w:r>
        <w:t>Keyboard: the shortcut cheatsheet is reachable from the layout; barcode scanning uses the browser BarcodeDetector with a zxing-wasm fallback.</w:t>
      </w:r>
    </w:p>
    <w:p>
      <w:bookmarkStart w:id="1050" w:name="_Toc1050"/>
      <w:pPr>
        <w:pStyle w:val="Heading1"/>
        <w:pageBreakBefore/>
      </w:pPr>
      <w:r>
        <w:t>9. POS documentation</w:t>
      </w:r>
      <w:bookmarkEnd w:id="1050"/>
    </w:p>
    <w:p>
      <w:bookmarkStart w:id="1051" w:name="_Toc1051"/>
      <w:pPr>
        <w:pStyle w:val="Heading2"/>
      </w:pPr>
      <w:r>
        <w:t>9.1 Identity</w:t>
      </w:r>
      <w:bookmarkEnd w:id="1051"/>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2160"/>
            <w:shd w:val="clear" w:color="auto" w:fill="1F3A5F"/>
          </w:tcPr>
          <w:p>
            <w:pPr>
              <w:spacing w:after="0"/>
            </w:pPr>
            <w:r/>
            <w:r>
              <w:rPr>
                <w:b/>
                <w:color w:val="FFFFFF"/>
                <w:sz w:val="16"/>
              </w:rPr>
              <w:t>Property</w:t>
            </w:r>
          </w:p>
        </w:tc>
        <w:tc>
          <w:tcPr>
            <w:tcW w:type="dxa" w:w="7200"/>
            <w:shd w:val="clear" w:color="auto" w:fill="1F3A5F"/>
          </w:tcPr>
          <w:p>
            <w:pPr>
              <w:spacing w:after="0"/>
            </w:pPr>
            <w:r/>
            <w:r>
              <w:rPr>
                <w:b/>
                <w:color w:val="FFFFFF"/>
                <w:sz w:val="16"/>
              </w:rPr>
              <w:t>Value</w:t>
            </w:r>
          </w:p>
        </w:tc>
      </w:tr>
      <w:tr>
        <w:trPr>
          <w:cantSplit/>
        </w:trPr>
        <w:tc>
          <w:tcPr>
            <w:tcW w:type="dxa" w:w="2160"/>
          </w:tcPr>
          <w:p>
            <w:pPr>
              <w:spacing w:after="0"/>
            </w:pPr>
            <w:r/>
            <w:r>
              <w:rPr>
                <w:sz w:val="16"/>
              </w:rPr>
              <w:t>Purpose</w:t>
            </w:r>
          </w:p>
        </w:tc>
        <w:tc>
          <w:tcPr>
            <w:tcW w:type="dxa" w:w="7200"/>
          </w:tcPr>
          <w:p>
            <w:pPr>
              <w:spacing w:after="0"/>
            </w:pPr>
            <w:r/>
            <w:r>
              <w:rPr>
                <w:sz w:val="16"/>
              </w:rPr>
              <w:t>Cashier register for a single outlet and a single shift.</w:t>
            </w:r>
          </w:p>
        </w:tc>
      </w:tr>
      <w:tr>
        <w:trPr>
          <w:cantSplit/>
        </w:trPr>
        <w:tc>
          <w:tcPr>
            <w:tcW w:type="dxa" w:w="2160"/>
          </w:tcPr>
          <w:p>
            <w:pPr>
              <w:spacing w:after="0"/>
            </w:pPr>
            <w:r/>
            <w:r>
              <w:rPr>
                <w:sz w:val="16"/>
              </w:rPr>
              <w:t>Framework</w:t>
            </w:r>
          </w:p>
        </w:tc>
        <w:tc>
          <w:tcPr>
            <w:tcW w:type="dxa" w:w="7200"/>
          </w:tcPr>
          <w:p>
            <w:pPr>
              <w:spacing w:after="0"/>
            </w:pPr>
            <w:r/>
            <w:r>
              <w:rPr>
                <w:sz w:val="16"/>
              </w:rPr>
              <w:t>Vue 3 SPA, Vite 8, Pinia, vue-router 5.</w:t>
            </w:r>
          </w:p>
        </w:tc>
      </w:tr>
      <w:tr>
        <w:trPr>
          <w:cantSplit/>
        </w:trPr>
        <w:tc>
          <w:tcPr>
            <w:tcW w:type="dxa" w:w="2160"/>
          </w:tcPr>
          <w:p>
            <w:pPr>
              <w:spacing w:after="0"/>
            </w:pPr>
            <w:r/>
            <w:r>
              <w:rPr>
                <w:sz w:val="16"/>
              </w:rPr>
              <w:t>Entry</w:t>
            </w:r>
          </w:p>
        </w:tc>
        <w:tc>
          <w:tcPr>
            <w:tcW w:type="dxa" w:w="7200"/>
          </w:tcPr>
          <w:p>
            <w:pPr>
              <w:spacing w:after="0"/>
            </w:pPr>
            <w:r/>
            <w:r>
              <w:rPr>
                <w:sz w:val="16"/>
              </w:rPr>
              <w:t>src/main.js → App.vue (RouterView + Toaster + ConfirmDialog) → router/index.js</w:t>
            </w:r>
          </w:p>
        </w:tc>
      </w:tr>
      <w:tr>
        <w:trPr>
          <w:cantSplit/>
        </w:trPr>
        <w:tc>
          <w:tcPr>
            <w:tcW w:type="dxa" w:w="2160"/>
          </w:tcPr>
          <w:p>
            <w:pPr>
              <w:spacing w:after="0"/>
            </w:pPr>
            <w:r/>
            <w:r>
              <w:rPr>
                <w:sz w:val="16"/>
              </w:rPr>
              <w:t>Layout</w:t>
            </w:r>
          </w:p>
        </w:tc>
        <w:tc>
          <w:tcPr>
            <w:tcW w:type="dxa" w:w="7200"/>
          </w:tcPr>
          <w:p>
            <w:pPr>
              <w:spacing w:after="0"/>
            </w:pPr>
            <w:r/>
            <w:r>
              <w:rPr>
                <w:sz w:val="16"/>
              </w:rPr>
              <w:t>DefaultLayout.vue with AppSidebar and AppTopbar.</w:t>
            </w:r>
          </w:p>
        </w:tc>
      </w:tr>
      <w:tr>
        <w:trPr>
          <w:cantSplit/>
        </w:trPr>
        <w:tc>
          <w:tcPr>
            <w:tcW w:type="dxa" w:w="2160"/>
          </w:tcPr>
          <w:p>
            <w:pPr>
              <w:spacing w:after="0"/>
            </w:pPr>
            <w:r/>
            <w:r>
              <w:rPr>
                <w:sz w:val="16"/>
              </w:rPr>
              <w:t>API client</w:t>
            </w:r>
          </w:p>
        </w:tc>
        <w:tc>
          <w:tcPr>
            <w:tcW w:type="dxa" w:w="7200"/>
          </w:tcPr>
          <w:p>
            <w:pPr>
              <w:spacing w:after="0"/>
            </w:pPr>
            <w:r/>
            <w:r>
              <w:rPr>
                <w:sz w:val="16"/>
              </w:rPr>
              <w:t>src/services/api/http.js — baseURL VITE_API_URL (origin only; the client appends /api/v1), token from sessionStorage or localStorage depending on 'remember me'.</w:t>
            </w:r>
          </w:p>
        </w:tc>
      </w:tr>
      <w:tr>
        <w:trPr>
          <w:cantSplit/>
        </w:trPr>
        <w:tc>
          <w:tcPr>
            <w:tcW w:type="dxa" w:w="2160"/>
          </w:tcPr>
          <w:p>
            <w:pPr>
              <w:spacing w:after="0"/>
            </w:pPr>
            <w:r/>
            <w:r>
              <w:rPr>
                <w:sz w:val="16"/>
              </w:rPr>
              <w:t>Auth store</w:t>
            </w:r>
          </w:p>
        </w:tc>
        <w:tc>
          <w:tcPr>
            <w:tcW w:type="dxa" w:w="7200"/>
          </w:tcPr>
          <w:p>
            <w:pPr>
              <w:spacing w:after="0"/>
            </w:pPr>
            <w:r/>
            <w:r>
              <w:rPr>
                <w:sz w:val="16"/>
              </w:rPr>
              <w:t>src/stores/auth.js — token, user, stores[], permissions, isPOS, can(permission).</w:t>
            </w:r>
          </w:p>
        </w:tc>
      </w:tr>
      <w:tr>
        <w:trPr>
          <w:cantSplit/>
        </w:trPr>
        <w:tc>
          <w:tcPr>
            <w:tcW w:type="dxa" w:w="2160"/>
          </w:tcPr>
          <w:p>
            <w:pPr>
              <w:spacing w:after="0"/>
            </w:pPr>
            <w:r/>
            <w:r>
              <w:rPr>
                <w:sz w:val="16"/>
              </w:rPr>
              <w:t>Tests</w:t>
            </w:r>
          </w:p>
        </w:tc>
        <w:tc>
          <w:tcPr>
            <w:tcW w:type="dxa" w:w="7200"/>
          </w:tcPr>
          <w:p>
            <w:pPr>
              <w:spacing w:after="0"/>
            </w:pPr>
            <w:r/>
            <w:r>
              <w:rPr>
                <w:sz w:val="16"/>
              </w:rPr>
              <w:t>20 files, 111 tests.</w:t>
            </w:r>
          </w:p>
        </w:tc>
      </w:tr>
      <w:tr>
        <w:trPr>
          <w:cantSplit/>
        </w:trPr>
        <w:tc>
          <w:tcPr>
            <w:tcW w:type="dxa" w:w="2160"/>
          </w:tcPr>
          <w:p>
            <w:pPr>
              <w:spacing w:after="0"/>
            </w:pPr>
            <w:r/>
            <w:r>
              <w:rPr>
                <w:sz w:val="16"/>
              </w:rPr>
              <w:t>Deliberate exclusions</w:t>
            </w:r>
          </w:p>
        </w:tc>
        <w:tc>
          <w:tcPr>
            <w:tcW w:type="dxa" w:w="7200"/>
          </w:tcPr>
          <w:p>
            <w:pPr>
              <w:spacing w:after="0"/>
            </w:pPr>
            <w:r/>
            <w:r>
              <w:rPr>
                <w:sz w:val="16"/>
              </w:rPr>
              <w:t>No product/category/unit master data, no user management, no analytics. Legacy routes redirect to /pos.</w:t>
            </w:r>
          </w:p>
        </w:tc>
      </w:tr>
    </w:tbl>
    <w:p>
      <w:pPr>
        <w:spacing w:after="200"/>
      </w:pPr>
      <w:r>
        <w:rPr>
          <w:i/>
          <w:color w:val="555F6D"/>
          <w:sz w:val="17"/>
        </w:rPr>
        <w:t>Table 29. POS identity</w:t>
      </w:r>
    </w:p>
    <w:p>
      <w:bookmarkStart w:id="1052" w:name="_Toc1052"/>
      <w:pPr>
        <w:pStyle w:val="Heading2"/>
      </w:pPr>
      <w:r>
        <w:t>9.2 Route inventory</w:t>
      </w:r>
      <w:bookmarkEnd w:id="1052"/>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1872"/>
            <w:shd w:val="clear" w:color="auto" w:fill="1F3A5F"/>
          </w:tcPr>
          <w:p>
            <w:pPr>
              <w:spacing w:after="0"/>
            </w:pPr>
            <w:r/>
            <w:r>
              <w:rPr>
                <w:b/>
                <w:color w:val="FFFFFF"/>
                <w:sz w:val="16"/>
              </w:rPr>
              <w:t>Path</w:t>
            </w:r>
          </w:p>
        </w:tc>
        <w:tc>
          <w:tcPr>
            <w:tcW w:type="dxa" w:w="1728"/>
            <w:shd w:val="clear" w:color="auto" w:fill="1F3A5F"/>
          </w:tcPr>
          <w:p>
            <w:pPr>
              <w:spacing w:after="0"/>
            </w:pPr>
            <w:r/>
            <w:r>
              <w:rPr>
                <w:b/>
                <w:color w:val="FFFFFF"/>
                <w:sz w:val="16"/>
              </w:rPr>
              <w:t>Name</w:t>
            </w:r>
          </w:p>
        </w:tc>
        <w:tc>
          <w:tcPr>
            <w:tcW w:type="dxa" w:w="2592"/>
            <w:shd w:val="clear" w:color="auto" w:fill="1F3A5F"/>
          </w:tcPr>
          <w:p>
            <w:pPr>
              <w:spacing w:after="0"/>
            </w:pPr>
            <w:r/>
            <w:r>
              <w:rPr>
                <w:b/>
                <w:color w:val="FFFFFF"/>
                <w:sz w:val="16"/>
              </w:rPr>
              <w:t>Permission</w:t>
            </w:r>
          </w:p>
        </w:tc>
        <w:tc>
          <w:tcPr>
            <w:tcW w:type="dxa" w:w="3168"/>
            <w:shd w:val="clear" w:color="auto" w:fill="1F3A5F"/>
          </w:tcPr>
          <w:p>
            <w:pPr>
              <w:spacing w:after="0"/>
            </w:pPr>
            <w:r/>
            <w:r>
              <w:rPr>
                <w:b/>
                <w:color w:val="FFFFFF"/>
                <w:sz w:val="16"/>
              </w:rPr>
              <w:t>Page</w:t>
            </w:r>
          </w:p>
        </w:tc>
      </w:tr>
      <w:tr>
        <w:trPr>
          <w:cantSplit/>
        </w:trPr>
        <w:tc>
          <w:tcPr>
            <w:tcW w:type="dxa" w:w="1872"/>
          </w:tcPr>
          <w:p>
            <w:pPr>
              <w:spacing w:after="0"/>
            </w:pPr>
            <w:r/>
            <w:r>
              <w:rPr>
                <w:sz w:val="16"/>
              </w:rPr>
              <w:t>/login</w:t>
            </w:r>
          </w:p>
        </w:tc>
        <w:tc>
          <w:tcPr>
            <w:tcW w:type="dxa" w:w="1728"/>
          </w:tcPr>
          <w:p>
            <w:pPr>
              <w:spacing w:after="0"/>
            </w:pPr>
            <w:r/>
            <w:r>
              <w:rPr>
                <w:sz w:val="16"/>
              </w:rPr>
              <w:t>login</w:t>
            </w:r>
          </w:p>
        </w:tc>
        <w:tc>
          <w:tcPr>
            <w:tcW w:type="dxa" w:w="2592"/>
          </w:tcPr>
          <w:p>
            <w:pPr>
              <w:spacing w:after="0"/>
            </w:pPr>
            <w:r/>
            <w:r>
              <w:rPr>
                <w:sz w:val="16"/>
              </w:rPr>
              <w:t>(public)</w:t>
            </w:r>
          </w:p>
        </w:tc>
        <w:tc>
          <w:tcPr>
            <w:tcW w:type="dxa" w:w="3168"/>
          </w:tcPr>
          <w:p>
            <w:pPr>
              <w:spacing w:after="0"/>
            </w:pPr>
            <w:r/>
            <w:r>
              <w:rPr>
                <w:sz w:val="16"/>
              </w:rPr>
              <w:t>LoginPage</w:t>
            </w:r>
          </w:p>
        </w:tc>
      </w:tr>
      <w:tr>
        <w:trPr>
          <w:cantSplit/>
        </w:trPr>
        <w:tc>
          <w:tcPr>
            <w:tcW w:type="dxa" w:w="1872"/>
          </w:tcPr>
          <w:p>
            <w:pPr>
              <w:spacing w:after="0"/>
            </w:pPr>
            <w:r/>
            <w:r>
              <w:rPr>
                <w:sz w:val="16"/>
              </w:rPr>
              <w:t>/</w:t>
            </w:r>
          </w:p>
        </w:tc>
        <w:tc>
          <w:tcPr>
            <w:tcW w:type="dxa" w:w="1728"/>
          </w:tcPr>
          <w:p>
            <w:pPr>
              <w:spacing w:after="0"/>
            </w:pPr>
            <w:r/>
            <w:r>
              <w:rPr>
                <w:sz w:val="16"/>
              </w:rPr>
              <w:t>—</w:t>
            </w:r>
          </w:p>
        </w:tc>
        <w:tc>
          <w:tcPr>
            <w:tcW w:type="dxa" w:w="2592"/>
          </w:tcPr>
          <w:p>
            <w:pPr>
              <w:spacing w:after="0"/>
            </w:pPr>
            <w:r/>
            <w:r>
              <w:rPr>
                <w:sz w:val="16"/>
              </w:rPr>
              <w:t>redirect → pos</w:t>
            </w:r>
          </w:p>
        </w:tc>
        <w:tc>
          <w:tcPr>
            <w:tcW w:type="dxa" w:w="3168"/>
          </w:tcPr>
          <w:p>
            <w:pPr>
              <w:spacing w:after="0"/>
            </w:pPr>
            <w:r/>
            <w:r>
              <w:rPr>
                <w:sz w:val="16"/>
              </w:rPr>
              <w:t>—</w:t>
            </w:r>
          </w:p>
        </w:tc>
      </w:tr>
      <w:tr>
        <w:trPr>
          <w:cantSplit/>
        </w:trPr>
        <w:tc>
          <w:tcPr>
            <w:tcW w:type="dxa" w:w="1872"/>
          </w:tcPr>
          <w:p>
            <w:pPr>
              <w:spacing w:after="0"/>
            </w:pPr>
            <w:r/>
            <w:r>
              <w:rPr>
                <w:sz w:val="16"/>
              </w:rPr>
              <w:t>/pos</w:t>
            </w:r>
          </w:p>
        </w:tc>
        <w:tc>
          <w:tcPr>
            <w:tcW w:type="dxa" w:w="1728"/>
          </w:tcPr>
          <w:p>
            <w:pPr>
              <w:spacing w:after="0"/>
            </w:pPr>
            <w:r/>
            <w:r>
              <w:rPr>
                <w:sz w:val="16"/>
              </w:rPr>
              <w:t>pos</w:t>
            </w:r>
          </w:p>
        </w:tc>
        <w:tc>
          <w:tcPr>
            <w:tcW w:type="dxa" w:w="2592"/>
          </w:tcPr>
          <w:p>
            <w:pPr>
              <w:spacing w:after="0"/>
            </w:pPr>
            <w:r/>
            <w:r>
              <w:rPr>
                <w:sz w:val="16"/>
              </w:rPr>
              <w:t>sales.pos.create</w:t>
            </w:r>
          </w:p>
        </w:tc>
        <w:tc>
          <w:tcPr>
            <w:tcW w:type="dxa" w:w="3168"/>
          </w:tcPr>
          <w:p>
            <w:pPr>
              <w:spacing w:after="0"/>
            </w:pPr>
            <w:r/>
            <w:r>
              <w:rPr>
                <w:sz w:val="16"/>
              </w:rPr>
              <w:t>POSPage — product grid, cart, checkout</w:t>
            </w:r>
          </w:p>
        </w:tc>
      </w:tr>
      <w:tr>
        <w:trPr>
          <w:cantSplit/>
        </w:trPr>
        <w:tc>
          <w:tcPr>
            <w:tcW w:type="dxa" w:w="1872"/>
          </w:tcPr>
          <w:p>
            <w:pPr>
              <w:spacing w:after="0"/>
            </w:pPr>
            <w:r/>
            <w:r>
              <w:rPr>
                <w:sz w:val="16"/>
              </w:rPr>
              <w:t>/transactions</w:t>
            </w:r>
          </w:p>
        </w:tc>
        <w:tc>
          <w:tcPr>
            <w:tcW w:type="dxa" w:w="1728"/>
          </w:tcPr>
          <w:p>
            <w:pPr>
              <w:spacing w:after="0"/>
            </w:pPr>
            <w:r/>
            <w:r>
              <w:rPr>
                <w:sz w:val="16"/>
              </w:rPr>
              <w:t>transactions</w:t>
            </w:r>
          </w:p>
        </w:tc>
        <w:tc>
          <w:tcPr>
            <w:tcW w:type="dxa" w:w="2592"/>
          </w:tcPr>
          <w:p>
            <w:pPr>
              <w:spacing w:after="0"/>
            </w:pPr>
            <w:r/>
            <w:r>
              <w:rPr>
                <w:sz w:val="16"/>
              </w:rPr>
              <w:t>sales.sales-orders.view</w:t>
            </w:r>
          </w:p>
        </w:tc>
        <w:tc>
          <w:tcPr>
            <w:tcW w:type="dxa" w:w="3168"/>
          </w:tcPr>
          <w:p>
            <w:pPr>
              <w:spacing w:after="0"/>
            </w:pPr>
            <w:r/>
            <w:r>
              <w:rPr>
                <w:sz w:val="16"/>
              </w:rPr>
              <w:t>TransactionsPage — history and receipt reprint</w:t>
            </w:r>
          </w:p>
        </w:tc>
      </w:tr>
      <w:tr>
        <w:trPr>
          <w:cantSplit/>
        </w:trPr>
        <w:tc>
          <w:tcPr>
            <w:tcW w:type="dxa" w:w="1872"/>
          </w:tcPr>
          <w:p>
            <w:pPr>
              <w:spacing w:after="0"/>
            </w:pPr>
            <w:r/>
            <w:r>
              <w:rPr>
                <w:sz w:val="16"/>
              </w:rPr>
              <w:t>/returns</w:t>
            </w:r>
          </w:p>
        </w:tc>
        <w:tc>
          <w:tcPr>
            <w:tcW w:type="dxa" w:w="1728"/>
          </w:tcPr>
          <w:p>
            <w:pPr>
              <w:spacing w:after="0"/>
            </w:pPr>
            <w:r/>
            <w:r>
              <w:rPr>
                <w:sz w:val="16"/>
              </w:rPr>
              <w:t>returns</w:t>
            </w:r>
          </w:p>
        </w:tc>
        <w:tc>
          <w:tcPr>
            <w:tcW w:type="dxa" w:w="2592"/>
          </w:tcPr>
          <w:p>
            <w:pPr>
              <w:spacing w:after="0"/>
            </w:pPr>
            <w:r/>
            <w:r>
              <w:rPr>
                <w:sz w:val="16"/>
              </w:rPr>
              <w:t>sales.returns.view</w:t>
            </w:r>
          </w:p>
        </w:tc>
        <w:tc>
          <w:tcPr>
            <w:tcW w:type="dxa" w:w="3168"/>
          </w:tcPr>
          <w:p>
            <w:pPr>
              <w:spacing w:after="0"/>
            </w:pPr>
            <w:r/>
            <w:r>
              <w:rPr>
                <w:sz w:val="16"/>
              </w:rPr>
              <w:t>ReturnsPage — return a completed sale</w:t>
            </w:r>
          </w:p>
        </w:tc>
      </w:tr>
      <w:tr>
        <w:trPr>
          <w:cantSplit/>
        </w:trPr>
        <w:tc>
          <w:tcPr>
            <w:tcW w:type="dxa" w:w="1872"/>
          </w:tcPr>
          <w:p>
            <w:pPr>
              <w:spacing w:after="0"/>
            </w:pPr>
            <w:r/>
            <w:r>
              <w:rPr>
                <w:sz w:val="16"/>
              </w:rPr>
              <w:t>/shifts</w:t>
            </w:r>
          </w:p>
        </w:tc>
        <w:tc>
          <w:tcPr>
            <w:tcW w:type="dxa" w:w="1728"/>
          </w:tcPr>
          <w:p>
            <w:pPr>
              <w:spacing w:after="0"/>
            </w:pPr>
            <w:r/>
            <w:r>
              <w:rPr>
                <w:sz w:val="16"/>
              </w:rPr>
              <w:t>shifts</w:t>
            </w:r>
          </w:p>
        </w:tc>
        <w:tc>
          <w:tcPr>
            <w:tcW w:type="dxa" w:w="2592"/>
          </w:tcPr>
          <w:p>
            <w:pPr>
              <w:spacing w:after="0"/>
            </w:pPr>
            <w:r/>
            <w:r>
              <w:rPr>
                <w:sz w:val="16"/>
              </w:rPr>
              <w:t>(authenticated)</w:t>
            </w:r>
          </w:p>
        </w:tc>
        <w:tc>
          <w:tcPr>
            <w:tcW w:type="dxa" w:w="3168"/>
          </w:tcPr>
          <w:p>
            <w:pPr>
              <w:spacing w:after="0"/>
            </w:pPr>
            <w:r/>
            <w:r>
              <w:rPr>
                <w:sz w:val="16"/>
              </w:rPr>
              <w:t>ShiftsPage — shift history, open/close, drawer</w:t>
            </w:r>
          </w:p>
        </w:tc>
      </w:tr>
      <w:tr>
        <w:trPr>
          <w:cantSplit/>
        </w:trPr>
        <w:tc>
          <w:tcPr>
            <w:tcW w:type="dxa" w:w="1872"/>
          </w:tcPr>
          <w:p>
            <w:pPr>
              <w:spacing w:after="0"/>
            </w:pPr>
            <w:r/>
            <w:r>
              <w:rPr>
                <w:sz w:val="16"/>
              </w:rPr>
              <w:t>/customers</w:t>
            </w:r>
          </w:p>
        </w:tc>
        <w:tc>
          <w:tcPr>
            <w:tcW w:type="dxa" w:w="1728"/>
          </w:tcPr>
          <w:p>
            <w:pPr>
              <w:spacing w:after="0"/>
            </w:pPr>
            <w:r/>
            <w:r>
              <w:rPr>
                <w:sz w:val="16"/>
              </w:rPr>
              <w:t>customers</w:t>
            </w:r>
          </w:p>
        </w:tc>
        <w:tc>
          <w:tcPr>
            <w:tcW w:type="dxa" w:w="2592"/>
          </w:tcPr>
          <w:p>
            <w:pPr>
              <w:spacing w:after="0"/>
            </w:pPr>
            <w:r/>
            <w:r>
              <w:rPr>
                <w:sz w:val="16"/>
              </w:rPr>
              <w:t>masterdata.customers.read</w:t>
            </w:r>
          </w:p>
        </w:tc>
        <w:tc>
          <w:tcPr>
            <w:tcW w:type="dxa" w:w="3168"/>
          </w:tcPr>
          <w:p>
            <w:pPr>
              <w:spacing w:after="0"/>
            </w:pPr>
            <w:r/>
            <w:r>
              <w:rPr>
                <w:sz w:val="16"/>
              </w:rPr>
              <w:t>CustomersPage — lookup, create, enrol member</w:t>
            </w:r>
          </w:p>
        </w:tc>
      </w:tr>
      <w:tr>
        <w:trPr>
          <w:cantSplit/>
        </w:trPr>
        <w:tc>
          <w:tcPr>
            <w:tcW w:type="dxa" w:w="1872"/>
          </w:tcPr>
          <w:p>
            <w:pPr>
              <w:spacing w:after="0"/>
            </w:pPr>
            <w:r/>
            <w:r>
              <w:rPr>
                <w:sz w:val="16"/>
              </w:rPr>
              <w:t>/settings</w:t>
            </w:r>
          </w:p>
        </w:tc>
        <w:tc>
          <w:tcPr>
            <w:tcW w:type="dxa" w:w="1728"/>
          </w:tcPr>
          <w:p>
            <w:pPr>
              <w:spacing w:after="0"/>
            </w:pPr>
            <w:r/>
            <w:r>
              <w:rPr>
                <w:sz w:val="16"/>
              </w:rPr>
              <w:t>settings</w:t>
            </w:r>
          </w:p>
        </w:tc>
        <w:tc>
          <w:tcPr>
            <w:tcW w:type="dxa" w:w="2592"/>
          </w:tcPr>
          <w:p>
            <w:pPr>
              <w:spacing w:after="0"/>
            </w:pPr>
            <w:r/>
            <w:r>
              <w:rPr>
                <w:sz w:val="16"/>
              </w:rPr>
              <w:t>(authenticated)</w:t>
            </w:r>
          </w:p>
        </w:tc>
        <w:tc>
          <w:tcPr>
            <w:tcW w:type="dxa" w:w="3168"/>
          </w:tcPr>
          <w:p>
            <w:pPr>
              <w:spacing w:after="0"/>
            </w:pPr>
            <w:r/>
            <w:r>
              <w:rPr>
                <w:sz w:val="16"/>
              </w:rPr>
              <w:t>SettingsPage — receipt prefs, store/galon toggles (device-local)</w:t>
            </w:r>
          </w:p>
        </w:tc>
      </w:tr>
      <w:tr>
        <w:trPr>
          <w:cantSplit/>
        </w:trPr>
        <w:tc>
          <w:tcPr>
            <w:tcW w:type="dxa" w:w="1872"/>
          </w:tcPr>
          <w:p>
            <w:pPr>
              <w:spacing w:after="0"/>
            </w:pPr>
            <w:r/>
            <w:r>
              <w:rPr>
                <w:sz w:val="16"/>
              </w:rPr>
              <w:t>/changelog</w:t>
            </w:r>
          </w:p>
        </w:tc>
        <w:tc>
          <w:tcPr>
            <w:tcW w:type="dxa" w:w="1728"/>
          </w:tcPr>
          <w:p>
            <w:pPr>
              <w:spacing w:after="0"/>
            </w:pPr>
            <w:r/>
            <w:r>
              <w:rPr>
                <w:sz w:val="16"/>
              </w:rPr>
              <w:t>changelog</w:t>
            </w:r>
          </w:p>
        </w:tc>
        <w:tc>
          <w:tcPr>
            <w:tcW w:type="dxa" w:w="2592"/>
          </w:tcPr>
          <w:p>
            <w:pPr>
              <w:spacing w:after="0"/>
            </w:pPr>
            <w:r/>
            <w:r>
              <w:rPr>
                <w:sz w:val="16"/>
              </w:rPr>
              <w:t>(authenticated)</w:t>
            </w:r>
          </w:p>
        </w:tc>
        <w:tc>
          <w:tcPr>
            <w:tcW w:type="dxa" w:w="3168"/>
          </w:tcPr>
          <w:p>
            <w:pPr>
              <w:spacing w:after="0"/>
            </w:pPr>
            <w:r/>
            <w:r>
              <w:rPr>
                <w:sz w:val="16"/>
              </w:rPr>
              <w:t>ChangelogPage</w:t>
            </w:r>
          </w:p>
        </w:tc>
      </w:tr>
      <w:tr>
        <w:trPr>
          <w:cantSplit/>
        </w:trPr>
        <w:tc>
          <w:tcPr>
            <w:tcW w:type="dxa" w:w="1872"/>
          </w:tcPr>
          <w:p>
            <w:pPr>
              <w:spacing w:after="0"/>
            </w:pPr>
            <w:r/>
            <w:r>
              <w:rPr>
                <w:sz w:val="16"/>
              </w:rPr>
              <w:t>/contact</w:t>
            </w:r>
          </w:p>
        </w:tc>
        <w:tc>
          <w:tcPr>
            <w:tcW w:type="dxa" w:w="1728"/>
          </w:tcPr>
          <w:p>
            <w:pPr>
              <w:spacing w:after="0"/>
            </w:pPr>
            <w:r/>
            <w:r>
              <w:rPr>
                <w:sz w:val="16"/>
              </w:rPr>
              <w:t>contact</w:t>
            </w:r>
          </w:p>
        </w:tc>
        <w:tc>
          <w:tcPr>
            <w:tcW w:type="dxa" w:w="2592"/>
          </w:tcPr>
          <w:p>
            <w:pPr>
              <w:spacing w:after="0"/>
            </w:pPr>
            <w:r/>
            <w:r>
              <w:rPr>
                <w:sz w:val="16"/>
              </w:rPr>
              <w:t>(authenticated)</w:t>
            </w:r>
          </w:p>
        </w:tc>
        <w:tc>
          <w:tcPr>
            <w:tcW w:type="dxa" w:w="3168"/>
          </w:tcPr>
          <w:p>
            <w:pPr>
              <w:spacing w:after="0"/>
            </w:pPr>
            <w:r/>
            <w:r>
              <w:rPr>
                <w:sz w:val="16"/>
              </w:rPr>
              <w:t>ContactPage</w:t>
            </w:r>
          </w:p>
        </w:tc>
      </w:tr>
    </w:tbl>
    <w:p>
      <w:pPr>
        <w:spacing w:after="200"/>
      </w:pPr>
      <w:r>
        <w:rPr>
          <w:i/>
          <w:color w:val="555F6D"/>
          <w:sz w:val="17"/>
        </w:rPr>
        <w:t>Table 30. POS routes</w:t>
      </w:r>
    </w:p>
    <w:p>
      <w:bookmarkStart w:id="1053" w:name="_Toc1053"/>
      <w:pPr>
        <w:pStyle w:val="Heading2"/>
      </w:pPr>
      <w:r>
        <w:t>9.3 Checkout flow (verified)</w:t>
      </w:r>
      <w:bookmarkEnd w:id="1053"/>
    </w:p>
    <w:p>
      <w:pPr>
        <w:keepNext/>
        <w:spacing w:before="80" w:after="40"/>
        <w:jc w:val="center"/>
      </w:pPr>
      <w:r>
        <w:drawing>
          <wp:inline xmlns:a="http://schemas.openxmlformats.org/drawingml/2006/main" xmlns:pic="http://schemas.openxmlformats.org/drawingml/2006/picture">
            <wp:extent cx="2761986" cy="6766558"/>
            <wp:docPr id="6" name="Picture 6"/>
            <wp:cNvGraphicFramePr>
              <a:graphicFrameLocks noChangeAspect="1"/>
            </wp:cNvGraphicFramePr>
            <a:graphic>
              <a:graphicData uri="http://schemas.openxmlformats.org/drawingml/2006/picture">
                <pic:pic>
                  <pic:nvPicPr>
                    <pic:cNvPr id="0" name="fig-pos-flow.png"/>
                    <pic:cNvPicPr/>
                  </pic:nvPicPr>
                  <pic:blipFill>
                    <a:blip r:embed="rId16"/>
                    <a:stretch>
                      <a:fillRect/>
                    </a:stretch>
                  </pic:blipFill>
                  <pic:spPr>
                    <a:xfrm>
                      <a:off x="0" y="0"/>
                      <a:ext cx="2761986" cy="6766558"/>
                    </a:xfrm>
                    <a:prstGeom prst="rect"/>
                  </pic:spPr>
                </pic:pic>
              </a:graphicData>
            </a:graphic>
          </wp:inline>
        </w:drawing>
      </w:r>
    </w:p>
    <w:p>
      <w:pPr>
        <w:spacing w:after="40"/>
        <w:jc w:val="center"/>
      </w:pPr>
      <w:r>
        <w:rPr>
          <w:i/>
          <w:color w:val="555F6D"/>
          <w:sz w:val="17"/>
        </w:rPr>
        <w:t>Figure 6. POS checkout: the order, its lines, stock deduction, invoice, payment and cashflow are written in one transaction; the deferred-QRIS branch leaves the invoice open until the provider confirms.</w:t>
      </w:r>
    </w:p>
    <w:p>
      <w:r>
        <w:rPr>
          <w:i w:val="0"/>
        </w:rPr>
        <w:t>The register posts to POST /api/v1/pos with a mandatory Idempotency-Key. The service resolves the caller's store binding, maps a walk-in (customer_id 0) to the 'Pelanggan Umum' placeholder without applying membership pricing, resolves the authoritative unit price from product_units (the client's unit_price is ignored), computes totals, allocates SO and invoice numbers from the sequence table, deducts stock with a row lock, writes a stock movement per line, creates the invoice, and records the payment. A cash tender below the total is rejected.</w:t>
      </w:r>
    </w:p>
    <w:p>
      <w:pPr>
        <w:spacing w:after="0" w:before="0"/>
        <w:ind w:left="216"/>
      </w:pPr>
      <w:r>
        <w:rPr>
          <w:rFonts w:ascii="Consolas" w:hAnsi="Consolas"/>
          <w:color w:val="1A1A1A"/>
          <w:sz w:val="16"/>
        </w:rPr>
        <w:t>POST /api/v1/pos</w:t>
      </w:r>
    </w:p>
    <w:p>
      <w:pPr>
        <w:spacing w:after="0" w:before="0"/>
        <w:ind w:left="216"/>
      </w:pPr>
      <w:r>
        <w:rPr>
          <w:rFonts w:ascii="Consolas" w:hAnsi="Consolas"/>
          <w:color w:val="1A1A1A"/>
          <w:sz w:val="16"/>
        </w:rPr>
        <w:t>Idempotency-Key: &lt;client-generated, stable per checkout attempt&gt;</w:t>
      </w:r>
    </w:p>
    <w:p>
      <w:pPr>
        <w:spacing w:after="0" w:before="0"/>
        <w:ind w:left="216"/>
      </w:pPr>
      <w:r>
        <w:rPr>
          <w:rFonts w:ascii="Consolas" w:hAnsi="Consolas"/>
          <w:color w:val="1A1A1A"/>
          <w:sz w:val="16"/>
        </w:rPr>
        <w:t>{</w:t>
      </w:r>
    </w:p>
    <w:p>
      <w:pPr>
        <w:spacing w:after="0" w:before="0"/>
        <w:ind w:left="216"/>
      </w:pPr>
      <w:r>
        <w:rPr>
          <w:rFonts w:ascii="Consolas" w:hAnsi="Consolas"/>
          <w:color w:val="1A1A1A"/>
          <w:sz w:val="16"/>
        </w:rPr>
        <w:t xml:space="preserve">  "payment_method": "cash",</w:t>
      </w:r>
    </w:p>
    <w:p>
      <w:pPr>
        <w:spacing w:after="0" w:before="0"/>
        <w:ind w:left="216"/>
      </w:pPr>
      <w:r>
        <w:rPr>
          <w:rFonts w:ascii="Consolas" w:hAnsi="Consolas"/>
          <w:color w:val="1A1A1A"/>
          <w:sz w:val="16"/>
        </w:rPr>
        <w:t xml:space="preserve">  "items": [{ "product_id": 1, "quantity": 2 }],</w:t>
      </w:r>
    </w:p>
    <w:p>
      <w:pPr>
        <w:spacing w:after="0" w:before="0"/>
        <w:ind w:left="216"/>
      </w:pPr>
      <w:r>
        <w:rPr>
          <w:rFonts w:ascii="Consolas" w:hAnsi="Consolas"/>
          <w:color w:val="1A1A1A"/>
          <w:sz w:val="16"/>
        </w:rPr>
        <w:t xml:space="preserve">  "cash_received": 100000</w:t>
      </w:r>
    </w:p>
    <w:p>
      <w:pPr>
        <w:spacing w:after="0" w:before="0"/>
        <w:ind w:left="216"/>
      </w:pPr>
      <w:r>
        <w:rPr>
          <w:rFonts w:ascii="Consolas" w:hAnsi="Consolas"/>
          <w:color w:val="1A1A1A"/>
          <w:sz w:val="16"/>
        </w:rPr>
        <w:t>}</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201 Created</w:t>
      </w:r>
    </w:p>
    <w:p>
      <w:pPr>
        <w:spacing w:after="0" w:before="0"/>
        <w:ind w:left="216"/>
      </w:pPr>
      <w:r>
        <w:rPr>
          <w:rFonts w:ascii="Consolas" w:hAnsi="Consolas"/>
          <w:color w:val="1A1A1A"/>
          <w:sz w:val="16"/>
        </w:rPr>
        <w:t>{</w:t>
      </w:r>
    </w:p>
    <w:p>
      <w:pPr>
        <w:spacing w:after="0" w:before="0"/>
        <w:ind w:left="216"/>
      </w:pPr>
      <w:r>
        <w:rPr>
          <w:rFonts w:ascii="Consolas" w:hAnsi="Consolas"/>
          <w:color w:val="1A1A1A"/>
          <w:sz w:val="16"/>
        </w:rPr>
        <w:t xml:space="preserve">  "data": {</w:t>
      </w:r>
    </w:p>
    <w:p>
      <w:pPr>
        <w:spacing w:after="0" w:before="0"/>
        <w:ind w:left="216"/>
      </w:pPr>
      <w:r>
        <w:rPr>
          <w:rFonts w:ascii="Consolas" w:hAnsi="Consolas"/>
          <w:color w:val="1A1A1A"/>
          <w:sz w:val="16"/>
        </w:rPr>
        <w:t xml:space="preserve">    "sales_order": {</w:t>
      </w:r>
    </w:p>
    <w:p>
      <w:pPr>
        <w:spacing w:after="0" w:before="0"/>
        <w:ind w:left="216"/>
      </w:pPr>
      <w:r>
        <w:rPr>
          <w:rFonts w:ascii="Consolas" w:hAnsi="Consolas"/>
          <w:color w:val="1A1A1A"/>
          <w:sz w:val="16"/>
        </w:rPr>
        <w:t xml:space="preserve">      "so_number": "SO-202610-000001", "status": "invoiced",</w:t>
      </w:r>
    </w:p>
    <w:p>
      <w:pPr>
        <w:spacing w:after="0" w:before="0"/>
        <w:ind w:left="216"/>
      </w:pPr>
      <w:r>
        <w:rPr>
          <w:rFonts w:ascii="Consolas" w:hAnsi="Consolas"/>
          <w:color w:val="1A1A1A"/>
          <w:sz w:val="16"/>
        </w:rPr>
        <w:t xml:space="preserve">      "order_type": "pos", "subtotal": "16000", "tax_amount": "0",</w:t>
      </w:r>
    </w:p>
    <w:p>
      <w:pPr>
        <w:spacing w:after="0" w:before="0"/>
        <w:ind w:left="216"/>
      </w:pPr>
      <w:r>
        <w:rPr>
          <w:rFonts w:ascii="Consolas" w:hAnsi="Consolas"/>
          <w:color w:val="1A1A1A"/>
          <w:sz w:val="16"/>
        </w:rPr>
        <w:t xml:space="preserve">      "discount_amount": "0", "total_amount": "16000",</w:t>
      </w:r>
    </w:p>
    <w:p>
      <w:pPr>
        <w:spacing w:after="0" w:before="0"/>
        <w:ind w:left="216"/>
      </w:pPr>
      <w:r>
        <w:rPr>
          <w:rFonts w:ascii="Consolas" w:hAnsi="Consolas"/>
          <w:color w:val="1A1A1A"/>
          <w:sz w:val="16"/>
        </w:rPr>
        <w:t xml:space="preserve">      "paid_amount": "16000", "remaining_amount": "0", "warehouse_id": 1</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 xml:space="preserve">    "invoice": {</w:t>
      </w:r>
    </w:p>
    <w:p>
      <w:pPr>
        <w:spacing w:after="0" w:before="0"/>
        <w:ind w:left="216"/>
      </w:pPr>
      <w:r>
        <w:rPr>
          <w:rFonts w:ascii="Consolas" w:hAnsi="Consolas"/>
          <w:color w:val="1A1A1A"/>
          <w:sz w:val="16"/>
        </w:rPr>
        <w:t xml:space="preserve">      "invoice_number": "INV-202610-000001", "status": "paid",</w:t>
      </w:r>
    </w:p>
    <w:p>
      <w:pPr>
        <w:spacing w:after="0" w:before="0"/>
        <w:ind w:left="216"/>
      </w:pPr>
      <w:r>
        <w:rPr>
          <w:rFonts w:ascii="Consolas" w:hAnsi="Consolas"/>
          <w:color w:val="1A1A1A"/>
          <w:sz w:val="16"/>
        </w:rPr>
        <w:t xml:space="preserve">      "total_amount": "16000", "paid_amount": "16000", "remaining_amount": "0"</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 xml:space="preserve">  "meta": { "request_id": "..." }</w:t>
      </w:r>
    </w:p>
    <w:p>
      <w:pPr>
        <w:spacing w:after="0" w:before="0"/>
        <w:ind w:left="216"/>
      </w:pPr>
      <w:r>
        <w:rPr>
          <w:rFonts w:ascii="Consolas" w:hAnsi="Consolas"/>
          <w:color w:val="1A1A1A"/>
          <w:sz w:val="16"/>
        </w:rPr>
        <w:t>}</w:t>
      </w:r>
    </w:p>
    <w:p>
      <w:pPr>
        <w:spacing w:after="200"/>
      </w:pPr>
      <w:r>
        <w:rPr>
          <w:i/>
          <w:color w:val="555F6D"/>
          <w:sz w:val="17"/>
        </w:rPr>
        <w:t>Table 31. POS checkout request and actual response (values from the audit run, one seeded product at 8 000)</w:t>
      </w:r>
    </w:p>
    <w:p>
      <w:pPr>
        <w:spacing w:after="160"/>
        <w:ind w:left="216"/>
        <w:pBdr>
          <w:left w:val="single" w:sz="18" w:space="6" w:color="1E6B3A"/>
        </w:pBdr>
      </w:pPr>
      <w:r>
        <w:rPr>
          <w:b/>
          <w:color w:val="1E6B3A"/>
          <w:sz w:val="19"/>
        </w:rPr>
        <w:t xml:space="preserve">Verified runtime behaviour: </w:t>
      </w:r>
      <w:r>
        <w:rPr>
          <w:sz w:val="19"/>
        </w:rPr>
        <w:t>The replay with the same key and body returned 201 with the identical invoice; the same key with a different quantity returned 409 CONFLICT 'Idempotency-Key already used with a different request'. Stock after the sale was 48 (from 50 stocked in, minus 2 sold). A request without the header returned 422 'Idempotency-Key header is required'.</w:t>
      </w:r>
    </w:p>
    <w:p>
      <w:bookmarkStart w:id="1054" w:name="_Toc1054"/>
      <w:pPr>
        <w:pStyle w:val="Heading2"/>
      </w:pPr>
      <w:r>
        <w:t>9.4 Shift and drawer</w:t>
      </w:r>
      <w:bookmarkEnd w:id="1054"/>
    </w:p>
    <w:p>
      <w:r>
        <w:rPr>
          <w:i w:val="0"/>
        </w:rPr>
        <w:t>A shift records opening cash, then accumulates drawer entries (cash_in / cash_out) and cash sales linked by sales_orders.shift_id. Closing computes expected = opening + cash_in − cash_out + cash_sales and stores variance = actual − expected. A shift that is not open cannot be closed; the row is locked for the whole operation.</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160"/>
            <w:shd w:val="clear" w:color="auto" w:fill="1F3A5F"/>
          </w:tcPr>
          <w:p>
            <w:pPr>
              <w:spacing w:after="0"/>
            </w:pPr>
            <w:r/>
            <w:r>
              <w:rPr>
                <w:b/>
                <w:color w:val="FFFFFF"/>
                <w:sz w:val="16"/>
              </w:rPr>
              <w:t>Operation</w:t>
            </w:r>
          </w:p>
        </w:tc>
        <w:tc>
          <w:tcPr>
            <w:tcW w:type="dxa" w:w="4464"/>
            <w:shd w:val="clear" w:color="auto" w:fill="1F3A5F"/>
          </w:tcPr>
          <w:p>
            <w:pPr>
              <w:spacing w:after="0"/>
            </w:pPr>
            <w:r/>
            <w:r>
              <w:rPr>
                <w:b/>
                <w:color w:val="FFFFFF"/>
                <w:sz w:val="16"/>
              </w:rPr>
              <w:t>Endpoint</w:t>
            </w:r>
          </w:p>
        </w:tc>
        <w:tc>
          <w:tcPr>
            <w:tcW w:type="dxa" w:w="2736"/>
            <w:shd w:val="clear" w:color="auto" w:fill="1F3A5F"/>
          </w:tcPr>
          <w:p>
            <w:pPr>
              <w:spacing w:after="0"/>
            </w:pPr>
            <w:r/>
            <w:r>
              <w:rPr>
                <w:b/>
                <w:color w:val="FFFFFF"/>
                <w:sz w:val="16"/>
              </w:rPr>
              <w:t>Permission</w:t>
            </w:r>
          </w:p>
        </w:tc>
      </w:tr>
      <w:tr>
        <w:trPr>
          <w:cantSplit/>
        </w:trPr>
        <w:tc>
          <w:tcPr>
            <w:tcW w:type="dxa" w:w="2160"/>
          </w:tcPr>
          <w:p>
            <w:pPr>
              <w:spacing w:after="0"/>
            </w:pPr>
            <w:r/>
            <w:r>
              <w:rPr>
                <w:sz w:val="16"/>
              </w:rPr>
              <w:t>Open shift</w:t>
            </w:r>
          </w:p>
        </w:tc>
        <w:tc>
          <w:tcPr>
            <w:tcW w:type="dxa" w:w="4464"/>
          </w:tcPr>
          <w:p>
            <w:pPr>
              <w:spacing w:after="0"/>
            </w:pPr>
            <w:r/>
            <w:r>
              <w:rPr>
                <w:sz w:val="16"/>
              </w:rPr>
              <w:t>POST /api/v1/cashier/shifts</w:t>
            </w:r>
          </w:p>
        </w:tc>
        <w:tc>
          <w:tcPr>
            <w:tcW w:type="dxa" w:w="2736"/>
          </w:tcPr>
          <w:p>
            <w:pPr>
              <w:spacing w:after="0"/>
            </w:pPr>
            <w:r/>
            <w:r>
              <w:rPr>
                <w:sz w:val="16"/>
              </w:rPr>
              <w:t>cashier.shifts.open</w:t>
            </w:r>
          </w:p>
        </w:tc>
      </w:tr>
      <w:tr>
        <w:trPr>
          <w:cantSplit/>
        </w:trPr>
        <w:tc>
          <w:tcPr>
            <w:tcW w:type="dxa" w:w="2160"/>
          </w:tcPr>
          <w:p>
            <w:pPr>
              <w:spacing w:after="0"/>
            </w:pPr>
            <w:r/>
            <w:r>
              <w:rPr>
                <w:sz w:val="16"/>
              </w:rPr>
              <w:t>Close shift</w:t>
            </w:r>
          </w:p>
        </w:tc>
        <w:tc>
          <w:tcPr>
            <w:tcW w:type="dxa" w:w="4464"/>
          </w:tcPr>
          <w:p>
            <w:pPr>
              <w:spacing w:after="0"/>
            </w:pPr>
            <w:r/>
            <w:r>
              <w:rPr>
                <w:sz w:val="16"/>
              </w:rPr>
              <w:t>POST /api/v1/cashier/shifts/{id}/close</w:t>
            </w:r>
          </w:p>
        </w:tc>
        <w:tc>
          <w:tcPr>
            <w:tcW w:type="dxa" w:w="2736"/>
          </w:tcPr>
          <w:p>
            <w:pPr>
              <w:spacing w:after="0"/>
            </w:pPr>
            <w:r/>
            <w:r>
              <w:rPr>
                <w:sz w:val="16"/>
              </w:rPr>
              <w:t>cashier.shifts.close</w:t>
            </w:r>
          </w:p>
        </w:tc>
      </w:tr>
      <w:tr>
        <w:trPr>
          <w:cantSplit/>
        </w:trPr>
        <w:tc>
          <w:tcPr>
            <w:tcW w:type="dxa" w:w="2160"/>
          </w:tcPr>
          <w:p>
            <w:pPr>
              <w:spacing w:after="0"/>
            </w:pPr>
            <w:r/>
            <w:r>
              <w:rPr>
                <w:sz w:val="16"/>
              </w:rPr>
              <w:t>Cash in</w:t>
            </w:r>
          </w:p>
        </w:tc>
        <w:tc>
          <w:tcPr>
            <w:tcW w:type="dxa" w:w="4464"/>
          </w:tcPr>
          <w:p>
            <w:pPr>
              <w:spacing w:after="0"/>
            </w:pPr>
            <w:r/>
            <w:r>
              <w:rPr>
                <w:sz w:val="16"/>
              </w:rPr>
              <w:t>POST /api/v1/cashier/shifts/{id}/cash-in</w:t>
            </w:r>
          </w:p>
        </w:tc>
        <w:tc>
          <w:tcPr>
            <w:tcW w:type="dxa" w:w="2736"/>
          </w:tcPr>
          <w:p>
            <w:pPr>
              <w:spacing w:after="0"/>
            </w:pPr>
            <w:r/>
            <w:r>
              <w:rPr>
                <w:sz w:val="16"/>
              </w:rPr>
              <w:t>cashier.shifts.drawer</w:t>
            </w:r>
          </w:p>
        </w:tc>
      </w:tr>
      <w:tr>
        <w:trPr>
          <w:cantSplit/>
        </w:trPr>
        <w:tc>
          <w:tcPr>
            <w:tcW w:type="dxa" w:w="2160"/>
          </w:tcPr>
          <w:p>
            <w:pPr>
              <w:spacing w:after="0"/>
            </w:pPr>
            <w:r/>
            <w:r>
              <w:rPr>
                <w:sz w:val="16"/>
              </w:rPr>
              <w:t>Cash out</w:t>
            </w:r>
          </w:p>
        </w:tc>
        <w:tc>
          <w:tcPr>
            <w:tcW w:type="dxa" w:w="4464"/>
          </w:tcPr>
          <w:p>
            <w:pPr>
              <w:spacing w:after="0"/>
            </w:pPr>
            <w:r/>
            <w:r>
              <w:rPr>
                <w:sz w:val="16"/>
              </w:rPr>
              <w:t>POST /api/v1/cashier/shifts/{id}/cash-out</w:t>
            </w:r>
          </w:p>
        </w:tc>
        <w:tc>
          <w:tcPr>
            <w:tcW w:type="dxa" w:w="2736"/>
          </w:tcPr>
          <w:p>
            <w:pPr>
              <w:spacing w:after="0"/>
            </w:pPr>
            <w:r/>
            <w:r>
              <w:rPr>
                <w:sz w:val="16"/>
              </w:rPr>
              <w:t>cashier.shifts.drawer</w:t>
            </w:r>
          </w:p>
        </w:tc>
      </w:tr>
      <w:tr>
        <w:trPr>
          <w:cantSplit/>
        </w:trPr>
        <w:tc>
          <w:tcPr>
            <w:tcW w:type="dxa" w:w="2160"/>
          </w:tcPr>
          <w:p>
            <w:pPr>
              <w:spacing w:after="0"/>
            </w:pPr>
            <w:r/>
            <w:r>
              <w:rPr>
                <w:sz w:val="16"/>
              </w:rPr>
              <w:t>List shifts</w:t>
            </w:r>
          </w:p>
        </w:tc>
        <w:tc>
          <w:tcPr>
            <w:tcW w:type="dxa" w:w="4464"/>
          </w:tcPr>
          <w:p>
            <w:pPr>
              <w:spacing w:after="0"/>
            </w:pPr>
            <w:r/>
            <w:r>
              <w:rPr>
                <w:sz w:val="16"/>
              </w:rPr>
              <w:t>GET /api/v1/cashier/shifts</w:t>
            </w:r>
          </w:p>
        </w:tc>
        <w:tc>
          <w:tcPr>
            <w:tcW w:type="dxa" w:w="2736"/>
          </w:tcPr>
          <w:p>
            <w:pPr>
              <w:spacing w:after="0"/>
            </w:pPr>
            <w:r/>
            <w:r>
              <w:rPr>
                <w:sz w:val="16"/>
              </w:rPr>
              <w:t>cashier.shifts.view</w:t>
            </w:r>
          </w:p>
        </w:tc>
      </w:tr>
    </w:tbl>
    <w:p>
      <w:pPr>
        <w:spacing w:after="200"/>
      </w:pPr>
      <w:r>
        <w:rPr>
          <w:i/>
          <w:color w:val="555F6D"/>
          <w:sz w:val="17"/>
        </w:rPr>
        <w:t>Table 32. Shift endpoints</w:t>
      </w:r>
    </w:p>
    <w:p>
      <w:bookmarkStart w:id="1055" w:name="_Toc1055"/>
      <w:pPr>
        <w:pStyle w:val="Heading2"/>
      </w:pPr>
      <w:r>
        <w:t>9.5 Hardware and browser interactions</w:t>
      </w:r>
      <w:bookmarkEnd w:id="1055"/>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016"/>
            <w:shd w:val="clear" w:color="auto" w:fill="1F3A5F"/>
          </w:tcPr>
          <w:p>
            <w:pPr>
              <w:spacing w:after="0"/>
            </w:pPr>
            <w:r/>
            <w:r>
              <w:rPr>
                <w:b/>
                <w:color w:val="FFFFFF"/>
                <w:sz w:val="16"/>
              </w:rPr>
              <w:t>Capability</w:t>
            </w:r>
          </w:p>
        </w:tc>
        <w:tc>
          <w:tcPr>
            <w:tcW w:type="dxa" w:w="4896"/>
            <w:shd w:val="clear" w:color="auto" w:fill="1F3A5F"/>
          </w:tcPr>
          <w:p>
            <w:pPr>
              <w:spacing w:after="0"/>
            </w:pPr>
            <w:r/>
            <w:r>
              <w:rPr>
                <w:b/>
                <w:color w:val="FFFFFF"/>
                <w:sz w:val="16"/>
              </w:rPr>
              <w:t>Implementation</w:t>
            </w:r>
          </w:p>
        </w:tc>
        <w:tc>
          <w:tcPr>
            <w:tcW w:type="dxa" w:w="2448"/>
            <w:shd w:val="clear" w:color="auto" w:fill="1F3A5F"/>
          </w:tcPr>
          <w:p>
            <w:pPr>
              <w:spacing w:after="0"/>
            </w:pPr>
            <w:r/>
            <w:r>
              <w:rPr>
                <w:b/>
                <w:color w:val="FFFFFF"/>
                <w:sz w:val="16"/>
              </w:rPr>
              <w:t>Status</w:t>
            </w:r>
          </w:p>
        </w:tc>
      </w:tr>
      <w:tr>
        <w:trPr>
          <w:cantSplit/>
        </w:trPr>
        <w:tc>
          <w:tcPr>
            <w:tcW w:type="dxa" w:w="2016"/>
          </w:tcPr>
          <w:p>
            <w:pPr>
              <w:spacing w:after="0"/>
            </w:pPr>
            <w:r/>
            <w:r>
              <w:rPr>
                <w:sz w:val="16"/>
              </w:rPr>
              <w:t>Barcode scanning</w:t>
            </w:r>
          </w:p>
        </w:tc>
        <w:tc>
          <w:tcPr>
            <w:tcW w:type="dxa" w:w="4896"/>
          </w:tcPr>
          <w:p>
            <w:pPr>
              <w:spacing w:after="0"/>
            </w:pPr>
            <w:r/>
            <w:r>
              <w:rPr>
                <w:sz w:val="16"/>
              </w:rPr>
              <w:t>BarcodeScannerModal + BarcodeInput; BarcodeDetector with zxing-wasm fallback; the WASM binary is bundled locally</w:t>
            </w:r>
          </w:p>
        </w:tc>
        <w:tc>
          <w:tcPr>
            <w:tcW w:type="dxa" w:w="2448"/>
          </w:tcPr>
          <w:p>
            <w:pPr>
              <w:spacing w:after="0"/>
            </w:pPr>
            <w:r/>
            <w:r>
              <w:rPr>
                <w:sz w:val="16"/>
              </w:rPr>
              <w:t>Verified in source</w:t>
            </w:r>
          </w:p>
        </w:tc>
      </w:tr>
      <w:tr>
        <w:trPr>
          <w:cantSplit/>
        </w:trPr>
        <w:tc>
          <w:tcPr>
            <w:tcW w:type="dxa" w:w="2016"/>
          </w:tcPr>
          <w:p>
            <w:pPr>
              <w:spacing w:after="0"/>
            </w:pPr>
            <w:r/>
            <w:r>
              <w:rPr>
                <w:sz w:val="16"/>
              </w:rPr>
              <w:t>Keyboard-first entry</w:t>
            </w:r>
          </w:p>
        </w:tc>
        <w:tc>
          <w:tcPr>
            <w:tcW w:type="dxa" w:w="4896"/>
          </w:tcPr>
          <w:p>
            <w:pPr>
              <w:spacing w:after="0"/>
            </w:pPr>
            <w:r/>
            <w:r>
              <w:rPr>
                <w:sz w:val="16"/>
              </w:rPr>
              <w:t>ShortcutCheatsheetModal, focus handling in PaymentInput/ProductSearch</w:t>
            </w:r>
          </w:p>
        </w:tc>
        <w:tc>
          <w:tcPr>
            <w:tcW w:type="dxa" w:w="2448"/>
          </w:tcPr>
          <w:p>
            <w:pPr>
              <w:spacing w:after="0"/>
            </w:pPr>
            <w:r/>
            <w:r>
              <w:rPr>
                <w:sz w:val="16"/>
              </w:rPr>
              <w:t>Verified in source</w:t>
            </w:r>
          </w:p>
        </w:tc>
      </w:tr>
      <w:tr>
        <w:trPr>
          <w:cantSplit/>
        </w:trPr>
        <w:tc>
          <w:tcPr>
            <w:tcW w:type="dxa" w:w="2016"/>
          </w:tcPr>
          <w:p>
            <w:pPr>
              <w:spacing w:after="0"/>
            </w:pPr>
            <w:r/>
            <w:r>
              <w:rPr>
                <w:sz w:val="16"/>
              </w:rPr>
              <w:t>Receipt printing</w:t>
            </w:r>
          </w:p>
        </w:tc>
        <w:tc>
          <w:tcPr>
            <w:tcW w:type="dxa" w:w="4896"/>
          </w:tcPr>
          <w:p>
            <w:pPr>
              <w:spacing w:after="0"/>
            </w:pPr>
            <w:r/>
            <w:r>
              <w:rPr>
                <w:sz w:val="16"/>
              </w:rPr>
              <w:t>utils/print.js → POST /api/v1/reports/render?template=pos-receipt&amp;format=pdf, then window.print() or download; HTML fallback when the render fails</w:t>
            </w:r>
          </w:p>
        </w:tc>
        <w:tc>
          <w:tcPr>
            <w:tcW w:type="dxa" w:w="2448"/>
          </w:tcPr>
          <w:p>
            <w:pPr>
              <w:spacing w:after="0"/>
            </w:pPr>
            <w:r/>
            <w:r>
              <w:rPr>
                <w:sz w:val="16"/>
              </w:rPr>
              <w:t>Verified in source; PDF rendering verified at runtime</w:t>
            </w:r>
          </w:p>
        </w:tc>
      </w:tr>
      <w:tr>
        <w:trPr>
          <w:cantSplit/>
        </w:trPr>
        <w:tc>
          <w:tcPr>
            <w:tcW w:type="dxa" w:w="2016"/>
          </w:tcPr>
          <w:p>
            <w:pPr>
              <w:spacing w:after="0"/>
            </w:pPr>
            <w:r/>
            <w:r>
              <w:rPr>
                <w:sz w:val="16"/>
              </w:rPr>
              <w:t>Cash drawer</w:t>
            </w:r>
          </w:p>
        </w:tc>
        <w:tc>
          <w:tcPr>
            <w:tcW w:type="dxa" w:w="4896"/>
          </w:tcPr>
          <w:p>
            <w:pPr>
              <w:spacing w:after="0"/>
            </w:pPr>
            <w:r/>
            <w:r>
              <w:rPr>
                <w:sz w:val="16"/>
              </w:rPr>
              <w:t>Recorded as a drawer entry; no hardware kick command exists</w:t>
            </w:r>
          </w:p>
        </w:tc>
        <w:tc>
          <w:tcPr>
            <w:tcW w:type="dxa" w:w="2448"/>
          </w:tcPr>
          <w:p>
            <w:pPr>
              <w:spacing w:after="0"/>
            </w:pPr>
            <w:r/>
            <w:r>
              <w:rPr>
                <w:sz w:val="16"/>
              </w:rPr>
              <w:t>Verified: no device API in source</w:t>
            </w:r>
          </w:p>
        </w:tc>
      </w:tr>
      <w:tr>
        <w:trPr>
          <w:cantSplit/>
        </w:trPr>
        <w:tc>
          <w:tcPr>
            <w:tcW w:type="dxa" w:w="2016"/>
          </w:tcPr>
          <w:p>
            <w:pPr>
              <w:spacing w:after="0"/>
            </w:pPr>
            <w:r/>
            <w:r>
              <w:rPr>
                <w:sz w:val="16"/>
              </w:rPr>
              <w:t>Offline sales</w:t>
            </w:r>
          </w:p>
        </w:tc>
        <w:tc>
          <w:tcPr>
            <w:tcW w:type="dxa" w:w="4896"/>
          </w:tcPr>
          <w:p>
            <w:pPr>
              <w:spacing w:after="0"/>
            </w:pPr>
            <w:r/>
            <w:r>
              <w:rPr>
                <w:sz w:val="16"/>
              </w:rPr>
              <w:t>Not implemented — no service worker, no IndexedDB queue (finding F-17)</w:t>
            </w:r>
          </w:p>
        </w:tc>
        <w:tc>
          <w:tcPr>
            <w:tcW w:type="dxa" w:w="2448"/>
          </w:tcPr>
          <w:p>
            <w:pPr>
              <w:spacing w:after="0"/>
            </w:pPr>
            <w:r/>
            <w:r>
              <w:rPr>
                <w:sz w:val="16"/>
              </w:rPr>
              <w:t>Missing</w:t>
            </w:r>
          </w:p>
        </w:tc>
      </w:tr>
    </w:tbl>
    <w:p>
      <w:pPr>
        <w:spacing w:after="200"/>
      </w:pPr>
      <w:r>
        <w:rPr>
          <w:i/>
          <w:color w:val="555F6D"/>
          <w:sz w:val="17"/>
        </w:rPr>
        <w:t>Table 33. POS hardware/browser integration</w:t>
      </w:r>
    </w:p>
    <w:p>
      <w:bookmarkStart w:id="1056" w:name="_Toc1056"/>
      <w:pPr>
        <w:pStyle w:val="Heading1"/>
        <w:pageBreakBefore/>
      </w:pPr>
      <w:r>
        <w:t>10. B2B documentation</w:t>
      </w:r>
      <w:bookmarkEnd w:id="1056"/>
    </w:p>
    <w:p>
      <w:bookmarkStart w:id="1057" w:name="_Toc1057"/>
      <w:pPr>
        <w:pStyle w:val="Heading2"/>
      </w:pPr>
      <w:r>
        <w:t>10.1 Identity</w:t>
      </w:r>
      <w:bookmarkEnd w:id="1057"/>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2160"/>
            <w:shd w:val="clear" w:color="auto" w:fill="1F3A5F"/>
          </w:tcPr>
          <w:p>
            <w:pPr>
              <w:spacing w:after="0"/>
            </w:pPr>
            <w:r/>
            <w:r>
              <w:rPr>
                <w:b/>
                <w:color w:val="FFFFFF"/>
                <w:sz w:val="16"/>
              </w:rPr>
              <w:t>Property</w:t>
            </w:r>
          </w:p>
        </w:tc>
        <w:tc>
          <w:tcPr>
            <w:tcW w:type="dxa" w:w="7200"/>
            <w:shd w:val="clear" w:color="auto" w:fill="1F3A5F"/>
          </w:tcPr>
          <w:p>
            <w:pPr>
              <w:spacing w:after="0"/>
            </w:pPr>
            <w:r/>
            <w:r>
              <w:rPr>
                <w:b/>
                <w:color w:val="FFFFFF"/>
                <w:sz w:val="16"/>
              </w:rPr>
              <w:t>Value</w:t>
            </w:r>
          </w:p>
        </w:tc>
      </w:tr>
      <w:tr>
        <w:trPr>
          <w:cantSplit/>
        </w:trPr>
        <w:tc>
          <w:tcPr>
            <w:tcW w:type="dxa" w:w="2160"/>
          </w:tcPr>
          <w:p>
            <w:pPr>
              <w:spacing w:after="0"/>
            </w:pPr>
            <w:r/>
            <w:r>
              <w:rPr>
                <w:sz w:val="16"/>
              </w:rPr>
              <w:t>Purpose</w:t>
            </w:r>
          </w:p>
        </w:tc>
        <w:tc>
          <w:tcPr>
            <w:tcW w:type="dxa" w:w="7200"/>
          </w:tcPr>
          <w:p>
            <w:pPr>
              <w:spacing w:after="0"/>
            </w:pPr>
            <w:r/>
            <w:r>
              <w:rPr>
                <w:sz w:val="16"/>
              </w:rPr>
              <w:t>Wholesale storefront with SSR, buyer accounts, tier pricing, and a commerce-admin console.</w:t>
            </w:r>
          </w:p>
        </w:tc>
      </w:tr>
      <w:tr>
        <w:trPr>
          <w:cantSplit/>
        </w:trPr>
        <w:tc>
          <w:tcPr>
            <w:tcW w:type="dxa" w:w="2160"/>
          </w:tcPr>
          <w:p>
            <w:pPr>
              <w:spacing w:after="0"/>
            </w:pPr>
            <w:r/>
            <w:r>
              <w:rPr>
                <w:sz w:val="16"/>
              </w:rPr>
              <w:t>Framework</w:t>
            </w:r>
          </w:p>
        </w:tc>
        <w:tc>
          <w:tcPr>
            <w:tcW w:type="dxa" w:w="7200"/>
          </w:tcPr>
          <w:p>
            <w:pPr>
              <w:spacing w:after="0"/>
            </w:pPr>
            <w:r/>
            <w:r>
              <w:rPr>
                <w:sz w:val="16"/>
              </w:rPr>
              <w:t>Nuxt 4 (app/ directory convention), @nuxt/ui 4, Pinia, Nitro server.</w:t>
            </w:r>
          </w:p>
        </w:tc>
      </w:tr>
      <w:tr>
        <w:trPr>
          <w:cantSplit/>
        </w:trPr>
        <w:tc>
          <w:tcPr>
            <w:tcW w:type="dxa" w:w="2160"/>
          </w:tcPr>
          <w:p>
            <w:pPr>
              <w:spacing w:after="0"/>
            </w:pPr>
            <w:r/>
            <w:r>
              <w:rPr>
                <w:sz w:val="16"/>
              </w:rPr>
              <w:t>Entry</w:t>
            </w:r>
          </w:p>
        </w:tc>
        <w:tc>
          <w:tcPr>
            <w:tcW w:type="dxa" w:w="7200"/>
          </w:tcPr>
          <w:p>
            <w:pPr>
              <w:spacing w:after="0"/>
            </w:pPr>
            <w:r/>
            <w:r>
              <w:rPr>
                <w:sz w:val="16"/>
              </w:rPr>
              <w:t>app/app.vue; file-based routing under app/pages; server route server/api/v1/[...path].ts.</w:t>
            </w:r>
          </w:p>
        </w:tc>
      </w:tr>
      <w:tr>
        <w:trPr>
          <w:cantSplit/>
        </w:trPr>
        <w:tc>
          <w:tcPr>
            <w:tcW w:type="dxa" w:w="2160"/>
          </w:tcPr>
          <w:p>
            <w:pPr>
              <w:spacing w:after="0"/>
            </w:pPr>
            <w:r/>
            <w:r>
              <w:rPr>
                <w:sz w:val="16"/>
              </w:rPr>
              <w:t>API access</w:t>
            </w:r>
          </w:p>
        </w:tc>
        <w:tc>
          <w:tcPr>
            <w:tcW w:type="dxa" w:w="7200"/>
          </w:tcPr>
          <w:p>
            <w:pPr>
              <w:spacing w:after="0"/>
            </w:pPr>
            <w:r/>
            <w:r>
              <w:rPr>
                <w:sz w:val="16"/>
              </w:rPr>
              <w:t>Browser calls same-origin /api/**; the Nitro catch-all proxy forwards to NUXT_API_PROXY_TARGET and converts the km_auth_token cookie into an Authorization header for SSR.</w:t>
            </w:r>
          </w:p>
        </w:tc>
      </w:tr>
      <w:tr>
        <w:trPr>
          <w:cantSplit/>
        </w:trPr>
        <w:tc>
          <w:tcPr>
            <w:tcW w:type="dxa" w:w="2160"/>
          </w:tcPr>
          <w:p>
            <w:pPr>
              <w:spacing w:after="0"/>
            </w:pPr>
            <w:r/>
            <w:r>
              <w:rPr>
                <w:sz w:val="16"/>
              </w:rPr>
              <w:t>Auth middleware</w:t>
            </w:r>
          </w:p>
        </w:tc>
        <w:tc>
          <w:tcPr>
            <w:tcW w:type="dxa" w:w="7200"/>
          </w:tcPr>
          <w:p>
            <w:pPr>
              <w:spacing w:after="0"/>
            </w:pPr>
            <w:r/>
            <w:r>
              <w:rPr>
                <w:sz w:val="16"/>
              </w:rPr>
              <w:t>app/middleware/auth.ts, admin.ts, guest.ts — all client-only, all documented as UX rather than security.</w:t>
            </w:r>
          </w:p>
        </w:tc>
      </w:tr>
      <w:tr>
        <w:trPr>
          <w:cantSplit/>
        </w:trPr>
        <w:tc>
          <w:tcPr>
            <w:tcW w:type="dxa" w:w="2160"/>
          </w:tcPr>
          <w:p>
            <w:pPr>
              <w:spacing w:after="0"/>
            </w:pPr>
            <w:r/>
            <w:r>
              <w:rPr>
                <w:sz w:val="16"/>
              </w:rPr>
              <w:t>Locales</w:t>
            </w:r>
          </w:p>
        </w:tc>
        <w:tc>
          <w:tcPr>
            <w:tcW w:type="dxa" w:w="7200"/>
          </w:tcPr>
          <w:p>
            <w:pPr>
              <w:spacing w:after="0"/>
            </w:pPr>
            <w:r/>
            <w:r>
              <w:rPr>
                <w:sz w:val="16"/>
              </w:rPr>
              <w:t>app/locales/id (single locale).</w:t>
            </w:r>
          </w:p>
        </w:tc>
      </w:tr>
      <w:tr>
        <w:trPr>
          <w:cantSplit/>
        </w:trPr>
        <w:tc>
          <w:tcPr>
            <w:tcW w:type="dxa" w:w="2160"/>
          </w:tcPr>
          <w:p>
            <w:pPr>
              <w:spacing w:after="0"/>
            </w:pPr>
            <w:r/>
            <w:r>
              <w:rPr>
                <w:sz w:val="16"/>
              </w:rPr>
              <w:t>Tests</w:t>
            </w:r>
          </w:p>
        </w:tc>
        <w:tc>
          <w:tcPr>
            <w:tcW w:type="dxa" w:w="7200"/>
          </w:tcPr>
          <w:p>
            <w:pPr>
              <w:spacing w:after="0"/>
            </w:pPr>
            <w:r/>
            <w:r>
              <w:rPr>
                <w:sz w:val="16"/>
              </w:rPr>
              <w:t>20 files, 170 tests.</w:t>
            </w:r>
          </w:p>
        </w:tc>
      </w:tr>
    </w:tbl>
    <w:p>
      <w:pPr>
        <w:spacing w:after="200"/>
      </w:pPr>
      <w:r>
        <w:rPr>
          <w:i/>
          <w:color w:val="555F6D"/>
          <w:sz w:val="17"/>
        </w:rPr>
        <w:t>Table 34. B2B identity</w:t>
      </w:r>
    </w:p>
    <w:p>
      <w:bookmarkStart w:id="1058" w:name="_Toc1058"/>
      <w:pPr>
        <w:pStyle w:val="Heading2"/>
      </w:pPr>
      <w:r>
        <w:t>10.2 Page inventory (42 pages)</w:t>
      </w:r>
      <w:bookmarkEnd w:id="1058"/>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1872"/>
            <w:shd w:val="clear" w:color="auto" w:fill="1F3A5F"/>
          </w:tcPr>
          <w:p>
            <w:pPr>
              <w:spacing w:after="0"/>
            </w:pPr>
            <w:r/>
            <w:r>
              <w:rPr>
                <w:b/>
                <w:color w:val="FFFFFF"/>
                <w:sz w:val="16"/>
              </w:rPr>
              <w:t>Area</w:t>
            </w:r>
          </w:p>
        </w:tc>
        <w:tc>
          <w:tcPr>
            <w:tcW w:type="dxa" w:w="7488"/>
            <w:shd w:val="clear" w:color="auto" w:fill="1F3A5F"/>
          </w:tcPr>
          <w:p>
            <w:pPr>
              <w:spacing w:after="0"/>
            </w:pPr>
            <w:r/>
            <w:r>
              <w:rPr>
                <w:b/>
                <w:color w:val="FFFFFF"/>
                <w:sz w:val="16"/>
              </w:rPr>
              <w:t>Pages</w:t>
            </w:r>
          </w:p>
        </w:tc>
      </w:tr>
      <w:tr>
        <w:trPr>
          <w:cantSplit/>
        </w:trPr>
        <w:tc>
          <w:tcPr>
            <w:tcW w:type="dxa" w:w="1872"/>
          </w:tcPr>
          <w:p>
            <w:pPr>
              <w:spacing w:after="0"/>
            </w:pPr>
            <w:r/>
            <w:r>
              <w:rPr>
                <w:sz w:val="16"/>
              </w:rPr>
              <w:t>Public</w:t>
            </w:r>
          </w:p>
        </w:tc>
        <w:tc>
          <w:tcPr>
            <w:tcW w:type="dxa" w:w="7488"/>
          </w:tcPr>
          <w:p>
            <w:pPr>
              <w:spacing w:after="0"/>
            </w:pPr>
            <w:r/>
            <w:r>
              <w:rPr>
                <w:sz w:val="16"/>
              </w:rPr>
              <w:t>/ (home), /catalog, /products/[slug], /cart, /checkout, /checkout/confirmation, /login, /register, /register/status, /forgot-password, /reset-password, /membership, /galon, /changelog</w:t>
            </w:r>
          </w:p>
        </w:tc>
      </w:tr>
      <w:tr>
        <w:trPr>
          <w:cantSplit/>
        </w:trPr>
        <w:tc>
          <w:tcPr>
            <w:tcW w:type="dxa" w:w="1872"/>
          </w:tcPr>
          <w:p>
            <w:pPr>
              <w:spacing w:after="0"/>
            </w:pPr>
            <w:r/>
            <w:r>
              <w:rPr>
                <w:sz w:val="16"/>
              </w:rPr>
              <w:t>Account</w:t>
            </w:r>
          </w:p>
        </w:tc>
        <w:tc>
          <w:tcPr>
            <w:tcW w:type="dxa" w:w="7488"/>
          </w:tcPr>
          <w:p>
            <w:pPr>
              <w:spacing w:after="0"/>
            </w:pPr>
            <w:r/>
            <w:r>
              <w:rPr>
                <w:sz w:val="16"/>
              </w:rPr>
              <w:t>/account, /account/profile, /account/users, /account/addresses, /account/addresses/new, /account/settings, /account/notifications, /account/orders, /account/membership</w:t>
            </w:r>
          </w:p>
        </w:tc>
      </w:tr>
      <w:tr>
        <w:trPr>
          <w:cantSplit/>
        </w:trPr>
        <w:tc>
          <w:tcPr>
            <w:tcW w:type="dxa" w:w="1872"/>
          </w:tcPr>
          <w:p>
            <w:pPr>
              <w:spacing w:after="0"/>
            </w:pPr>
            <w:r/>
            <w:r>
              <w:rPr>
                <w:sz w:val="16"/>
              </w:rPr>
              <w:t>Orders &amp; payment</w:t>
            </w:r>
          </w:p>
        </w:tc>
        <w:tc>
          <w:tcPr>
            <w:tcW w:type="dxa" w:w="7488"/>
          </w:tcPr>
          <w:p>
            <w:pPr>
              <w:spacing w:after="0"/>
            </w:pPr>
            <w:r/>
            <w:r>
              <w:rPr>
                <w:sz w:val="16"/>
              </w:rPr>
              <w:t>/orders, /orders/[id], /orders/[id]/tracking, /payments, /payments/[id], /quick-order, /order-import, /returns</w:t>
            </w:r>
          </w:p>
        </w:tc>
      </w:tr>
      <w:tr>
        <w:trPr>
          <w:cantSplit/>
        </w:trPr>
        <w:tc>
          <w:tcPr>
            <w:tcW w:type="dxa" w:w="1872"/>
          </w:tcPr>
          <w:p>
            <w:pPr>
              <w:spacing w:after="0"/>
            </w:pPr>
            <w:r/>
            <w:r>
              <w:rPr>
                <w:sz w:val="16"/>
              </w:rPr>
              <w:t>Support</w:t>
            </w:r>
          </w:p>
        </w:tc>
        <w:tc>
          <w:tcPr>
            <w:tcW w:type="dxa" w:w="7488"/>
          </w:tcPr>
          <w:p>
            <w:pPr>
              <w:spacing w:after="0"/>
            </w:pPr>
            <w:r/>
            <w:r>
              <w:rPr>
                <w:sz w:val="16"/>
              </w:rPr>
              <w:t>/support, /support/tickets, /support/[id]</w:t>
            </w:r>
          </w:p>
        </w:tc>
      </w:tr>
      <w:tr>
        <w:trPr>
          <w:cantSplit/>
        </w:trPr>
        <w:tc>
          <w:tcPr>
            <w:tcW w:type="dxa" w:w="1872"/>
          </w:tcPr>
          <w:p>
            <w:pPr>
              <w:spacing w:after="0"/>
            </w:pPr>
            <w:r/>
            <w:r>
              <w:rPr>
                <w:sz w:val="16"/>
              </w:rPr>
              <w:t>Admin</w:t>
            </w:r>
          </w:p>
        </w:tc>
        <w:tc>
          <w:tcPr>
            <w:tcW w:type="dxa" w:w="7488"/>
          </w:tcPr>
          <w:p>
            <w:pPr>
              <w:spacing w:after="0"/>
            </w:pPr>
            <w:r/>
            <w:r>
              <w:rPr>
                <w:sz w:val="16"/>
              </w:rPr>
              <w:t>/admin, /admin/customers, /admin/customers/[id], /admin/orders, /admin/orders/[id], /admin/products, /admin/promotions, /admin/analytics</w:t>
            </w:r>
          </w:p>
        </w:tc>
      </w:tr>
    </w:tbl>
    <w:p>
      <w:pPr>
        <w:spacing w:after="200"/>
      </w:pPr>
      <w:r>
        <w:rPr>
          <w:i/>
          <w:color w:val="555F6D"/>
          <w:sz w:val="17"/>
        </w:rPr>
        <w:t>Table 35. B2B pages grouped by area</w:t>
      </w:r>
    </w:p>
    <w:p>
      <w:pPr>
        <w:spacing w:after="160"/>
        <w:ind w:left="216"/>
        <w:pBdr>
          <w:left w:val="single" w:sz="18" w:space="6" w:color="1E6B3A"/>
        </w:pBdr>
      </w:pPr>
      <w:r>
        <w:rPr>
          <w:b/>
          <w:color w:val="1E6B3A"/>
          <w:sz w:val="19"/>
        </w:rPr>
        <w:t xml:space="preserve">Documented vs implemented: </w:t>
      </w:r>
      <w:r>
        <w:rPr>
          <w:sz w:val="19"/>
        </w:rPr>
        <w:t>apps/b2b/docs/ROUTES.md lists /admin/catalog and /reorder, and notes that /admin/analytics redirects to /admin. The page tree has /admin/products and /admin/analytics.vue but no catalog or reorder page; the actual analytics page exists as a file rather than a redirect.</w:t>
      </w:r>
    </w:p>
    <w:p>
      <w:bookmarkStart w:id="1059" w:name="_Toc1059"/>
      <w:pPr>
        <w:pStyle w:val="Heading2"/>
      </w:pPr>
      <w:r>
        <w:t>10.3 Buyer flows</w:t>
      </w:r>
      <w:bookmarkEnd w:id="1059"/>
    </w:p>
    <w:p>
      <w:pPr>
        <w:keepNext/>
        <w:spacing w:before="80" w:after="40"/>
        <w:jc w:val="center"/>
      </w:pPr>
      <w:r>
        <w:drawing>
          <wp:inline xmlns:a="http://schemas.openxmlformats.org/drawingml/2006/main" xmlns:pic="http://schemas.openxmlformats.org/drawingml/2006/picture">
            <wp:extent cx="2481072" cy="6766560"/>
            <wp:docPr id="7" name="Picture 7"/>
            <wp:cNvGraphicFramePr>
              <a:graphicFrameLocks noChangeAspect="1"/>
            </wp:cNvGraphicFramePr>
            <a:graphic>
              <a:graphicData uri="http://schemas.openxmlformats.org/drawingml/2006/picture">
                <pic:pic>
                  <pic:nvPicPr>
                    <pic:cNvPr id="0" name="fig-b2b-order.png"/>
                    <pic:cNvPicPr/>
                  </pic:nvPicPr>
                  <pic:blipFill>
                    <a:blip r:embed="rId17"/>
                    <a:stretch>
                      <a:fillRect/>
                    </a:stretch>
                  </pic:blipFill>
                  <pic:spPr>
                    <a:xfrm>
                      <a:off x="0" y="0"/>
                      <a:ext cx="2481072" cy="6766560"/>
                    </a:xfrm>
                    <a:prstGeom prst="rect"/>
                  </pic:spPr>
                </pic:pic>
              </a:graphicData>
            </a:graphic>
          </wp:inline>
        </w:drawing>
      </w:r>
    </w:p>
    <w:p>
      <w:pPr>
        <w:spacing w:after="40"/>
        <w:jc w:val="center"/>
      </w:pPr>
      <w:r>
        <w:rPr>
          <w:i/>
          <w:color w:val="555F6D"/>
          <w:sz w:val="17"/>
        </w:rPr>
        <w:t>Figure 7. B2B order lifecycle from catalogue to payment confirmation, including the deferred Midtrans branch and the return path.</w:t>
      </w:r>
    </w:p>
    <w:p>
      <w:r>
        <w:rPr>
          <w:i w:val="0"/>
        </w:rPr>
        <w:t>A buyer browses the public catalogue, adds to cart, and checks out. Checkout requires an authenticated buyer with a linked customers row; the order is created with order_type=ecommerce and store/warehouse resolved from the cart context. Payment is either an offline transfer with a proof upload (POST /api/v1/payments/{id}/proof) or Midtrans Snap (POST /api/v1/sales-orders/{id}/snap-token). Buyer self-service is scoped by RequireApp(AppECommerce) plus an ownership check against the linked customer.</w:t>
      </w:r>
    </w:p>
    <w:p>
      <w:bookmarkStart w:id="1060" w:name="_Toc1060"/>
      <w:pPr>
        <w:pStyle w:val="Heading2"/>
      </w:pPr>
      <w:r>
        <w:t>10.4 Commerce admin</w:t>
      </w:r>
      <w:bookmarkEnd w:id="1060"/>
    </w:p>
    <w:p>
      <w:r>
        <w:rPr>
          <w:i w:val="0"/>
        </w:rPr>
        <w:t>The admin console is gated by the customer's is_ecommerce_admin flag rather than by a platform role: GET /auth/me publishes customer.is_ecommerce_admin, and the admin middleware checks isAdmin. Backend-side, the admin surfaces use ecomGate(...) which accepts either the e-commerce-admin identity or the corresponding internal permission.</w:t>
      </w:r>
    </w:p>
    <w:p>
      <w:bookmarkStart w:id="1061" w:name="_Toc1061"/>
      <w:pPr>
        <w:pStyle w:val="Heading1"/>
        <w:pageBreakBefore/>
      </w:pPr>
      <w:r>
        <w:t>11. NextReport documentation</w:t>
      </w:r>
      <w:bookmarkEnd w:id="1061"/>
    </w:p>
    <w:p>
      <w:bookmarkStart w:id="1062" w:name="_Toc1062"/>
      <w:pPr>
        <w:pStyle w:val="Heading2"/>
      </w:pPr>
      <w:r>
        <w:t>11.1 Service surface</w:t>
      </w:r>
      <w:bookmarkEnd w:id="1062"/>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Pr>
      <w:tblGrid>
        <w:gridCol w:w="3216"/>
        <w:gridCol w:w="3216"/>
        <w:gridCol w:w="3216"/>
      </w:tblGrid>
      <w:tr>
        <w:trPr>
          <w:tblHeader w:val="true"/>
        </w:trPr>
        <w:tc>
          <w:tcPr>
            <w:tcW w:type="dxa" w:w="3216"/>
            <w:shd w:val="clear" w:color="auto" w:fill="1F3A5F"/>
          </w:tcPr>
          <w:p>
            <w:pPr>
              <w:spacing w:after="0"/>
            </w:pPr>
            <w:r/>
            <w:r>
              <w:rPr>
                <w:b/>
                <w:color w:val="FFFFFF"/>
                <w:sz w:val="16"/>
              </w:rPr>
              <w:t>Endpoint</w:t>
            </w:r>
          </w:p>
        </w:tc>
        <w:tc>
          <w:tcPr>
            <w:tcW w:type="dxa" w:w="3216"/>
            <w:shd w:val="clear" w:color="auto" w:fill="1F3A5F"/>
          </w:tcPr>
          <w:p>
            <w:pPr>
              <w:spacing w:after="0"/>
            </w:pPr>
            <w:r/>
            <w:r>
              <w:rPr>
                <w:b/>
                <w:color w:val="FFFFFF"/>
                <w:sz w:val="16"/>
              </w:rPr>
              <w:t>Method</w:t>
            </w:r>
          </w:p>
        </w:tc>
        <w:tc>
          <w:tcPr>
            <w:tcW w:type="dxa" w:w="3216"/>
            <w:shd w:val="clear" w:color="auto" w:fill="1F3A5F"/>
          </w:tcPr>
          <w:p>
            <w:pPr>
              <w:spacing w:after="0"/>
            </w:pPr>
            <w:r/>
            <w:r>
              <w:rPr>
                <w:b/>
                <w:color w:val="FFFFFF"/>
                <w:sz w:val="16"/>
              </w:rPr>
              <w:t>Behaviour</w:t>
            </w:r>
          </w:p>
        </w:tc>
      </w:tr>
      <w:tr>
        <w:trPr>
          <w:cantSplit/>
        </w:trPr>
        <w:tc>
          <w:tcPr>
            <w:tcW w:type="dxa" w:w="3216"/>
          </w:tcPr>
          <w:p>
            <w:pPr>
              <w:spacing w:after="0"/>
            </w:pPr>
            <w:r/>
            <w:r>
              <w:rPr>
                <w:sz w:val="16"/>
              </w:rPr>
              <w:t>/</w:t>
            </w:r>
          </w:p>
        </w:tc>
        <w:tc>
          <w:tcPr>
            <w:tcW w:type="dxa" w:w="3216"/>
          </w:tcPr>
          <w:p>
            <w:pPr>
              <w:spacing w:after="0"/>
            </w:pPr>
            <w:r/>
            <w:r>
              <w:rPr>
                <w:sz w:val="16"/>
              </w:rPr>
              <w:t>GET</w:t>
            </w:r>
          </w:p>
        </w:tc>
        <w:tc>
          <w:tcPr>
            <w:tcW w:type="dxa" w:w="3216"/>
          </w:tcPr>
          <w:p>
            <w:pPr>
              <w:spacing w:after="0"/>
            </w:pPr>
            <w:r/>
            <w:r>
              <w:rPr>
                <w:sz w:val="16"/>
              </w:rPr>
              <w:t>Health banner: {status:'ok', engine:'nextreport', version:'0.2.1'}</w:t>
            </w:r>
          </w:p>
        </w:tc>
      </w:tr>
      <w:tr>
        <w:trPr>
          <w:cantSplit/>
        </w:trPr>
        <w:tc>
          <w:tcPr>
            <w:tcW w:type="dxa" w:w="3216"/>
          </w:tcPr>
          <w:p>
            <w:pPr>
              <w:spacing w:after="0"/>
            </w:pPr>
            <w:r/>
            <w:r>
              <w:rPr>
                <w:sz w:val="16"/>
              </w:rPr>
              <w:t>/health</w:t>
            </w:r>
          </w:p>
        </w:tc>
        <w:tc>
          <w:tcPr>
            <w:tcW w:type="dxa" w:w="3216"/>
          </w:tcPr>
          <w:p>
            <w:pPr>
              <w:spacing w:after="0"/>
            </w:pPr>
            <w:r/>
            <w:r>
              <w:rPr>
                <w:sz w:val="16"/>
              </w:rPr>
              <w:t>GET</w:t>
            </w:r>
          </w:p>
        </w:tc>
        <w:tc>
          <w:tcPr>
            <w:tcW w:type="dxa" w:w="3216"/>
          </w:tcPr>
          <w:p>
            <w:pPr>
              <w:spacing w:after="0"/>
            </w:pPr>
            <w:r/>
            <w:r>
              <w:rPr>
                <w:sz w:val="16"/>
              </w:rPr>
              <w:t>Same banner</w:t>
            </w:r>
          </w:p>
        </w:tc>
      </w:tr>
      <w:tr>
        <w:trPr>
          <w:cantSplit/>
        </w:trPr>
        <w:tc>
          <w:tcPr>
            <w:tcW w:type="dxa" w:w="3216"/>
          </w:tcPr>
          <w:p>
            <w:pPr>
              <w:spacing w:after="0"/>
            </w:pPr>
            <w:r/>
            <w:r>
              <w:rPr>
                <w:sz w:val="16"/>
              </w:rPr>
              <w:t>/validate</w:t>
            </w:r>
          </w:p>
        </w:tc>
        <w:tc>
          <w:tcPr>
            <w:tcW w:type="dxa" w:w="3216"/>
          </w:tcPr>
          <w:p>
            <w:pPr>
              <w:spacing w:after="0"/>
            </w:pPr>
            <w:r/>
            <w:r>
              <w:rPr>
                <w:sz w:val="16"/>
              </w:rPr>
              <w:t>POST</w:t>
            </w:r>
          </w:p>
        </w:tc>
        <w:tc>
          <w:tcPr>
            <w:tcW w:type="dxa" w:w="3216"/>
          </w:tcPr>
          <w:p>
            <w:pPr>
              <w:spacing w:after="0"/>
            </w:pPr>
            <w:r/>
            <w:r>
              <w:rPr>
                <w:sz w:val="16"/>
              </w:rPr>
              <w:t>Runs the engine's template schema validation; 400 on invalid JSON</w:t>
            </w:r>
          </w:p>
        </w:tc>
      </w:tr>
      <w:tr>
        <w:trPr>
          <w:cantSplit/>
        </w:trPr>
        <w:tc>
          <w:tcPr>
            <w:tcW w:type="dxa" w:w="3216"/>
          </w:tcPr>
          <w:p>
            <w:pPr>
              <w:spacing w:after="0"/>
            </w:pPr>
            <w:r/>
            <w:r>
              <w:rPr>
                <w:sz w:val="16"/>
              </w:rPr>
              <w:t>/render</w:t>
            </w:r>
          </w:p>
        </w:tc>
        <w:tc>
          <w:tcPr>
            <w:tcW w:type="dxa" w:w="3216"/>
          </w:tcPr>
          <w:p>
            <w:pPr>
              <w:spacing w:after="0"/>
            </w:pPr>
            <w:r/>
            <w:r>
              <w:rPr>
                <w:sz w:val="16"/>
              </w:rPr>
              <w:t>POST</w:t>
            </w:r>
          </w:p>
        </w:tc>
        <w:tc>
          <w:tcPr>
            <w:tcW w:type="dxa" w:w="3216"/>
          </w:tcPr>
          <w:p>
            <w:pPr>
              <w:spacing w:after="0"/>
            </w:pPr>
            <w:r/>
            <w:r>
              <w:rPr>
                <w:sz w:val="16"/>
              </w:rPr>
              <w:t>Renders template+data to HTML (default) or PDF; 400 without a template; 500 with the error message and stack</w:t>
            </w:r>
          </w:p>
        </w:tc>
      </w:tr>
      <w:tr>
        <w:trPr>
          <w:cantSplit/>
        </w:trPr>
        <w:tc>
          <w:tcPr>
            <w:tcW w:type="dxa" w:w="3216"/>
          </w:tcPr>
          <w:p>
            <w:pPr>
              <w:spacing w:after="0"/>
            </w:pPr>
            <w:r/>
            <w:r>
              <w:rPr>
                <w:sz w:val="16"/>
              </w:rPr>
              <w:t>/api/render</w:t>
            </w:r>
          </w:p>
        </w:tc>
        <w:tc>
          <w:tcPr>
            <w:tcW w:type="dxa" w:w="3216"/>
          </w:tcPr>
          <w:p>
            <w:pPr>
              <w:spacing w:after="0"/>
            </w:pPr>
            <w:r/>
            <w:r>
              <w:rPr>
                <w:sz w:val="16"/>
              </w:rPr>
              <w:t>POST</w:t>
            </w:r>
          </w:p>
        </w:tc>
        <w:tc>
          <w:tcPr>
            <w:tcW w:type="dxa" w:w="3216"/>
          </w:tcPr>
          <w:p>
            <w:pPr>
              <w:spacing w:after="0"/>
            </w:pPr>
            <w:r/>
            <w:r>
              <w:rPr>
                <w:sz w:val="16"/>
              </w:rPr>
              <w:t>Alias of /render</w:t>
            </w:r>
          </w:p>
        </w:tc>
      </w:tr>
    </w:tbl>
    <w:p>
      <w:pPr>
        <w:spacing w:after="200"/>
      </w:pPr>
      <w:r>
        <w:rPr>
          <w:i/>
          <w:color w:val="555F6D"/>
          <w:sz w:val="17"/>
        </w:rPr>
        <w:t>Table 36. NextReport HTTP surface (apps/nextreport/server.mjs)</w:t>
      </w:r>
    </w:p>
    <w:p>
      <w:r>
        <w:rPr>
          <w:i w:val="0"/>
        </w:rPr>
        <w:t>The service keeps one Chromium instance and reuses it (relaunching when disconnected). Each PDF request opens a page, sets content with a 15 s load timeout, prints with printBackground and zero margins, then closes the page. Page size comes from the template (A4 default; landscape honoured).</w:t>
      </w:r>
    </w:p>
    <w:p>
      <w:bookmarkStart w:id="1063" w:name="_Toc1063"/>
      <w:pPr>
        <w:pStyle w:val="Heading2"/>
      </w:pPr>
      <w:r>
        <w:t>11.2 Template model</w:t>
      </w:r>
      <w:bookmarkEnd w:id="1063"/>
    </w:p>
    <w:p>
      <w:r>
        <w:rPr>
          <w:i w:val="0"/>
        </w:rPr>
        <w:t>Templates are stored in report_templates as JSONB (template_data + sample_data), versioned per report_code with a single active/default row. 22 rows exist after a clean migration: 19 report codes, with do-print at v2 and lhpp-print at v3.</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3312"/>
            <w:shd w:val="clear" w:color="auto" w:fill="1F3A5F"/>
          </w:tcPr>
          <w:p>
            <w:pPr>
              <w:spacing w:after="0"/>
            </w:pPr>
            <w:r/>
            <w:r>
              <w:rPr>
                <w:b/>
                <w:color w:val="FFFFFF"/>
                <w:sz w:val="16"/>
              </w:rPr>
              <w:t>Report code</w:t>
            </w:r>
          </w:p>
        </w:tc>
        <w:tc>
          <w:tcPr>
            <w:tcW w:type="dxa" w:w="1296"/>
            <w:shd w:val="clear" w:color="auto" w:fill="1F3A5F"/>
          </w:tcPr>
          <w:p>
            <w:pPr>
              <w:spacing w:after="0"/>
            </w:pPr>
            <w:r/>
            <w:r>
              <w:rPr>
                <w:b/>
                <w:color w:val="FFFFFF"/>
                <w:sz w:val="16"/>
              </w:rPr>
              <w:t>Versions</w:t>
            </w:r>
          </w:p>
        </w:tc>
        <w:tc>
          <w:tcPr>
            <w:tcW w:type="dxa" w:w="4752"/>
            <w:shd w:val="clear" w:color="auto" w:fill="1F3A5F"/>
          </w:tcPr>
          <w:p>
            <w:pPr>
              <w:spacing w:after="0"/>
            </w:pPr>
            <w:r/>
            <w:r>
              <w:rPr>
                <w:b/>
                <w:color w:val="FFFFFF"/>
                <w:sz w:val="16"/>
              </w:rPr>
              <w:t>Consuming surface</w:t>
            </w:r>
          </w:p>
        </w:tc>
      </w:tr>
      <w:tr>
        <w:trPr>
          <w:cantSplit/>
        </w:trPr>
        <w:tc>
          <w:tcPr>
            <w:tcW w:type="dxa" w:w="3312"/>
          </w:tcPr>
          <w:p>
            <w:pPr>
              <w:spacing w:after="0"/>
            </w:pPr>
            <w:r/>
            <w:r>
              <w:rPr>
                <w:sz w:val="16"/>
              </w:rPr>
              <w:t>invoice-print</w:t>
            </w:r>
          </w:p>
        </w:tc>
        <w:tc>
          <w:tcPr>
            <w:tcW w:type="dxa" w:w="1296"/>
          </w:tcPr>
          <w:p>
            <w:pPr>
              <w:spacing w:after="0"/>
            </w:pPr>
            <w:r/>
            <w:r>
              <w:rPr>
                <w:sz w:val="16"/>
              </w:rPr>
              <w:t>1</w:t>
            </w:r>
          </w:p>
        </w:tc>
        <w:tc>
          <w:tcPr>
            <w:tcW w:type="dxa" w:w="4752"/>
          </w:tcPr>
          <w:p>
            <w:pPr>
              <w:spacing w:after="0"/>
            </w:pPr>
            <w:r/>
            <w:r>
              <w:rPr>
                <w:sz w:val="16"/>
              </w:rPr>
              <w:t>ERP finance / buyer invoice</w:t>
            </w:r>
          </w:p>
        </w:tc>
      </w:tr>
      <w:tr>
        <w:trPr>
          <w:cantSplit/>
        </w:trPr>
        <w:tc>
          <w:tcPr>
            <w:tcW w:type="dxa" w:w="3312"/>
          </w:tcPr>
          <w:p>
            <w:pPr>
              <w:spacing w:after="0"/>
            </w:pPr>
            <w:r/>
            <w:r>
              <w:rPr>
                <w:sz w:val="16"/>
              </w:rPr>
              <w:t>po-print</w:t>
            </w:r>
          </w:p>
        </w:tc>
        <w:tc>
          <w:tcPr>
            <w:tcW w:type="dxa" w:w="1296"/>
          </w:tcPr>
          <w:p>
            <w:pPr>
              <w:spacing w:after="0"/>
            </w:pPr>
            <w:r/>
            <w:r>
              <w:rPr>
                <w:sz w:val="16"/>
              </w:rPr>
              <w:t>1</w:t>
            </w:r>
          </w:p>
        </w:tc>
        <w:tc>
          <w:tcPr>
            <w:tcW w:type="dxa" w:w="4752"/>
          </w:tcPr>
          <w:p>
            <w:pPr>
              <w:spacing w:after="0"/>
            </w:pPr>
            <w:r/>
            <w:r>
              <w:rPr>
                <w:sz w:val="16"/>
              </w:rPr>
              <w:t>Purchasing purchase order</w:t>
            </w:r>
          </w:p>
        </w:tc>
      </w:tr>
      <w:tr>
        <w:trPr>
          <w:cantSplit/>
        </w:trPr>
        <w:tc>
          <w:tcPr>
            <w:tcW w:type="dxa" w:w="3312"/>
          </w:tcPr>
          <w:p>
            <w:pPr>
              <w:spacing w:after="0"/>
            </w:pPr>
            <w:r/>
            <w:r>
              <w:rPr>
                <w:sz w:val="16"/>
              </w:rPr>
              <w:t>do-print</w:t>
            </w:r>
          </w:p>
        </w:tc>
        <w:tc>
          <w:tcPr>
            <w:tcW w:type="dxa" w:w="1296"/>
          </w:tcPr>
          <w:p>
            <w:pPr>
              <w:spacing w:after="0"/>
            </w:pPr>
            <w:r/>
            <w:r>
              <w:rPr>
                <w:sz w:val="16"/>
              </w:rPr>
              <w:t>2</w:t>
            </w:r>
          </w:p>
        </w:tc>
        <w:tc>
          <w:tcPr>
            <w:tcW w:type="dxa" w:w="4752"/>
          </w:tcPr>
          <w:p>
            <w:pPr>
              <w:spacing w:after="0"/>
            </w:pPr>
            <w:r/>
            <w:r>
              <w:rPr>
                <w:sz w:val="16"/>
              </w:rPr>
              <w:t>Distribution delivery order</w:t>
            </w:r>
          </w:p>
        </w:tc>
      </w:tr>
      <w:tr>
        <w:trPr>
          <w:cantSplit/>
        </w:trPr>
        <w:tc>
          <w:tcPr>
            <w:tcW w:type="dxa" w:w="3312"/>
          </w:tcPr>
          <w:p>
            <w:pPr>
              <w:spacing w:after="0"/>
            </w:pPr>
            <w:r/>
            <w:r>
              <w:rPr>
                <w:sz w:val="16"/>
              </w:rPr>
              <w:t>receipt-print</w:t>
            </w:r>
          </w:p>
        </w:tc>
        <w:tc>
          <w:tcPr>
            <w:tcW w:type="dxa" w:w="1296"/>
          </w:tcPr>
          <w:p>
            <w:pPr>
              <w:spacing w:after="0"/>
            </w:pPr>
            <w:r/>
            <w:r>
              <w:rPr>
                <w:sz w:val="16"/>
              </w:rPr>
              <w:t>1</w:t>
            </w:r>
          </w:p>
        </w:tc>
        <w:tc>
          <w:tcPr>
            <w:tcW w:type="dxa" w:w="4752"/>
          </w:tcPr>
          <w:p>
            <w:pPr>
              <w:spacing w:after="0"/>
            </w:pPr>
            <w:r/>
            <w:r>
              <w:rPr>
                <w:sz w:val="16"/>
              </w:rPr>
              <w:t>Goods receipt</w:t>
            </w:r>
          </w:p>
        </w:tc>
      </w:tr>
      <w:tr>
        <w:trPr>
          <w:cantSplit/>
        </w:trPr>
        <w:tc>
          <w:tcPr>
            <w:tcW w:type="dxa" w:w="3312"/>
          </w:tcPr>
          <w:p>
            <w:pPr>
              <w:spacing w:after="0"/>
            </w:pPr>
            <w:r/>
            <w:r>
              <w:rPr>
                <w:sz w:val="16"/>
              </w:rPr>
              <w:t>pos-receipt</w:t>
            </w:r>
          </w:p>
        </w:tc>
        <w:tc>
          <w:tcPr>
            <w:tcW w:type="dxa" w:w="1296"/>
          </w:tcPr>
          <w:p>
            <w:pPr>
              <w:spacing w:after="0"/>
            </w:pPr>
            <w:r/>
            <w:r>
              <w:rPr>
                <w:sz w:val="16"/>
              </w:rPr>
              <w:t>1</w:t>
            </w:r>
          </w:p>
        </w:tc>
        <w:tc>
          <w:tcPr>
            <w:tcW w:type="dxa" w:w="4752"/>
          </w:tcPr>
          <w:p>
            <w:pPr>
              <w:spacing w:after="0"/>
            </w:pPr>
            <w:r/>
            <w:r>
              <w:rPr>
                <w:sz w:val="16"/>
              </w:rPr>
              <w:t>POS receipt</w:t>
            </w:r>
          </w:p>
        </w:tc>
      </w:tr>
      <w:tr>
        <w:trPr>
          <w:cantSplit/>
        </w:trPr>
        <w:tc>
          <w:tcPr>
            <w:tcW w:type="dxa" w:w="3312"/>
          </w:tcPr>
          <w:p>
            <w:pPr>
              <w:spacing w:after="0"/>
            </w:pPr>
            <w:r/>
            <w:r>
              <w:rPr>
                <w:sz w:val="16"/>
              </w:rPr>
              <w:t>b2b-order</w:t>
            </w:r>
          </w:p>
        </w:tc>
        <w:tc>
          <w:tcPr>
            <w:tcW w:type="dxa" w:w="1296"/>
          </w:tcPr>
          <w:p>
            <w:pPr>
              <w:spacing w:after="0"/>
            </w:pPr>
            <w:r/>
            <w:r>
              <w:rPr>
                <w:sz w:val="16"/>
              </w:rPr>
              <w:t>1</w:t>
            </w:r>
          </w:p>
        </w:tc>
        <w:tc>
          <w:tcPr>
            <w:tcW w:type="dxa" w:w="4752"/>
          </w:tcPr>
          <w:p>
            <w:pPr>
              <w:spacing w:after="0"/>
            </w:pPr>
            <w:r/>
            <w:r>
              <w:rPr>
                <w:sz w:val="16"/>
              </w:rPr>
              <w:t>B2B order document</w:t>
            </w:r>
          </w:p>
        </w:tc>
      </w:tr>
      <w:tr>
        <w:trPr>
          <w:cantSplit/>
        </w:trPr>
        <w:tc>
          <w:tcPr>
            <w:tcW w:type="dxa" w:w="3312"/>
          </w:tcPr>
          <w:p>
            <w:pPr>
              <w:spacing w:after="0"/>
            </w:pPr>
            <w:r/>
            <w:r>
              <w:rPr>
                <w:sz w:val="16"/>
              </w:rPr>
              <w:t>transaction-list</w:t>
            </w:r>
          </w:p>
        </w:tc>
        <w:tc>
          <w:tcPr>
            <w:tcW w:type="dxa" w:w="1296"/>
          </w:tcPr>
          <w:p>
            <w:pPr>
              <w:spacing w:after="0"/>
            </w:pPr>
            <w:r/>
            <w:r>
              <w:rPr>
                <w:sz w:val="16"/>
              </w:rPr>
              <w:t>1</w:t>
            </w:r>
          </w:p>
        </w:tc>
        <w:tc>
          <w:tcPr>
            <w:tcW w:type="dxa" w:w="4752"/>
          </w:tcPr>
          <w:p>
            <w:pPr>
              <w:spacing w:after="0"/>
            </w:pPr>
            <w:r/>
            <w:r>
              <w:rPr>
                <w:sz w:val="16"/>
              </w:rPr>
              <w:t>Transaction report</w:t>
            </w:r>
          </w:p>
        </w:tc>
      </w:tr>
      <w:tr>
        <w:trPr>
          <w:cantSplit/>
        </w:trPr>
        <w:tc>
          <w:tcPr>
            <w:tcW w:type="dxa" w:w="3312"/>
          </w:tcPr>
          <w:p>
            <w:pPr>
              <w:spacing w:after="0"/>
            </w:pPr>
            <w:r/>
            <w:r>
              <w:rPr>
                <w:sz w:val="16"/>
              </w:rPr>
              <w:t>shift-print / shift-list</w:t>
            </w:r>
          </w:p>
        </w:tc>
        <w:tc>
          <w:tcPr>
            <w:tcW w:type="dxa" w:w="1296"/>
          </w:tcPr>
          <w:p>
            <w:pPr>
              <w:spacing w:after="0"/>
            </w:pPr>
            <w:r/>
            <w:r>
              <w:rPr>
                <w:sz w:val="16"/>
              </w:rPr>
              <w:t>1 / 1</w:t>
            </w:r>
          </w:p>
        </w:tc>
        <w:tc>
          <w:tcPr>
            <w:tcW w:type="dxa" w:w="4752"/>
          </w:tcPr>
          <w:p>
            <w:pPr>
              <w:spacing w:after="0"/>
            </w:pPr>
            <w:r/>
            <w:r>
              <w:rPr>
                <w:sz w:val="16"/>
              </w:rPr>
              <w:t>Cashier shift slip and list</w:t>
            </w:r>
          </w:p>
        </w:tc>
      </w:tr>
      <w:tr>
        <w:trPr>
          <w:cantSplit/>
        </w:trPr>
        <w:tc>
          <w:tcPr>
            <w:tcW w:type="dxa" w:w="3312"/>
          </w:tcPr>
          <w:p>
            <w:pPr>
              <w:spacing w:after="0"/>
            </w:pPr>
            <w:r/>
            <w:r>
              <w:rPr>
                <w:sz w:val="16"/>
              </w:rPr>
              <w:t>lhpp-print</w:t>
            </w:r>
          </w:p>
        </w:tc>
        <w:tc>
          <w:tcPr>
            <w:tcW w:type="dxa" w:w="1296"/>
          </w:tcPr>
          <w:p>
            <w:pPr>
              <w:spacing w:after="0"/>
            </w:pPr>
            <w:r/>
            <w:r>
              <w:rPr>
                <w:sz w:val="16"/>
              </w:rPr>
              <w:t>3</w:t>
            </w:r>
          </w:p>
        </w:tc>
        <w:tc>
          <w:tcPr>
            <w:tcW w:type="dxa" w:w="4752"/>
          </w:tcPr>
          <w:p>
            <w:pPr>
              <w:spacing w:after="0"/>
            </w:pPr>
            <w:r/>
            <w:r>
              <w:rPr>
                <w:sz w:val="16"/>
              </w:rPr>
              <w:t>LHPP settlement</w:t>
            </w:r>
          </w:p>
        </w:tc>
      </w:tr>
      <w:tr>
        <w:trPr>
          <w:cantSplit/>
        </w:trPr>
        <w:tc>
          <w:tcPr>
            <w:tcW w:type="dxa" w:w="3312"/>
          </w:tcPr>
          <w:p>
            <w:pPr>
              <w:spacing w:after="0"/>
            </w:pPr>
            <w:r/>
            <w:r>
              <w:rPr>
                <w:sz w:val="16"/>
              </w:rPr>
              <w:t>voucher-print</w:t>
            </w:r>
          </w:p>
        </w:tc>
        <w:tc>
          <w:tcPr>
            <w:tcW w:type="dxa" w:w="1296"/>
          </w:tcPr>
          <w:p>
            <w:pPr>
              <w:spacing w:after="0"/>
            </w:pPr>
            <w:r/>
            <w:r>
              <w:rPr>
                <w:sz w:val="16"/>
              </w:rPr>
              <w:t>1</w:t>
            </w:r>
          </w:p>
        </w:tc>
        <w:tc>
          <w:tcPr>
            <w:tcW w:type="dxa" w:w="4752"/>
          </w:tcPr>
          <w:p>
            <w:pPr>
              <w:spacing w:after="0"/>
            </w:pPr>
            <w:r/>
            <w:r>
              <w:rPr>
                <w:sz w:val="16"/>
              </w:rPr>
              <w:t>Payment voucher</w:t>
            </w:r>
          </w:p>
        </w:tc>
      </w:tr>
      <w:tr>
        <w:trPr>
          <w:cantSplit/>
        </w:trPr>
        <w:tc>
          <w:tcPr>
            <w:tcW w:type="dxa" w:w="3312"/>
          </w:tcPr>
          <w:p>
            <w:pPr>
              <w:spacing w:after="0"/>
            </w:pPr>
            <w:r/>
            <w:r>
              <w:rPr>
                <w:sz w:val="16"/>
              </w:rPr>
              <w:t>sales-by-product / sales-by-customer</w:t>
            </w:r>
          </w:p>
        </w:tc>
        <w:tc>
          <w:tcPr>
            <w:tcW w:type="dxa" w:w="1296"/>
          </w:tcPr>
          <w:p>
            <w:pPr>
              <w:spacing w:after="0"/>
            </w:pPr>
            <w:r/>
            <w:r>
              <w:rPr>
                <w:sz w:val="16"/>
              </w:rPr>
              <w:t>1 / 1</w:t>
            </w:r>
          </w:p>
        </w:tc>
        <w:tc>
          <w:tcPr>
            <w:tcW w:type="dxa" w:w="4752"/>
          </w:tcPr>
          <w:p>
            <w:pPr>
              <w:spacing w:after="0"/>
            </w:pPr>
            <w:r/>
            <w:r>
              <w:rPr>
                <w:sz w:val="16"/>
              </w:rPr>
              <w:t>Sales analysis</w:t>
            </w:r>
          </w:p>
        </w:tc>
      </w:tr>
      <w:tr>
        <w:trPr>
          <w:cantSplit/>
        </w:trPr>
        <w:tc>
          <w:tcPr>
            <w:tcW w:type="dxa" w:w="3312"/>
          </w:tcPr>
          <w:p>
            <w:pPr>
              <w:spacing w:after="0"/>
            </w:pPr>
            <w:r/>
            <w:r>
              <w:rPr>
                <w:sz w:val="16"/>
              </w:rPr>
              <w:t>stock-summary</w:t>
            </w:r>
          </w:p>
        </w:tc>
        <w:tc>
          <w:tcPr>
            <w:tcW w:type="dxa" w:w="1296"/>
          </w:tcPr>
          <w:p>
            <w:pPr>
              <w:spacing w:after="0"/>
            </w:pPr>
            <w:r/>
            <w:r>
              <w:rPr>
                <w:sz w:val="16"/>
              </w:rPr>
              <w:t>1</w:t>
            </w:r>
          </w:p>
        </w:tc>
        <w:tc>
          <w:tcPr>
            <w:tcW w:type="dxa" w:w="4752"/>
          </w:tcPr>
          <w:p>
            <w:pPr>
              <w:spacing w:after="0"/>
            </w:pPr>
            <w:r/>
            <w:r>
              <w:rPr>
                <w:sz w:val="16"/>
              </w:rPr>
              <w:t>Stock report</w:t>
            </w:r>
          </w:p>
        </w:tc>
      </w:tr>
      <w:tr>
        <w:trPr>
          <w:cantSplit/>
        </w:trPr>
        <w:tc>
          <w:tcPr>
            <w:tcW w:type="dxa" w:w="3312"/>
          </w:tcPr>
          <w:p>
            <w:pPr>
              <w:spacing w:after="0"/>
            </w:pPr>
            <w:r/>
            <w:r>
              <w:rPr>
                <w:sz w:val="16"/>
              </w:rPr>
              <w:t>receivables-aging / payables-aging</w:t>
            </w:r>
          </w:p>
        </w:tc>
        <w:tc>
          <w:tcPr>
            <w:tcW w:type="dxa" w:w="1296"/>
          </w:tcPr>
          <w:p>
            <w:pPr>
              <w:spacing w:after="0"/>
            </w:pPr>
            <w:r/>
            <w:r>
              <w:rPr>
                <w:sz w:val="16"/>
              </w:rPr>
              <w:t>1 / 1</w:t>
            </w:r>
          </w:p>
        </w:tc>
        <w:tc>
          <w:tcPr>
            <w:tcW w:type="dxa" w:w="4752"/>
          </w:tcPr>
          <w:p>
            <w:pPr>
              <w:spacing w:after="0"/>
            </w:pPr>
            <w:r/>
            <w:r>
              <w:rPr>
                <w:sz w:val="16"/>
              </w:rPr>
              <w:t>Aging reports</w:t>
            </w:r>
          </w:p>
        </w:tc>
      </w:tr>
      <w:tr>
        <w:trPr>
          <w:cantSplit/>
        </w:trPr>
        <w:tc>
          <w:tcPr>
            <w:tcW w:type="dxa" w:w="3312"/>
          </w:tcPr>
          <w:p>
            <w:pPr>
              <w:spacing w:after="0"/>
            </w:pPr>
            <w:r/>
            <w:r>
              <w:rPr>
                <w:sz w:val="16"/>
              </w:rPr>
              <w:t>profit-loss / balance-sheet / cashflow-statement</w:t>
            </w:r>
          </w:p>
        </w:tc>
        <w:tc>
          <w:tcPr>
            <w:tcW w:type="dxa" w:w="1296"/>
          </w:tcPr>
          <w:p>
            <w:pPr>
              <w:spacing w:after="0"/>
            </w:pPr>
            <w:r/>
            <w:r>
              <w:rPr>
                <w:sz w:val="16"/>
              </w:rPr>
              <w:t>1 / 1 / 1</w:t>
            </w:r>
          </w:p>
        </w:tc>
        <w:tc>
          <w:tcPr>
            <w:tcW w:type="dxa" w:w="4752"/>
          </w:tcPr>
          <w:p>
            <w:pPr>
              <w:spacing w:after="0"/>
            </w:pPr>
            <w:r/>
            <w:r>
              <w:rPr>
                <w:sz w:val="16"/>
              </w:rPr>
              <w:t>Financial statements</w:t>
            </w:r>
          </w:p>
        </w:tc>
      </w:tr>
    </w:tbl>
    <w:p>
      <w:pPr>
        <w:spacing w:after="200"/>
      </w:pPr>
      <w:r>
        <w:rPr>
          <w:i/>
          <w:color w:val="555F6D"/>
          <w:sz w:val="17"/>
        </w:rPr>
        <w:t>Table 37. Seeded report templates (from migration 000064-000088)</w:t>
      </w:r>
    </w:p>
    <w:p>
      <w:pPr>
        <w:spacing w:after="160"/>
        <w:ind w:left="216"/>
        <w:pBdr>
          <w:left w:val="single" w:sz="18" w:space="6" w:color="1E6B3A"/>
        </w:pBdr>
      </w:pPr>
      <w:r>
        <w:rPr>
          <w:b/>
          <w:color w:val="1E6B3A"/>
          <w:sz w:val="19"/>
        </w:rPr>
        <w:t xml:space="preserve">Runtime verified: </w:t>
      </w:r>
      <w:r>
        <w:rPr>
          <w:sz w:val="19"/>
        </w:rPr>
        <w:t>GET /api/v1/reports/render?template=pos-receipt&amp;format=pdf&amp;sales_order_id=1 returned HTTP 200, application/pdf, 25 869 bytes, a valid single-page PDF. With the template rows missing the same call returns 404 'Active template not found for pos-receipt' (finding F-15).</w:t>
      </w:r>
    </w:p>
    <w:p>
      <w:bookmarkStart w:id="1064" w:name="_Toc1064"/>
      <w:pPr>
        <w:pStyle w:val="Heading2"/>
      </w:pPr>
      <w:r>
        <w:t>11.3 Access control</w:t>
      </w:r>
      <w:bookmarkEnd w:id="1064"/>
    </w:p>
    <w:p>
      <w:r>
        <w:rPr>
          <w:i w:val="0"/>
        </w:rPr>
        <w:t>NextReport itself has no authentication. Every render goes through the backend's /api/v1/reports/render, which resolves the template, checks templatePerms (a per-template permission key), enforces buyer ownership for buyer-reachable templates, shapes the data from the owning service, and only then calls the internal service.</w:t>
      </w:r>
    </w:p>
    <w:p>
      <w:bookmarkStart w:id="1065" w:name="_Toc1065"/>
      <w:pPr>
        <w:pStyle w:val="Heading1"/>
        <w:pageBreakBefore/>
      </w:pPr>
      <w:r>
        <w:t>12. Shared packages and components</w:t>
      </w:r>
      <w:bookmarkEnd w:id="1065"/>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2160"/>
            <w:shd w:val="clear" w:color="auto" w:fill="1F3A5F"/>
          </w:tcPr>
          <w:p>
            <w:pPr>
              <w:spacing w:after="0"/>
            </w:pPr>
            <w:r/>
            <w:r>
              <w:rPr>
                <w:b/>
                <w:color w:val="FFFFFF"/>
                <w:sz w:val="15"/>
              </w:rPr>
              <w:t>Package</w:t>
            </w:r>
          </w:p>
        </w:tc>
        <w:tc>
          <w:tcPr>
            <w:tcW w:type="dxa" w:w="3168"/>
            <w:shd w:val="clear" w:color="auto" w:fill="1F3A5F"/>
          </w:tcPr>
          <w:p>
            <w:pPr>
              <w:spacing w:after="0"/>
            </w:pPr>
            <w:r/>
            <w:r>
              <w:rPr>
                <w:b/>
                <w:color w:val="FFFFFF"/>
                <w:sz w:val="15"/>
              </w:rPr>
              <w:t>Exports</w:t>
            </w:r>
          </w:p>
        </w:tc>
        <w:tc>
          <w:tcPr>
            <w:tcW w:type="dxa" w:w="2160"/>
            <w:shd w:val="clear" w:color="auto" w:fill="1F3A5F"/>
          </w:tcPr>
          <w:p>
            <w:pPr>
              <w:spacing w:after="0"/>
            </w:pPr>
            <w:r/>
            <w:r>
              <w:rPr>
                <w:b/>
                <w:color w:val="FFFFFF"/>
                <w:sz w:val="15"/>
              </w:rPr>
              <w:t>Generated from</w:t>
            </w:r>
          </w:p>
        </w:tc>
        <w:tc>
          <w:tcPr>
            <w:tcW w:type="dxa" w:w="1872"/>
            <w:shd w:val="clear" w:color="auto" w:fill="1F3A5F"/>
          </w:tcPr>
          <w:p>
            <w:pPr>
              <w:spacing w:after="0"/>
            </w:pPr>
            <w:r/>
            <w:r>
              <w:rPr>
                <w:b/>
                <w:color w:val="FFFFFF"/>
                <w:sz w:val="15"/>
              </w:rPr>
              <w:t>Consumers</w:t>
            </w:r>
          </w:p>
        </w:tc>
      </w:tr>
      <w:tr>
        <w:trPr>
          <w:cantSplit/>
        </w:trPr>
        <w:tc>
          <w:tcPr>
            <w:tcW w:type="dxa" w:w="2160"/>
          </w:tcPr>
          <w:p>
            <w:pPr>
              <w:spacing w:after="0"/>
            </w:pPr>
            <w:r/>
            <w:r>
              <w:rPr>
                <w:sz w:val="15"/>
              </w:rPr>
              <w:t>@keluargamart/contracts</w:t>
            </w:r>
          </w:p>
        </w:tc>
        <w:tc>
          <w:tcPr>
            <w:tcW w:type="dxa" w:w="3168"/>
          </w:tcPr>
          <w:p>
            <w:pPr>
              <w:spacing w:after="0"/>
            </w:pPr>
            <w:r/>
            <w:r>
              <w:rPr>
                <w:sz w:val="15"/>
              </w:rPr>
              <w:t>API_PREFIX, BACKEND_ROUTES (373 strings), routes.txt</w:t>
            </w:r>
          </w:p>
        </w:tc>
        <w:tc>
          <w:tcPr>
            <w:tcW w:type="dxa" w:w="2160"/>
          </w:tcPr>
          <w:p>
            <w:pPr>
              <w:spacing w:after="0"/>
            </w:pPr>
            <w:r/>
            <w:r>
              <w:rPr>
                <w:sz w:val="15"/>
              </w:rPr>
              <w:t>scripts/gen-contracts.py ← openapi.yaml</w:t>
            </w:r>
          </w:p>
        </w:tc>
        <w:tc>
          <w:tcPr>
            <w:tcW w:type="dxa" w:w="1872"/>
          </w:tcPr>
          <w:p>
            <w:pPr>
              <w:spacing w:after="0"/>
            </w:pPr>
            <w:r/>
            <w:r>
              <w:rPr>
                <w:sz w:val="15"/>
              </w:rPr>
              <w:t>erp, pos, b2b, api-client</w:t>
            </w:r>
          </w:p>
        </w:tc>
      </w:tr>
      <w:tr>
        <w:trPr>
          <w:cantSplit/>
        </w:trPr>
        <w:tc>
          <w:tcPr>
            <w:tcW w:type="dxa" w:w="2160"/>
          </w:tcPr>
          <w:p>
            <w:pPr>
              <w:spacing w:after="0"/>
            </w:pPr>
            <w:r/>
            <w:r>
              <w:rPr>
                <w:sz w:val="15"/>
              </w:rPr>
              <w:t>@keluargamart/permissions</w:t>
            </w:r>
          </w:p>
        </w:tc>
        <w:tc>
          <w:tcPr>
            <w:tcW w:type="dxa" w:w="3168"/>
          </w:tcPr>
          <w:p>
            <w:pPr>
              <w:spacing w:after="0"/>
            </w:pPr>
            <w:r/>
            <w:r>
              <w:rPr>
                <w:sz w:val="15"/>
              </w:rPr>
              <w:t>ROLES, ALL_PERMISSIONS (201), hasPermission/hasRole helpers, permissions.txt</w:t>
            </w:r>
          </w:p>
        </w:tc>
        <w:tc>
          <w:tcPr>
            <w:tcW w:type="dxa" w:w="2160"/>
          </w:tcPr>
          <w:p>
            <w:pPr>
              <w:spacing w:after="0"/>
            </w:pPr>
            <w:r/>
            <w:r>
              <w:rPr>
                <w:sz w:val="15"/>
              </w:rPr>
              <w:t>scripts/gen-permissions.py ← internal/auth/catalog.go</w:t>
            </w:r>
          </w:p>
        </w:tc>
        <w:tc>
          <w:tcPr>
            <w:tcW w:type="dxa" w:w="1872"/>
          </w:tcPr>
          <w:p>
            <w:pPr>
              <w:spacing w:after="0"/>
            </w:pPr>
            <w:r/>
            <w:r>
              <w:rPr>
                <w:sz w:val="15"/>
              </w:rPr>
              <w:t>erp, pos</w:t>
            </w:r>
          </w:p>
        </w:tc>
      </w:tr>
      <w:tr>
        <w:trPr>
          <w:cantSplit/>
        </w:trPr>
        <w:tc>
          <w:tcPr>
            <w:tcW w:type="dxa" w:w="2160"/>
          </w:tcPr>
          <w:p>
            <w:pPr>
              <w:spacing w:after="0"/>
            </w:pPr>
            <w:r/>
            <w:r>
              <w:rPr>
                <w:sz w:val="15"/>
              </w:rPr>
              <w:t>@keluargamart/utils</w:t>
            </w:r>
          </w:p>
        </w:tc>
        <w:tc>
          <w:tcPr>
            <w:tcW w:type="dxa" w:w="3168"/>
          </w:tcPr>
          <w:p>
            <w:pPr>
              <w:spacing w:after="0"/>
            </w:pPr>
            <w:r/>
            <w:r>
              <w:rPr>
                <w:sz w:val="15"/>
              </w:rPr>
              <w:t>PLATFORM_INFO, currency/date formatters, newIdempotencyKey, metadata</w:t>
            </w:r>
          </w:p>
        </w:tc>
        <w:tc>
          <w:tcPr>
            <w:tcW w:type="dxa" w:w="2160"/>
          </w:tcPr>
          <w:p>
            <w:pPr>
              <w:spacing w:after="0"/>
            </w:pPr>
            <w:r/>
            <w:r>
              <w:rPr>
                <w:sz w:val="15"/>
              </w:rPr>
              <w:t>hand-written</w:t>
            </w:r>
          </w:p>
        </w:tc>
        <w:tc>
          <w:tcPr>
            <w:tcW w:type="dxa" w:w="1872"/>
          </w:tcPr>
          <w:p>
            <w:pPr>
              <w:spacing w:after="0"/>
            </w:pPr>
            <w:r/>
            <w:r>
              <w:rPr>
                <w:sz w:val="15"/>
              </w:rPr>
              <w:t>erp, pos, b2b, api-client</w:t>
            </w:r>
          </w:p>
        </w:tc>
      </w:tr>
      <w:tr>
        <w:trPr>
          <w:cantSplit/>
        </w:trPr>
        <w:tc>
          <w:tcPr>
            <w:tcW w:type="dxa" w:w="2160"/>
          </w:tcPr>
          <w:p>
            <w:pPr>
              <w:spacing w:after="0"/>
            </w:pPr>
            <w:r/>
            <w:r>
              <w:rPr>
                <w:sz w:val="15"/>
              </w:rPr>
              <w:t>@keluargamart/api-client</w:t>
            </w:r>
          </w:p>
        </w:tc>
        <w:tc>
          <w:tcPr>
            <w:tcW w:type="dxa" w:w="3168"/>
          </w:tcPr>
          <w:p>
            <w:pPr>
              <w:spacing w:after="0"/>
            </w:pPr>
            <w:r/>
            <w:r>
              <w:rPr>
                <w:sz w:val="15"/>
              </w:rPr>
              <w:t>createHttpClient, normalizeApiError, ApiError</w:t>
            </w:r>
          </w:p>
        </w:tc>
        <w:tc>
          <w:tcPr>
            <w:tcW w:type="dxa" w:w="2160"/>
          </w:tcPr>
          <w:p>
            <w:pPr>
              <w:spacing w:after="0"/>
            </w:pPr>
            <w:r/>
            <w:r>
              <w:rPr>
                <w:sz w:val="15"/>
              </w:rPr>
              <w:t>hand-written</w:t>
            </w:r>
          </w:p>
        </w:tc>
        <w:tc>
          <w:tcPr>
            <w:tcW w:type="dxa" w:w="1872"/>
          </w:tcPr>
          <w:p>
            <w:pPr>
              <w:spacing w:after="0"/>
            </w:pPr>
            <w:r/>
            <w:r>
              <w:rPr>
                <w:sz w:val="15"/>
              </w:rPr>
              <w:t>none (declared by no app)</w:t>
            </w:r>
          </w:p>
        </w:tc>
      </w:tr>
      <w:tr>
        <w:trPr>
          <w:cantSplit/>
        </w:trPr>
        <w:tc>
          <w:tcPr>
            <w:tcW w:type="dxa" w:w="2160"/>
          </w:tcPr>
          <w:p>
            <w:pPr>
              <w:spacing w:after="0"/>
            </w:pPr>
            <w:r/>
            <w:r>
              <w:rPr>
                <w:sz w:val="15"/>
              </w:rPr>
              <w:t>@keluargamart/ui</w:t>
            </w:r>
          </w:p>
        </w:tc>
        <w:tc>
          <w:tcPr>
            <w:tcW w:type="dxa" w:w="3168"/>
          </w:tcPr>
          <w:p>
            <w:pPr>
              <w:spacing w:after="0"/>
            </w:pPr>
            <w:r/>
            <w:r>
              <w:rPr>
                <w:sz w:val="15"/>
              </w:rPr>
              <w:t>KAlert, KBadge, KButton, KCard, KEmptyState, KModal, KSkeleton, KSpinner, design tokens</w:t>
            </w:r>
          </w:p>
        </w:tc>
        <w:tc>
          <w:tcPr>
            <w:tcW w:type="dxa" w:w="2160"/>
          </w:tcPr>
          <w:p>
            <w:pPr>
              <w:spacing w:after="0"/>
            </w:pPr>
            <w:r/>
            <w:r>
              <w:rPr>
                <w:sz w:val="15"/>
              </w:rPr>
              <w:t>hand-written</w:t>
            </w:r>
          </w:p>
        </w:tc>
        <w:tc>
          <w:tcPr>
            <w:tcW w:type="dxa" w:w="1872"/>
          </w:tcPr>
          <w:p>
            <w:pPr>
              <w:spacing w:after="0"/>
            </w:pPr>
            <w:r/>
            <w:r>
              <w:rPr>
                <w:sz w:val="15"/>
              </w:rPr>
              <w:t>none (declared by three apps, imported by none)</w:t>
            </w:r>
          </w:p>
        </w:tc>
      </w:tr>
    </w:tbl>
    <w:p>
      <w:pPr>
        <w:spacing w:after="200"/>
      </w:pPr>
      <w:r>
        <w:rPr>
          <w:i/>
          <w:color w:val="555F6D"/>
          <w:sz w:val="17"/>
        </w:rPr>
        <w:t>Table 38. Shared package inventory</w:t>
      </w:r>
    </w:p>
    <w:p>
      <w:bookmarkStart w:id="1066" w:name="_Toc1066"/>
      <w:pPr>
        <w:pStyle w:val="Heading2"/>
      </w:pPr>
      <w:r>
        <w:t>12.1 Drift guard</w:t>
      </w:r>
      <w:bookmarkEnd w:id="1066"/>
    </w:p>
    <w:p>
      <w:r>
        <w:rPr>
          <w:i w:val="0"/>
        </w:rPr>
        <w:t>scripts/check-drift.py compares the generated route list with openapi.yaml and the generated permission list with catalog.go. It is the first CI job. Running it during this audit printed:</w:t>
      </w:r>
    </w:p>
    <w:p>
      <w:pPr>
        <w:spacing w:after="0" w:before="0"/>
        <w:ind w:left="216"/>
      </w:pPr>
      <w:r>
        <w:rPr>
          <w:rFonts w:ascii="Consolas" w:hAnsi="Consolas"/>
          <w:color w:val="1A1A1A"/>
          <w:sz w:val="16"/>
        </w:rPr>
        <w:t>PASS: Contracts drift check clean (373 routes).</w:t>
      </w:r>
    </w:p>
    <w:p>
      <w:pPr>
        <w:spacing w:after="0" w:before="0"/>
        <w:ind w:left="216"/>
      </w:pPr>
      <w:r>
        <w:rPr>
          <w:rFonts w:ascii="Consolas" w:hAnsi="Consolas"/>
          <w:color w:val="1A1A1A"/>
          <w:sz w:val="16"/>
        </w:rPr>
        <w:t>PASS: Permissions drift check clean (201 keys).</w:t>
      </w:r>
    </w:p>
    <w:p>
      <w:pPr>
        <w:spacing w:after="0" w:before="0"/>
        <w:ind w:left="216"/>
      </w:pPr>
      <w:r>
        <w:rPr>
          <w:rFonts w:ascii="Consolas" w:hAnsi="Consolas"/>
          <w:color w:val="1A1A1A"/>
          <w:sz w:val="16"/>
        </w:rPr>
        <w:t>ALL DRIFT CHECKS PASSED.</w:t>
      </w:r>
    </w:p>
    <w:p>
      <w:pPr>
        <w:spacing w:after="200"/>
      </w:pPr>
      <w:r>
        <w:rPr>
          <w:i/>
          <w:color w:val="555F6D"/>
          <w:sz w:val="17"/>
        </w:rPr>
        <w:t>Table 39. pnpm drift:check output at the audited commit</w:t>
      </w:r>
    </w:p>
    <w:p>
      <w:pPr>
        <w:spacing w:after="160"/>
        <w:ind w:left="216"/>
        <w:pBdr>
          <w:left w:val="single" w:sz="18" w:space="6" w:color="9B2C2C"/>
        </w:pBdr>
      </w:pPr>
      <w:r>
        <w:rPr>
          <w:b/>
          <w:color w:val="9B2C2C"/>
          <w:sz w:val="19"/>
        </w:rPr>
        <w:t xml:space="preserve">What the guard does not cover: </w:t>
      </w:r>
      <w:r>
        <w:rPr>
          <w:sz w:val="19"/>
        </w:rPr>
        <w:t>The guard compares only the two generated text artefacts. It does not compare the ROLES array (which has drifted, F-08), the OpenAPI RoleName enum (F-21), or the OpenAPI schema bodies against the Go structs.</w:t>
      </w:r>
    </w:p>
    <w:p>
      <w:bookmarkStart w:id="1067" w:name="_Toc1067"/>
      <w:pPr>
        <w:pStyle w:val="Heading2"/>
      </w:pPr>
      <w:r>
        <w:t>12.2 Why the UI package is unused</w:t>
      </w:r>
      <w:bookmarkEnd w:id="1067"/>
    </w:p>
    <w:p>
      <w:r>
        <w:rPr>
          <w:i w:val="0"/>
        </w:rPr>
        <w:t>packages/ui ships eight Vue components and tokens.css. A search for the '@keluargamart/ui' specifier across apps/erp/src, apps/pos/src and apps/b2b/app returns no import. Each app has its own K* or Ui* component layer (erp: 55 k/ components; pos: 13 ui/ + 26 pos/ components). The declared dependency therefore adds install time and a false sense of shared design without sharing anything.</w:t>
      </w:r>
    </w:p>
    <w:p>
      <w:bookmarkStart w:id="1068" w:name="_Toc1068"/>
      <w:pPr>
        <w:pStyle w:val="Heading1"/>
        <w:pageBreakBefore/>
      </w:pPr>
      <w:r>
        <w:t>13. Complete UI route and navigation reference</w:t>
      </w:r>
      <w:bookmarkEnd w:id="1068"/>
    </w:p>
    <w:p>
      <w:r>
        <w:rPr>
          <w:i w:val="0"/>
        </w:rPr>
        <w:t>Three client applications expose routes: the ERP router (95 path records — 78 page routes, 15 legacy redirects and 2 layout wrappers), the POS router (9 records) and the B2B file-based page tree (42 pages). The ERP route table is in chapter 8.2 and the POS table in chapter 9.2; this chapter covers cross-application properties, the B2B tree, and the reconciliation between navigation and reachability.</w:t>
      </w:r>
    </w:p>
    <w:p>
      <w:bookmarkStart w:id="1069" w:name="_Toc1069"/>
      <w:pPr>
        <w:pStyle w:val="Heading2"/>
      </w:pPr>
      <w:r>
        <w:t>13.1 Route classes</w:t>
      </w:r>
      <w:bookmarkEnd w:id="1069"/>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2160"/>
            <w:shd w:val="clear" w:color="auto" w:fill="1F3A5F"/>
          </w:tcPr>
          <w:p>
            <w:pPr>
              <w:spacing w:after="0"/>
            </w:pPr>
            <w:r/>
            <w:r>
              <w:rPr>
                <w:b/>
                <w:color w:val="FFFFFF"/>
                <w:sz w:val="15"/>
              </w:rPr>
              <w:t>Class</w:t>
            </w:r>
          </w:p>
        </w:tc>
        <w:tc>
          <w:tcPr>
            <w:tcW w:type="dxa" w:w="2880"/>
            <w:shd w:val="clear" w:color="auto" w:fill="1F3A5F"/>
          </w:tcPr>
          <w:p>
            <w:pPr>
              <w:spacing w:after="0"/>
            </w:pPr>
            <w:r/>
            <w:r>
              <w:rPr>
                <w:b/>
                <w:color w:val="FFFFFF"/>
                <w:sz w:val="15"/>
              </w:rPr>
              <w:t>ERP</w:t>
            </w:r>
          </w:p>
        </w:tc>
        <w:tc>
          <w:tcPr>
            <w:tcW w:type="dxa" w:w="2160"/>
            <w:shd w:val="clear" w:color="auto" w:fill="1F3A5F"/>
          </w:tcPr>
          <w:p>
            <w:pPr>
              <w:spacing w:after="0"/>
            </w:pPr>
            <w:r/>
            <w:r>
              <w:rPr>
                <w:b/>
                <w:color w:val="FFFFFF"/>
                <w:sz w:val="15"/>
              </w:rPr>
              <w:t>POS</w:t>
            </w:r>
          </w:p>
        </w:tc>
        <w:tc>
          <w:tcPr>
            <w:tcW w:type="dxa" w:w="2160"/>
            <w:shd w:val="clear" w:color="auto" w:fill="1F3A5F"/>
          </w:tcPr>
          <w:p>
            <w:pPr>
              <w:spacing w:after="0"/>
            </w:pPr>
            <w:r/>
            <w:r>
              <w:rPr>
                <w:b/>
                <w:color w:val="FFFFFF"/>
                <w:sz w:val="15"/>
              </w:rPr>
              <w:t>B2B</w:t>
            </w:r>
          </w:p>
        </w:tc>
      </w:tr>
      <w:tr>
        <w:trPr>
          <w:cantSplit/>
        </w:trPr>
        <w:tc>
          <w:tcPr>
            <w:tcW w:type="dxa" w:w="2160"/>
          </w:tcPr>
          <w:p>
            <w:pPr>
              <w:spacing w:after="0"/>
            </w:pPr>
            <w:r/>
            <w:r>
              <w:rPr>
                <w:sz w:val="15"/>
              </w:rPr>
              <w:t>Public (no session)</w:t>
            </w:r>
          </w:p>
        </w:tc>
        <w:tc>
          <w:tcPr>
            <w:tcW w:type="dxa" w:w="2880"/>
          </w:tcPr>
          <w:p>
            <w:pPr>
              <w:spacing w:after="0"/>
            </w:pPr>
            <w:r/>
            <w:r>
              <w:rPr>
                <w:sz w:val="15"/>
              </w:rPr>
              <w:t>/login</w:t>
            </w:r>
          </w:p>
        </w:tc>
        <w:tc>
          <w:tcPr>
            <w:tcW w:type="dxa" w:w="2160"/>
          </w:tcPr>
          <w:p>
            <w:pPr>
              <w:spacing w:after="0"/>
            </w:pPr>
            <w:r/>
            <w:r>
              <w:rPr>
                <w:sz w:val="15"/>
              </w:rPr>
              <w:t>/login</w:t>
            </w:r>
          </w:p>
        </w:tc>
        <w:tc>
          <w:tcPr>
            <w:tcW w:type="dxa" w:w="2160"/>
          </w:tcPr>
          <w:p>
            <w:pPr>
              <w:spacing w:after="0"/>
            </w:pPr>
            <w:r/>
            <w:r>
              <w:rPr>
                <w:sz w:val="15"/>
              </w:rPr>
              <w:t>/, /catalog, /products/[slug], /login, /register, /register/status, /forgot-password, /reset-password, /membership, /galon, /changelog</w:t>
            </w:r>
          </w:p>
        </w:tc>
      </w:tr>
      <w:tr>
        <w:trPr>
          <w:cantSplit/>
        </w:trPr>
        <w:tc>
          <w:tcPr>
            <w:tcW w:type="dxa" w:w="2160"/>
          </w:tcPr>
          <w:p>
            <w:pPr>
              <w:spacing w:after="0"/>
            </w:pPr>
            <w:r/>
            <w:r>
              <w:rPr>
                <w:sz w:val="15"/>
              </w:rPr>
              <w:t>Authenticated, no specific permission</w:t>
            </w:r>
          </w:p>
        </w:tc>
        <w:tc>
          <w:tcPr>
            <w:tcW w:type="dxa" w:w="2880"/>
          </w:tcPr>
          <w:p>
            <w:pPr>
              <w:spacing w:after="0"/>
            </w:pPr>
            <w:r/>
            <w:r>
              <w:rPr>
                <w:sz w:val="15"/>
              </w:rPr>
              <w:t>/, /changelog, /contact, catch-all</w:t>
            </w:r>
          </w:p>
        </w:tc>
        <w:tc>
          <w:tcPr>
            <w:tcW w:type="dxa" w:w="2160"/>
          </w:tcPr>
          <w:p>
            <w:pPr>
              <w:spacing w:after="0"/>
            </w:pPr>
            <w:r/>
            <w:r>
              <w:rPr>
                <w:sz w:val="15"/>
              </w:rPr>
              <w:t>/shifts, /settings, /changelog, /contact</w:t>
            </w:r>
          </w:p>
        </w:tc>
        <w:tc>
          <w:tcPr>
            <w:tcW w:type="dxa" w:w="2160"/>
          </w:tcPr>
          <w:p>
            <w:pPr>
              <w:spacing w:after="0"/>
            </w:pPr>
            <w:r/>
            <w:r>
              <w:rPr>
                <w:sz w:val="15"/>
              </w:rPr>
              <w:t>/cart, /checkout, /checkout/confirmation</w:t>
            </w:r>
          </w:p>
        </w:tc>
      </w:tr>
      <w:tr>
        <w:trPr>
          <w:cantSplit/>
        </w:trPr>
        <w:tc>
          <w:tcPr>
            <w:tcW w:type="dxa" w:w="2160"/>
          </w:tcPr>
          <w:p>
            <w:pPr>
              <w:spacing w:after="0"/>
            </w:pPr>
            <w:r/>
            <w:r>
              <w:rPr>
                <w:sz w:val="15"/>
              </w:rPr>
              <w:t>Permission-gated</w:t>
            </w:r>
          </w:p>
        </w:tc>
        <w:tc>
          <w:tcPr>
            <w:tcW w:type="dxa" w:w="2880"/>
          </w:tcPr>
          <w:p>
            <w:pPr>
              <w:spacing w:after="0"/>
            </w:pPr>
            <w:r/>
            <w:r>
              <w:rPr>
                <w:sz w:val="15"/>
              </w:rPr>
              <w:t>74 page routes carry meta.perm</w:t>
            </w:r>
          </w:p>
        </w:tc>
        <w:tc>
          <w:tcPr>
            <w:tcW w:type="dxa" w:w="2160"/>
          </w:tcPr>
          <w:p>
            <w:pPr>
              <w:spacing w:after="0"/>
            </w:pPr>
            <w:r/>
            <w:r>
              <w:rPr>
                <w:sz w:val="15"/>
              </w:rPr>
              <w:t>4 records carry meta.permission</w:t>
            </w:r>
          </w:p>
        </w:tc>
        <w:tc>
          <w:tcPr>
            <w:tcW w:type="dxa" w:w="2160"/>
          </w:tcPr>
          <w:p>
            <w:pPr>
              <w:spacing w:after="0"/>
            </w:pPr>
            <w:r/>
            <w:r>
              <w:rPr>
                <w:sz w:val="15"/>
              </w:rPr>
              <w:t>admin/* and account/* via middleware</w:t>
            </w:r>
          </w:p>
        </w:tc>
      </w:tr>
      <w:tr>
        <w:trPr>
          <w:cantSplit/>
        </w:trPr>
        <w:tc>
          <w:tcPr>
            <w:tcW w:type="dxa" w:w="2160"/>
          </w:tcPr>
          <w:p>
            <w:pPr>
              <w:spacing w:after="0"/>
            </w:pPr>
            <w:r/>
            <w:r>
              <w:rPr>
                <w:sz w:val="15"/>
              </w:rPr>
              <w:t>Alias / redirect</w:t>
            </w:r>
          </w:p>
        </w:tc>
        <w:tc>
          <w:tcPr>
            <w:tcW w:type="dxa" w:w="2880"/>
          </w:tcPr>
          <w:p>
            <w:pPr>
              <w:spacing w:after="0"/>
            </w:pPr>
            <w:r/>
            <w:r>
              <w:rPr>
                <w:sz w:val="15"/>
              </w:rPr>
              <w:t>/accounting/journals, /accounting/general-ledger, /journals, /ledger, /reports/cashflow, /purchasing/orders, /distribution/customer-orders</w:t>
            </w:r>
          </w:p>
        </w:tc>
        <w:tc>
          <w:tcPr>
            <w:tcW w:type="dxa" w:w="2160"/>
          </w:tcPr>
          <w:p>
            <w:pPr>
              <w:spacing w:after="0"/>
            </w:pPr>
            <w:r/>
            <w:r>
              <w:rPr>
                <w:sz w:val="15"/>
              </w:rPr>
              <w:t>/ → /pos</w:t>
            </w:r>
          </w:p>
        </w:tc>
        <w:tc>
          <w:tcPr>
            <w:tcW w:type="dxa" w:w="2160"/>
          </w:tcPr>
          <w:p>
            <w:pPr>
              <w:spacing w:after="0"/>
            </w:pPr>
            <w:r/>
            <w:r>
              <w:rPr>
                <w:sz w:val="15"/>
              </w:rPr>
              <w:t>—</w:t>
            </w:r>
          </w:p>
        </w:tc>
      </w:tr>
    </w:tbl>
    <w:p>
      <w:pPr>
        <w:spacing w:after="200"/>
      </w:pPr>
      <w:r>
        <w:rPr>
          <w:i/>
          <w:color w:val="555F6D"/>
          <w:sz w:val="17"/>
        </w:rPr>
        <w:t>Table 40. Route classes per application</w:t>
      </w:r>
    </w:p>
    <w:p>
      <w:bookmarkStart w:id="1070" w:name="_Toc1070"/>
      <w:pPr>
        <w:pStyle w:val="Heading2"/>
      </w:pPr>
      <w:r>
        <w:t>13.2 B2B page tree</w:t>
      </w:r>
      <w:bookmarkEnd w:id="1070"/>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3168"/>
            <w:shd w:val="clear" w:color="auto" w:fill="1F3A5F"/>
          </w:tcPr>
          <w:p>
            <w:pPr>
              <w:spacing w:after="0"/>
            </w:pPr>
            <w:r/>
            <w:r>
              <w:rPr>
                <w:b/>
                <w:color w:val="FFFFFF"/>
                <w:sz w:val="15"/>
              </w:rPr>
              <w:t>Path</w:t>
            </w:r>
          </w:p>
        </w:tc>
        <w:tc>
          <w:tcPr>
            <w:tcW w:type="dxa" w:w="4320"/>
            <w:shd w:val="clear" w:color="auto" w:fill="1F3A5F"/>
          </w:tcPr>
          <w:p>
            <w:pPr>
              <w:spacing w:after="0"/>
            </w:pPr>
            <w:r/>
            <w:r>
              <w:rPr>
                <w:b/>
                <w:color w:val="FFFFFF"/>
                <w:sz w:val="15"/>
              </w:rPr>
              <w:t>Purpose</w:t>
            </w:r>
          </w:p>
        </w:tc>
        <w:tc>
          <w:tcPr>
            <w:tcW w:type="dxa" w:w="1872"/>
            <w:shd w:val="clear" w:color="auto" w:fill="1F3A5F"/>
          </w:tcPr>
          <w:p>
            <w:pPr>
              <w:spacing w:after="0"/>
            </w:pPr>
            <w:r/>
            <w:r>
              <w:rPr>
                <w:b/>
                <w:color w:val="FFFFFF"/>
                <w:sz w:val="15"/>
              </w:rPr>
              <w:t>Guard</w:t>
            </w:r>
          </w:p>
        </w:tc>
      </w:tr>
      <w:tr>
        <w:trPr>
          <w:cantSplit/>
        </w:trPr>
        <w:tc>
          <w:tcPr>
            <w:tcW w:type="dxa" w:w="3168"/>
          </w:tcPr>
          <w:p>
            <w:pPr>
              <w:spacing w:after="0"/>
            </w:pPr>
            <w:r/>
            <w:r>
              <w:rPr>
                <w:sz w:val="15"/>
              </w:rPr>
              <w:t>/</w:t>
            </w:r>
          </w:p>
        </w:tc>
        <w:tc>
          <w:tcPr>
            <w:tcW w:type="dxa" w:w="4320"/>
          </w:tcPr>
          <w:p>
            <w:pPr>
              <w:spacing w:after="0"/>
            </w:pPr>
            <w:r/>
            <w:r>
              <w:rPr>
                <w:sz w:val="15"/>
              </w:rPr>
              <w:t>Storefront home: featured products, categories, search entry</w:t>
            </w:r>
          </w:p>
        </w:tc>
        <w:tc>
          <w:tcPr>
            <w:tcW w:type="dxa" w:w="1872"/>
          </w:tcPr>
          <w:p>
            <w:pPr>
              <w:spacing w:after="0"/>
            </w:pPr>
            <w:r/>
            <w:r>
              <w:rPr>
                <w:sz w:val="15"/>
              </w:rPr>
              <w:t>public</w:t>
            </w:r>
          </w:p>
        </w:tc>
      </w:tr>
      <w:tr>
        <w:trPr>
          <w:cantSplit/>
        </w:trPr>
        <w:tc>
          <w:tcPr>
            <w:tcW w:type="dxa" w:w="3168"/>
          </w:tcPr>
          <w:p>
            <w:pPr>
              <w:spacing w:after="0"/>
            </w:pPr>
            <w:r/>
            <w:r>
              <w:rPr>
                <w:sz w:val="15"/>
              </w:rPr>
              <w:t>/catalog</w:t>
            </w:r>
          </w:p>
        </w:tc>
        <w:tc>
          <w:tcPr>
            <w:tcW w:type="dxa" w:w="4320"/>
          </w:tcPr>
          <w:p>
            <w:pPr>
              <w:spacing w:after="0"/>
            </w:pPr>
            <w:r/>
            <w:r>
              <w:rPr>
                <w:sz w:val="15"/>
              </w:rPr>
              <w:t>Catalogue with server-side filtering</w:t>
            </w:r>
          </w:p>
        </w:tc>
        <w:tc>
          <w:tcPr>
            <w:tcW w:type="dxa" w:w="1872"/>
          </w:tcPr>
          <w:p>
            <w:pPr>
              <w:spacing w:after="0"/>
            </w:pPr>
            <w:r/>
            <w:r>
              <w:rPr>
                <w:sz w:val="15"/>
              </w:rPr>
              <w:t>public</w:t>
            </w:r>
          </w:p>
        </w:tc>
      </w:tr>
      <w:tr>
        <w:trPr>
          <w:cantSplit/>
        </w:trPr>
        <w:tc>
          <w:tcPr>
            <w:tcW w:type="dxa" w:w="3168"/>
          </w:tcPr>
          <w:p>
            <w:pPr>
              <w:spacing w:after="0"/>
            </w:pPr>
            <w:r/>
            <w:r>
              <w:rPr>
                <w:sz w:val="15"/>
              </w:rPr>
              <w:t>/products/[slug]</w:t>
            </w:r>
          </w:p>
        </w:tc>
        <w:tc>
          <w:tcPr>
            <w:tcW w:type="dxa" w:w="4320"/>
          </w:tcPr>
          <w:p>
            <w:pPr>
              <w:spacing w:after="0"/>
            </w:pPr>
            <w:r/>
            <w:r>
              <w:rPr>
                <w:sz w:val="15"/>
              </w:rPr>
              <w:t>Product detail</w:t>
            </w:r>
          </w:p>
        </w:tc>
        <w:tc>
          <w:tcPr>
            <w:tcW w:type="dxa" w:w="1872"/>
          </w:tcPr>
          <w:p>
            <w:pPr>
              <w:spacing w:after="0"/>
            </w:pPr>
            <w:r/>
            <w:r>
              <w:rPr>
                <w:sz w:val="15"/>
              </w:rPr>
              <w:t>public</w:t>
            </w:r>
          </w:p>
        </w:tc>
      </w:tr>
      <w:tr>
        <w:trPr>
          <w:cantSplit/>
        </w:trPr>
        <w:tc>
          <w:tcPr>
            <w:tcW w:type="dxa" w:w="3168"/>
          </w:tcPr>
          <w:p>
            <w:pPr>
              <w:spacing w:after="0"/>
            </w:pPr>
            <w:r/>
            <w:r>
              <w:rPr>
                <w:sz w:val="15"/>
              </w:rPr>
              <w:t>/cart</w:t>
            </w:r>
          </w:p>
        </w:tc>
        <w:tc>
          <w:tcPr>
            <w:tcW w:type="dxa" w:w="4320"/>
          </w:tcPr>
          <w:p>
            <w:pPr>
              <w:spacing w:after="0"/>
            </w:pPr>
            <w:r/>
            <w:r>
              <w:rPr>
                <w:sz w:val="15"/>
              </w:rPr>
              <w:t>Cart with quantity and price preview</w:t>
            </w:r>
          </w:p>
        </w:tc>
        <w:tc>
          <w:tcPr>
            <w:tcW w:type="dxa" w:w="1872"/>
          </w:tcPr>
          <w:p>
            <w:pPr>
              <w:spacing w:after="0"/>
            </w:pPr>
            <w:r/>
            <w:r>
              <w:rPr>
                <w:sz w:val="15"/>
              </w:rPr>
              <w:t>client</w:t>
            </w:r>
          </w:p>
        </w:tc>
      </w:tr>
      <w:tr>
        <w:trPr>
          <w:cantSplit/>
        </w:trPr>
        <w:tc>
          <w:tcPr>
            <w:tcW w:type="dxa" w:w="3168"/>
          </w:tcPr>
          <w:p>
            <w:pPr>
              <w:spacing w:after="0"/>
            </w:pPr>
            <w:r/>
            <w:r>
              <w:rPr>
                <w:sz w:val="15"/>
              </w:rPr>
              <w:t>/checkout</w:t>
            </w:r>
          </w:p>
        </w:tc>
        <w:tc>
          <w:tcPr>
            <w:tcW w:type="dxa" w:w="4320"/>
          </w:tcPr>
          <w:p>
            <w:pPr>
              <w:spacing w:after="0"/>
            </w:pPr>
            <w:r/>
            <w:r>
              <w:rPr>
                <w:sz w:val="15"/>
              </w:rPr>
              <w:t>Warehouse picker, address, payment method</w:t>
            </w:r>
          </w:p>
        </w:tc>
        <w:tc>
          <w:tcPr>
            <w:tcW w:type="dxa" w:w="1872"/>
          </w:tcPr>
          <w:p>
            <w:pPr>
              <w:spacing w:after="0"/>
            </w:pPr>
            <w:r/>
            <w:r>
              <w:rPr>
                <w:sz w:val="15"/>
              </w:rPr>
              <w:t>auth</w:t>
            </w:r>
          </w:p>
        </w:tc>
      </w:tr>
      <w:tr>
        <w:trPr>
          <w:cantSplit/>
        </w:trPr>
        <w:tc>
          <w:tcPr>
            <w:tcW w:type="dxa" w:w="3168"/>
          </w:tcPr>
          <w:p>
            <w:pPr>
              <w:spacing w:after="0"/>
            </w:pPr>
            <w:r/>
            <w:r>
              <w:rPr>
                <w:sz w:val="15"/>
              </w:rPr>
              <w:t>/checkout/confirmation</w:t>
            </w:r>
          </w:p>
        </w:tc>
        <w:tc>
          <w:tcPr>
            <w:tcW w:type="dxa" w:w="4320"/>
          </w:tcPr>
          <w:p>
            <w:pPr>
              <w:spacing w:after="0"/>
            </w:pPr>
            <w:r/>
            <w:r>
              <w:rPr>
                <w:sz w:val="15"/>
              </w:rPr>
              <w:t>Post-order confirmation and payment hand-off</w:t>
            </w:r>
          </w:p>
        </w:tc>
        <w:tc>
          <w:tcPr>
            <w:tcW w:type="dxa" w:w="1872"/>
          </w:tcPr>
          <w:p>
            <w:pPr>
              <w:spacing w:after="0"/>
            </w:pPr>
            <w:r/>
            <w:r>
              <w:rPr>
                <w:sz w:val="15"/>
              </w:rPr>
              <w:t>auth</w:t>
            </w:r>
          </w:p>
        </w:tc>
      </w:tr>
      <w:tr>
        <w:trPr>
          <w:cantSplit/>
        </w:trPr>
        <w:tc>
          <w:tcPr>
            <w:tcW w:type="dxa" w:w="3168"/>
          </w:tcPr>
          <w:p>
            <w:pPr>
              <w:spacing w:after="0"/>
            </w:pPr>
            <w:r/>
            <w:r>
              <w:rPr>
                <w:sz w:val="15"/>
              </w:rPr>
              <w:t>/login, /register, /register/status, /forgot-password, /reset-password</w:t>
            </w:r>
          </w:p>
        </w:tc>
        <w:tc>
          <w:tcPr>
            <w:tcW w:type="dxa" w:w="4320"/>
          </w:tcPr>
          <w:p>
            <w:pPr>
              <w:spacing w:after="0"/>
            </w:pPr>
            <w:r/>
            <w:r>
              <w:rPr>
                <w:sz w:val="15"/>
              </w:rPr>
              <w:t>Account access and approval status</w:t>
            </w:r>
          </w:p>
        </w:tc>
        <w:tc>
          <w:tcPr>
            <w:tcW w:type="dxa" w:w="1872"/>
          </w:tcPr>
          <w:p>
            <w:pPr>
              <w:spacing w:after="0"/>
            </w:pPr>
            <w:r/>
            <w:r>
              <w:rPr>
                <w:sz w:val="15"/>
              </w:rPr>
              <w:t>guest middleware</w:t>
            </w:r>
          </w:p>
        </w:tc>
      </w:tr>
      <w:tr>
        <w:trPr>
          <w:cantSplit/>
        </w:trPr>
        <w:tc>
          <w:tcPr>
            <w:tcW w:type="dxa" w:w="3168"/>
          </w:tcPr>
          <w:p>
            <w:pPr>
              <w:spacing w:after="0"/>
            </w:pPr>
            <w:r/>
            <w:r>
              <w:rPr>
                <w:sz w:val="15"/>
              </w:rPr>
              <w:t>/membership</w:t>
            </w:r>
          </w:p>
        </w:tc>
        <w:tc>
          <w:tcPr>
            <w:tcW w:type="dxa" w:w="4320"/>
          </w:tcPr>
          <w:p>
            <w:pPr>
              <w:spacing w:after="0"/>
            </w:pPr>
            <w:r/>
            <w:r>
              <w:rPr>
                <w:sz w:val="15"/>
              </w:rPr>
              <w:t>Public membership information</w:t>
            </w:r>
          </w:p>
        </w:tc>
        <w:tc>
          <w:tcPr>
            <w:tcW w:type="dxa" w:w="1872"/>
          </w:tcPr>
          <w:p>
            <w:pPr>
              <w:spacing w:after="0"/>
            </w:pPr>
            <w:r/>
            <w:r>
              <w:rPr>
                <w:sz w:val="15"/>
              </w:rPr>
              <w:t>public</w:t>
            </w:r>
          </w:p>
        </w:tc>
      </w:tr>
      <w:tr>
        <w:trPr>
          <w:cantSplit/>
        </w:trPr>
        <w:tc>
          <w:tcPr>
            <w:tcW w:type="dxa" w:w="3168"/>
          </w:tcPr>
          <w:p>
            <w:pPr>
              <w:spacing w:after="0"/>
            </w:pPr>
            <w:r/>
            <w:r>
              <w:rPr>
                <w:sz w:val="15"/>
              </w:rPr>
              <w:t>/galon</w:t>
            </w:r>
          </w:p>
        </w:tc>
        <w:tc>
          <w:tcPr>
            <w:tcW w:type="dxa" w:w="4320"/>
          </w:tcPr>
          <w:p>
            <w:pPr>
              <w:spacing w:after="0"/>
            </w:pPr>
            <w:r/>
            <w:r>
              <w:rPr>
                <w:sz w:val="15"/>
              </w:rPr>
              <w:t>Galon (water) ordering entry</w:t>
            </w:r>
          </w:p>
        </w:tc>
        <w:tc>
          <w:tcPr>
            <w:tcW w:type="dxa" w:w="1872"/>
          </w:tcPr>
          <w:p>
            <w:pPr>
              <w:spacing w:after="0"/>
            </w:pPr>
            <w:r/>
            <w:r>
              <w:rPr>
                <w:sz w:val="15"/>
              </w:rPr>
              <w:t>public</w:t>
            </w:r>
          </w:p>
        </w:tc>
      </w:tr>
      <w:tr>
        <w:trPr>
          <w:cantSplit/>
        </w:trPr>
        <w:tc>
          <w:tcPr>
            <w:tcW w:type="dxa" w:w="3168"/>
          </w:tcPr>
          <w:p>
            <w:pPr>
              <w:spacing w:after="0"/>
            </w:pPr>
            <w:r/>
            <w:r>
              <w:rPr>
                <w:sz w:val="15"/>
              </w:rPr>
              <w:t>/account</w:t>
            </w:r>
          </w:p>
        </w:tc>
        <w:tc>
          <w:tcPr>
            <w:tcW w:type="dxa" w:w="4320"/>
          </w:tcPr>
          <w:p>
            <w:pPr>
              <w:spacing w:after="0"/>
            </w:pPr>
            <w:r/>
            <w:r>
              <w:rPr>
                <w:sz w:val="15"/>
              </w:rPr>
              <w:t>Account overview</w:t>
            </w:r>
          </w:p>
        </w:tc>
        <w:tc>
          <w:tcPr>
            <w:tcW w:type="dxa" w:w="1872"/>
          </w:tcPr>
          <w:p>
            <w:pPr>
              <w:spacing w:after="0"/>
            </w:pPr>
            <w:r/>
            <w:r>
              <w:rPr>
                <w:sz w:val="15"/>
              </w:rPr>
              <w:t>auth</w:t>
            </w:r>
          </w:p>
        </w:tc>
      </w:tr>
      <w:tr>
        <w:trPr>
          <w:cantSplit/>
        </w:trPr>
        <w:tc>
          <w:tcPr>
            <w:tcW w:type="dxa" w:w="3168"/>
          </w:tcPr>
          <w:p>
            <w:pPr>
              <w:spacing w:after="0"/>
            </w:pPr>
            <w:r/>
            <w:r>
              <w:rPr>
                <w:sz w:val="15"/>
              </w:rPr>
              <w:t>/account/profile, /account/settings, /account/notifications</w:t>
            </w:r>
          </w:p>
        </w:tc>
        <w:tc>
          <w:tcPr>
            <w:tcW w:type="dxa" w:w="4320"/>
          </w:tcPr>
          <w:p>
            <w:pPr>
              <w:spacing w:after="0"/>
            </w:pPr>
            <w:r/>
            <w:r>
              <w:rPr>
                <w:sz w:val="15"/>
              </w:rPr>
              <w:t>Profile, preferences, notification feed</w:t>
            </w:r>
          </w:p>
        </w:tc>
        <w:tc>
          <w:tcPr>
            <w:tcW w:type="dxa" w:w="1872"/>
          </w:tcPr>
          <w:p>
            <w:pPr>
              <w:spacing w:after="0"/>
            </w:pPr>
            <w:r/>
            <w:r>
              <w:rPr>
                <w:sz w:val="15"/>
              </w:rPr>
              <w:t>auth</w:t>
            </w:r>
          </w:p>
        </w:tc>
      </w:tr>
      <w:tr>
        <w:trPr>
          <w:cantSplit/>
        </w:trPr>
        <w:tc>
          <w:tcPr>
            <w:tcW w:type="dxa" w:w="3168"/>
          </w:tcPr>
          <w:p>
            <w:pPr>
              <w:spacing w:after="0"/>
            </w:pPr>
            <w:r/>
            <w:r>
              <w:rPr>
                <w:sz w:val="15"/>
              </w:rPr>
              <w:t>/account/users</w:t>
            </w:r>
          </w:p>
        </w:tc>
        <w:tc>
          <w:tcPr>
            <w:tcW w:type="dxa" w:w="4320"/>
          </w:tcPr>
          <w:p>
            <w:pPr>
              <w:spacing w:after="0"/>
            </w:pPr>
            <w:r/>
            <w:r>
              <w:rPr>
                <w:sz w:val="15"/>
              </w:rPr>
              <w:t>Sub-users of the same customer account</w:t>
            </w:r>
          </w:p>
        </w:tc>
        <w:tc>
          <w:tcPr>
            <w:tcW w:type="dxa" w:w="1872"/>
          </w:tcPr>
          <w:p>
            <w:pPr>
              <w:spacing w:after="0"/>
            </w:pPr>
            <w:r/>
            <w:r>
              <w:rPr>
                <w:sz w:val="15"/>
              </w:rPr>
              <w:t>auth</w:t>
            </w:r>
          </w:p>
        </w:tc>
      </w:tr>
      <w:tr>
        <w:trPr>
          <w:cantSplit/>
        </w:trPr>
        <w:tc>
          <w:tcPr>
            <w:tcW w:type="dxa" w:w="3168"/>
          </w:tcPr>
          <w:p>
            <w:pPr>
              <w:spacing w:after="0"/>
            </w:pPr>
            <w:r/>
            <w:r>
              <w:rPr>
                <w:sz w:val="15"/>
              </w:rPr>
              <w:t>/account/addresses, /account/addresses/new</w:t>
            </w:r>
          </w:p>
        </w:tc>
        <w:tc>
          <w:tcPr>
            <w:tcW w:type="dxa" w:w="4320"/>
          </w:tcPr>
          <w:p>
            <w:pPr>
              <w:spacing w:after="0"/>
            </w:pPr>
            <w:r/>
            <w:r>
              <w:rPr>
                <w:sz w:val="15"/>
              </w:rPr>
              <w:t>Address book</w:t>
            </w:r>
          </w:p>
        </w:tc>
        <w:tc>
          <w:tcPr>
            <w:tcW w:type="dxa" w:w="1872"/>
          </w:tcPr>
          <w:p>
            <w:pPr>
              <w:spacing w:after="0"/>
            </w:pPr>
            <w:r/>
            <w:r>
              <w:rPr>
                <w:sz w:val="15"/>
              </w:rPr>
              <w:t>auth</w:t>
            </w:r>
          </w:p>
        </w:tc>
      </w:tr>
      <w:tr>
        <w:trPr>
          <w:cantSplit/>
        </w:trPr>
        <w:tc>
          <w:tcPr>
            <w:tcW w:type="dxa" w:w="3168"/>
          </w:tcPr>
          <w:p>
            <w:pPr>
              <w:spacing w:after="0"/>
            </w:pPr>
            <w:r/>
            <w:r>
              <w:rPr>
                <w:sz w:val="15"/>
              </w:rPr>
              <w:t>/account/orders, /account/membership</w:t>
            </w:r>
          </w:p>
        </w:tc>
        <w:tc>
          <w:tcPr>
            <w:tcW w:type="dxa" w:w="4320"/>
          </w:tcPr>
          <w:p>
            <w:pPr>
              <w:spacing w:after="0"/>
            </w:pPr>
            <w:r/>
            <w:r>
              <w:rPr>
                <w:sz w:val="15"/>
              </w:rPr>
              <w:t>Own orders and membership state</w:t>
            </w:r>
          </w:p>
        </w:tc>
        <w:tc>
          <w:tcPr>
            <w:tcW w:type="dxa" w:w="1872"/>
          </w:tcPr>
          <w:p>
            <w:pPr>
              <w:spacing w:after="0"/>
            </w:pPr>
            <w:r/>
            <w:r>
              <w:rPr>
                <w:sz w:val="15"/>
              </w:rPr>
              <w:t>auth</w:t>
            </w:r>
          </w:p>
        </w:tc>
      </w:tr>
      <w:tr>
        <w:trPr>
          <w:cantSplit/>
        </w:trPr>
        <w:tc>
          <w:tcPr>
            <w:tcW w:type="dxa" w:w="3168"/>
          </w:tcPr>
          <w:p>
            <w:pPr>
              <w:spacing w:after="0"/>
            </w:pPr>
            <w:r/>
            <w:r>
              <w:rPr>
                <w:sz w:val="15"/>
              </w:rPr>
              <w:t>/orders, /orders/[id], /orders/[id]/tracking</w:t>
            </w:r>
          </w:p>
        </w:tc>
        <w:tc>
          <w:tcPr>
            <w:tcW w:type="dxa" w:w="4320"/>
          </w:tcPr>
          <w:p>
            <w:pPr>
              <w:spacing w:after="0"/>
            </w:pPr>
            <w:r/>
            <w:r>
              <w:rPr>
                <w:sz w:val="15"/>
              </w:rPr>
              <w:t>Order list, detail, shipment tracking</w:t>
            </w:r>
          </w:p>
        </w:tc>
        <w:tc>
          <w:tcPr>
            <w:tcW w:type="dxa" w:w="1872"/>
          </w:tcPr>
          <w:p>
            <w:pPr>
              <w:spacing w:after="0"/>
            </w:pPr>
            <w:r/>
            <w:r>
              <w:rPr>
                <w:sz w:val="15"/>
              </w:rPr>
              <w:t>auth</w:t>
            </w:r>
          </w:p>
        </w:tc>
      </w:tr>
      <w:tr>
        <w:trPr>
          <w:cantSplit/>
        </w:trPr>
        <w:tc>
          <w:tcPr>
            <w:tcW w:type="dxa" w:w="3168"/>
          </w:tcPr>
          <w:p>
            <w:pPr>
              <w:spacing w:after="0"/>
            </w:pPr>
            <w:r/>
            <w:r>
              <w:rPr>
                <w:sz w:val="15"/>
              </w:rPr>
              <w:t>/payments, /payments/[id]</w:t>
            </w:r>
          </w:p>
        </w:tc>
        <w:tc>
          <w:tcPr>
            <w:tcW w:type="dxa" w:w="4320"/>
          </w:tcPr>
          <w:p>
            <w:pPr>
              <w:spacing w:after="0"/>
            </w:pPr>
            <w:r/>
            <w:r>
              <w:rPr>
                <w:sz w:val="15"/>
              </w:rPr>
              <w:t>Payment list and proof upload / Snap</w:t>
            </w:r>
          </w:p>
        </w:tc>
        <w:tc>
          <w:tcPr>
            <w:tcW w:type="dxa" w:w="1872"/>
          </w:tcPr>
          <w:p>
            <w:pPr>
              <w:spacing w:after="0"/>
            </w:pPr>
            <w:r/>
            <w:r>
              <w:rPr>
                <w:sz w:val="15"/>
              </w:rPr>
              <w:t>auth</w:t>
            </w:r>
          </w:p>
        </w:tc>
      </w:tr>
      <w:tr>
        <w:trPr>
          <w:cantSplit/>
        </w:trPr>
        <w:tc>
          <w:tcPr>
            <w:tcW w:type="dxa" w:w="3168"/>
          </w:tcPr>
          <w:p>
            <w:pPr>
              <w:spacing w:after="0"/>
            </w:pPr>
            <w:r/>
            <w:r>
              <w:rPr>
                <w:sz w:val="15"/>
              </w:rPr>
              <w:t>/quick-order</w:t>
            </w:r>
          </w:p>
        </w:tc>
        <w:tc>
          <w:tcPr>
            <w:tcW w:type="dxa" w:w="4320"/>
          </w:tcPr>
          <w:p>
            <w:pPr>
              <w:spacing w:after="0"/>
            </w:pPr>
            <w:r/>
            <w:r>
              <w:rPr>
                <w:sz w:val="15"/>
              </w:rPr>
              <w:t>Order by SKU list</w:t>
            </w:r>
          </w:p>
        </w:tc>
        <w:tc>
          <w:tcPr>
            <w:tcW w:type="dxa" w:w="1872"/>
          </w:tcPr>
          <w:p>
            <w:pPr>
              <w:spacing w:after="0"/>
            </w:pPr>
            <w:r/>
            <w:r>
              <w:rPr>
                <w:sz w:val="15"/>
              </w:rPr>
              <w:t>auth</w:t>
            </w:r>
          </w:p>
        </w:tc>
      </w:tr>
      <w:tr>
        <w:trPr>
          <w:cantSplit/>
        </w:trPr>
        <w:tc>
          <w:tcPr>
            <w:tcW w:type="dxa" w:w="3168"/>
          </w:tcPr>
          <w:p>
            <w:pPr>
              <w:spacing w:after="0"/>
            </w:pPr>
            <w:r/>
            <w:r>
              <w:rPr>
                <w:sz w:val="15"/>
              </w:rPr>
              <w:t>/order-import</w:t>
            </w:r>
          </w:p>
        </w:tc>
        <w:tc>
          <w:tcPr>
            <w:tcW w:type="dxa" w:w="4320"/>
          </w:tcPr>
          <w:p>
            <w:pPr>
              <w:spacing w:after="0"/>
            </w:pPr>
            <w:r/>
            <w:r>
              <w:rPr>
                <w:sz w:val="15"/>
              </w:rPr>
              <w:t>Bulk order import from a file</w:t>
            </w:r>
          </w:p>
        </w:tc>
        <w:tc>
          <w:tcPr>
            <w:tcW w:type="dxa" w:w="1872"/>
          </w:tcPr>
          <w:p>
            <w:pPr>
              <w:spacing w:after="0"/>
            </w:pPr>
            <w:r/>
            <w:r>
              <w:rPr>
                <w:sz w:val="15"/>
              </w:rPr>
              <w:t>auth</w:t>
            </w:r>
          </w:p>
        </w:tc>
      </w:tr>
      <w:tr>
        <w:trPr>
          <w:cantSplit/>
        </w:trPr>
        <w:tc>
          <w:tcPr>
            <w:tcW w:type="dxa" w:w="3168"/>
          </w:tcPr>
          <w:p>
            <w:pPr>
              <w:spacing w:after="0"/>
            </w:pPr>
            <w:r/>
            <w:r>
              <w:rPr>
                <w:sz w:val="15"/>
              </w:rPr>
              <w:t>/returns</w:t>
            </w:r>
          </w:p>
        </w:tc>
        <w:tc>
          <w:tcPr>
            <w:tcW w:type="dxa" w:w="4320"/>
          </w:tcPr>
          <w:p>
            <w:pPr>
              <w:spacing w:after="0"/>
            </w:pPr>
            <w:r/>
            <w:r>
              <w:rPr>
                <w:sz w:val="15"/>
              </w:rPr>
              <w:t>Return request against an own order</w:t>
            </w:r>
          </w:p>
        </w:tc>
        <w:tc>
          <w:tcPr>
            <w:tcW w:type="dxa" w:w="1872"/>
          </w:tcPr>
          <w:p>
            <w:pPr>
              <w:spacing w:after="0"/>
            </w:pPr>
            <w:r/>
            <w:r>
              <w:rPr>
                <w:sz w:val="15"/>
              </w:rPr>
              <w:t>auth</w:t>
            </w:r>
          </w:p>
        </w:tc>
      </w:tr>
      <w:tr>
        <w:trPr>
          <w:cantSplit/>
        </w:trPr>
        <w:tc>
          <w:tcPr>
            <w:tcW w:type="dxa" w:w="3168"/>
          </w:tcPr>
          <w:p>
            <w:pPr>
              <w:spacing w:after="0"/>
            </w:pPr>
            <w:r/>
            <w:r>
              <w:rPr>
                <w:sz w:val="15"/>
              </w:rPr>
              <w:t>/support, /support/tickets, /support/[id]</w:t>
            </w:r>
          </w:p>
        </w:tc>
        <w:tc>
          <w:tcPr>
            <w:tcW w:type="dxa" w:w="4320"/>
          </w:tcPr>
          <w:p>
            <w:pPr>
              <w:spacing w:after="0"/>
            </w:pPr>
            <w:r/>
            <w:r>
              <w:rPr>
                <w:sz w:val="15"/>
              </w:rPr>
              <w:t>Support tickets</w:t>
            </w:r>
          </w:p>
        </w:tc>
        <w:tc>
          <w:tcPr>
            <w:tcW w:type="dxa" w:w="1872"/>
          </w:tcPr>
          <w:p>
            <w:pPr>
              <w:spacing w:after="0"/>
            </w:pPr>
            <w:r/>
            <w:r>
              <w:rPr>
                <w:sz w:val="15"/>
              </w:rPr>
              <w:t>auth</w:t>
            </w:r>
          </w:p>
        </w:tc>
      </w:tr>
      <w:tr>
        <w:trPr>
          <w:cantSplit/>
        </w:trPr>
        <w:tc>
          <w:tcPr>
            <w:tcW w:type="dxa" w:w="3168"/>
          </w:tcPr>
          <w:p>
            <w:pPr>
              <w:spacing w:after="0"/>
            </w:pPr>
            <w:r/>
            <w:r>
              <w:rPr>
                <w:sz w:val="15"/>
              </w:rPr>
              <w:t>/admin</w:t>
            </w:r>
          </w:p>
        </w:tc>
        <w:tc>
          <w:tcPr>
            <w:tcW w:type="dxa" w:w="4320"/>
          </w:tcPr>
          <w:p>
            <w:pPr>
              <w:spacing w:after="0"/>
            </w:pPr>
            <w:r/>
            <w:r>
              <w:rPr>
                <w:sz w:val="15"/>
              </w:rPr>
              <w:t>Commerce admin dashboard</w:t>
            </w:r>
          </w:p>
        </w:tc>
        <w:tc>
          <w:tcPr>
            <w:tcW w:type="dxa" w:w="1872"/>
          </w:tcPr>
          <w:p>
            <w:pPr>
              <w:spacing w:after="0"/>
            </w:pPr>
            <w:r/>
            <w:r>
              <w:rPr>
                <w:sz w:val="15"/>
              </w:rPr>
              <w:t>admin middleware</w:t>
            </w:r>
          </w:p>
        </w:tc>
      </w:tr>
      <w:tr>
        <w:trPr>
          <w:cantSplit/>
        </w:trPr>
        <w:tc>
          <w:tcPr>
            <w:tcW w:type="dxa" w:w="3168"/>
          </w:tcPr>
          <w:p>
            <w:pPr>
              <w:spacing w:after="0"/>
            </w:pPr>
            <w:r/>
            <w:r>
              <w:rPr>
                <w:sz w:val="15"/>
              </w:rPr>
              <w:t>/admin/customers, /admin/customers/[id]</w:t>
            </w:r>
          </w:p>
        </w:tc>
        <w:tc>
          <w:tcPr>
            <w:tcW w:type="dxa" w:w="4320"/>
          </w:tcPr>
          <w:p>
            <w:pPr>
              <w:spacing w:after="0"/>
            </w:pPr>
            <w:r/>
            <w:r>
              <w:rPr>
                <w:sz w:val="15"/>
              </w:rPr>
              <w:t>Customer administration</w:t>
            </w:r>
          </w:p>
        </w:tc>
        <w:tc>
          <w:tcPr>
            <w:tcW w:type="dxa" w:w="1872"/>
          </w:tcPr>
          <w:p>
            <w:pPr>
              <w:spacing w:after="0"/>
            </w:pPr>
            <w:r/>
            <w:r>
              <w:rPr>
                <w:sz w:val="15"/>
              </w:rPr>
              <w:t>admin</w:t>
            </w:r>
          </w:p>
        </w:tc>
      </w:tr>
      <w:tr>
        <w:trPr>
          <w:cantSplit/>
        </w:trPr>
        <w:tc>
          <w:tcPr>
            <w:tcW w:type="dxa" w:w="3168"/>
          </w:tcPr>
          <w:p>
            <w:pPr>
              <w:spacing w:after="0"/>
            </w:pPr>
            <w:r/>
            <w:r>
              <w:rPr>
                <w:sz w:val="15"/>
              </w:rPr>
              <w:t>/admin/orders, /admin/orders/[id]</w:t>
            </w:r>
          </w:p>
        </w:tc>
        <w:tc>
          <w:tcPr>
            <w:tcW w:type="dxa" w:w="4320"/>
          </w:tcPr>
          <w:p>
            <w:pPr>
              <w:spacing w:after="0"/>
            </w:pPr>
            <w:r/>
            <w:r>
              <w:rPr>
                <w:sz w:val="15"/>
              </w:rPr>
              <w:t>Order administration</w:t>
            </w:r>
          </w:p>
        </w:tc>
        <w:tc>
          <w:tcPr>
            <w:tcW w:type="dxa" w:w="1872"/>
          </w:tcPr>
          <w:p>
            <w:pPr>
              <w:spacing w:after="0"/>
            </w:pPr>
            <w:r/>
            <w:r>
              <w:rPr>
                <w:sz w:val="15"/>
              </w:rPr>
              <w:t>admin</w:t>
            </w:r>
          </w:p>
        </w:tc>
      </w:tr>
      <w:tr>
        <w:trPr>
          <w:cantSplit/>
        </w:trPr>
        <w:tc>
          <w:tcPr>
            <w:tcW w:type="dxa" w:w="3168"/>
          </w:tcPr>
          <w:p>
            <w:pPr>
              <w:spacing w:after="0"/>
            </w:pPr>
            <w:r/>
            <w:r>
              <w:rPr>
                <w:sz w:val="15"/>
              </w:rPr>
              <w:t>/admin/products</w:t>
            </w:r>
          </w:p>
        </w:tc>
        <w:tc>
          <w:tcPr>
            <w:tcW w:type="dxa" w:w="4320"/>
          </w:tcPr>
          <w:p>
            <w:pPr>
              <w:spacing w:after="0"/>
            </w:pPr>
            <w:r/>
            <w:r>
              <w:rPr>
                <w:sz w:val="15"/>
              </w:rPr>
              <w:t>Product presentation and featured flags</w:t>
            </w:r>
          </w:p>
        </w:tc>
        <w:tc>
          <w:tcPr>
            <w:tcW w:type="dxa" w:w="1872"/>
          </w:tcPr>
          <w:p>
            <w:pPr>
              <w:spacing w:after="0"/>
            </w:pPr>
            <w:r/>
            <w:r>
              <w:rPr>
                <w:sz w:val="15"/>
              </w:rPr>
              <w:t>admin</w:t>
            </w:r>
          </w:p>
        </w:tc>
      </w:tr>
      <w:tr>
        <w:trPr>
          <w:cantSplit/>
        </w:trPr>
        <w:tc>
          <w:tcPr>
            <w:tcW w:type="dxa" w:w="3168"/>
          </w:tcPr>
          <w:p>
            <w:pPr>
              <w:spacing w:after="0"/>
            </w:pPr>
            <w:r/>
            <w:r>
              <w:rPr>
                <w:sz w:val="15"/>
              </w:rPr>
              <w:t>/admin/promotions</w:t>
            </w:r>
          </w:p>
        </w:tc>
        <w:tc>
          <w:tcPr>
            <w:tcW w:type="dxa" w:w="4320"/>
          </w:tcPr>
          <w:p>
            <w:pPr>
              <w:spacing w:after="0"/>
            </w:pPr>
            <w:r/>
            <w:r>
              <w:rPr>
                <w:sz w:val="15"/>
              </w:rPr>
              <w:t>Promotions / vouchers</w:t>
            </w:r>
          </w:p>
        </w:tc>
        <w:tc>
          <w:tcPr>
            <w:tcW w:type="dxa" w:w="1872"/>
          </w:tcPr>
          <w:p>
            <w:pPr>
              <w:spacing w:after="0"/>
            </w:pPr>
            <w:r/>
            <w:r>
              <w:rPr>
                <w:sz w:val="15"/>
              </w:rPr>
              <w:t>admin</w:t>
            </w:r>
          </w:p>
        </w:tc>
      </w:tr>
      <w:tr>
        <w:trPr>
          <w:cantSplit/>
        </w:trPr>
        <w:tc>
          <w:tcPr>
            <w:tcW w:type="dxa" w:w="3168"/>
          </w:tcPr>
          <w:p>
            <w:pPr>
              <w:spacing w:after="0"/>
            </w:pPr>
            <w:r/>
            <w:r>
              <w:rPr>
                <w:sz w:val="15"/>
              </w:rPr>
              <w:t>/admin/analytics</w:t>
            </w:r>
          </w:p>
        </w:tc>
        <w:tc>
          <w:tcPr>
            <w:tcW w:type="dxa" w:w="4320"/>
          </w:tcPr>
          <w:p>
            <w:pPr>
              <w:spacing w:after="0"/>
            </w:pPr>
            <w:r/>
            <w:r>
              <w:rPr>
                <w:sz w:val="15"/>
              </w:rPr>
              <w:t>Analytics</w:t>
            </w:r>
          </w:p>
        </w:tc>
        <w:tc>
          <w:tcPr>
            <w:tcW w:type="dxa" w:w="1872"/>
          </w:tcPr>
          <w:p>
            <w:pPr>
              <w:spacing w:after="0"/>
            </w:pPr>
            <w:r/>
            <w:r>
              <w:rPr>
                <w:sz w:val="15"/>
              </w:rPr>
              <w:t>admin</w:t>
            </w:r>
          </w:p>
        </w:tc>
      </w:tr>
    </w:tbl>
    <w:p>
      <w:pPr>
        <w:spacing w:after="200"/>
      </w:pPr>
      <w:r>
        <w:rPr>
          <w:i/>
          <w:color w:val="555F6D"/>
          <w:sz w:val="17"/>
        </w:rPr>
        <w:t>Table 41. B2B page tree (42 files under app/pages)</w:t>
      </w:r>
    </w:p>
    <w:p>
      <w:bookmarkStart w:id="1071" w:name="_Toc1071"/>
      <w:pPr>
        <w:pStyle w:val="Heading2"/>
      </w:pPr>
      <w:r>
        <w:t>13.3 Navigation vs reachability</w:t>
      </w:r>
      <w:bookmarkEnd w:id="1071"/>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880"/>
            <w:shd w:val="clear" w:color="auto" w:fill="1F3A5F"/>
          </w:tcPr>
          <w:p>
            <w:pPr>
              <w:spacing w:after="0"/>
            </w:pPr>
            <w:r/>
            <w:r>
              <w:rPr>
                <w:b/>
                <w:color w:val="FFFFFF"/>
                <w:sz w:val="15"/>
              </w:rPr>
              <w:t>Situation</w:t>
            </w:r>
          </w:p>
        </w:tc>
        <w:tc>
          <w:tcPr>
            <w:tcW w:type="dxa" w:w="4032"/>
            <w:shd w:val="clear" w:color="auto" w:fill="1F3A5F"/>
          </w:tcPr>
          <w:p>
            <w:pPr>
              <w:spacing w:after="0"/>
            </w:pPr>
            <w:r/>
            <w:r>
              <w:rPr>
                <w:b/>
                <w:color w:val="FFFFFF"/>
                <w:sz w:val="15"/>
              </w:rPr>
              <w:t>Evidence</w:t>
            </w:r>
          </w:p>
        </w:tc>
        <w:tc>
          <w:tcPr>
            <w:tcW w:type="dxa" w:w="2448"/>
            <w:shd w:val="clear" w:color="auto" w:fill="1F3A5F"/>
          </w:tcPr>
          <w:p>
            <w:pPr>
              <w:spacing w:after="0"/>
            </w:pPr>
            <w:r/>
            <w:r>
              <w:rPr>
                <w:b/>
                <w:color w:val="FFFFFF"/>
                <w:sz w:val="15"/>
              </w:rPr>
              <w:t>Assessment</w:t>
            </w:r>
          </w:p>
        </w:tc>
      </w:tr>
      <w:tr>
        <w:trPr>
          <w:cantSplit/>
        </w:trPr>
        <w:tc>
          <w:tcPr>
            <w:tcW w:type="dxa" w:w="2880"/>
          </w:tcPr>
          <w:p>
            <w:pPr>
              <w:spacing w:after="0"/>
            </w:pPr>
            <w:r/>
            <w:r>
              <w:rPr>
                <w:sz w:val="15"/>
              </w:rPr>
              <w:t>Route exists, not in navigation</w:t>
            </w:r>
          </w:p>
        </w:tc>
        <w:tc>
          <w:tcPr>
            <w:tcW w:type="dxa" w:w="4032"/>
          </w:tcPr>
          <w:p>
            <w:pPr>
              <w:spacing w:after="0"/>
            </w:pPr>
            <w:r/>
            <w:r>
              <w:rPr>
                <w:sz w:val="15"/>
              </w:rPr>
              <w:t>ERP: /accounting/journals/:type sub-pages are in the sidebar, but /system/reports/:id/designer and /settings are reached by buttons only.</w:t>
            </w:r>
          </w:p>
        </w:tc>
        <w:tc>
          <w:tcPr>
            <w:tcW w:type="dxa" w:w="2448"/>
          </w:tcPr>
          <w:p>
            <w:pPr>
              <w:spacing w:after="0"/>
            </w:pPr>
            <w:r/>
            <w:r>
              <w:rPr>
                <w:sz w:val="15"/>
              </w:rPr>
              <w:t>Intentional — action pages, not destinations.</w:t>
            </w:r>
          </w:p>
        </w:tc>
      </w:tr>
      <w:tr>
        <w:trPr>
          <w:cantSplit/>
        </w:trPr>
        <w:tc>
          <w:tcPr>
            <w:tcW w:type="dxa" w:w="2880"/>
          </w:tcPr>
          <w:p>
            <w:pPr>
              <w:spacing w:after="0"/>
            </w:pPr>
            <w:r/>
            <w:r>
              <w:rPr>
                <w:sz w:val="15"/>
              </w:rPr>
              <w:t>Navigation entry, role-restricted in the menu only</w:t>
            </w:r>
          </w:p>
        </w:tc>
        <w:tc>
          <w:tcPr>
            <w:tcW w:type="dxa" w:w="4032"/>
          </w:tcPr>
          <w:p>
            <w:pPr>
              <w:spacing w:after="0"/>
            </w:pPr>
            <w:r/>
            <w:r>
              <w:rPr>
                <w:sz w:val="15"/>
              </w:rPr>
              <w:t>navigation.js gives journal sub-pages an extra roles list; the router does not check it.</w:t>
            </w:r>
          </w:p>
        </w:tc>
        <w:tc>
          <w:tcPr>
            <w:tcW w:type="dxa" w:w="2448"/>
          </w:tcPr>
          <w:p>
            <w:pPr>
              <w:spacing w:after="0"/>
            </w:pPr>
            <w:r/>
            <w:r>
              <w:rPr>
                <w:sz w:val="15"/>
              </w:rPr>
              <w:t>Menu is narrower than the router (see 8.3).</w:t>
            </w:r>
          </w:p>
        </w:tc>
      </w:tr>
      <w:tr>
        <w:trPr>
          <w:cantSplit/>
        </w:trPr>
        <w:tc>
          <w:tcPr>
            <w:tcW w:type="dxa" w:w="2880"/>
          </w:tcPr>
          <w:p>
            <w:pPr>
              <w:spacing w:after="0"/>
            </w:pPr>
            <w:r/>
            <w:r>
              <w:rPr>
                <w:sz w:val="15"/>
              </w:rPr>
              <w:t>Navigation entry with no page</w:t>
            </w:r>
          </w:p>
        </w:tc>
        <w:tc>
          <w:tcPr>
            <w:tcW w:type="dxa" w:w="4032"/>
          </w:tcPr>
          <w:p>
            <w:pPr>
              <w:spacing w:after="0"/>
            </w:pPr>
            <w:r/>
            <w:r>
              <w:rPr>
                <w:sz w:val="15"/>
              </w:rPr>
              <w:t>None found: every routeName in navigation.js resolves to a declared route.</w:t>
            </w:r>
          </w:p>
        </w:tc>
        <w:tc>
          <w:tcPr>
            <w:tcW w:type="dxa" w:w="2448"/>
          </w:tcPr>
          <w:p>
            <w:pPr>
              <w:spacing w:after="0"/>
            </w:pPr>
            <w:r/>
            <w:r>
              <w:rPr>
                <w:sz w:val="15"/>
              </w:rPr>
              <w:t>Verified.</w:t>
            </w:r>
          </w:p>
        </w:tc>
      </w:tr>
      <w:tr>
        <w:trPr>
          <w:cantSplit/>
        </w:trPr>
        <w:tc>
          <w:tcPr>
            <w:tcW w:type="dxa" w:w="2880"/>
          </w:tcPr>
          <w:p>
            <w:pPr>
              <w:spacing w:after="0"/>
            </w:pPr>
            <w:r/>
            <w:r>
              <w:rPr>
                <w:sz w:val="15"/>
              </w:rPr>
              <w:t>Route with no permission</w:t>
            </w:r>
          </w:p>
        </w:tc>
        <w:tc>
          <w:tcPr>
            <w:tcW w:type="dxa" w:w="4032"/>
          </w:tcPr>
          <w:p>
            <w:pPr>
              <w:spacing w:after="0"/>
            </w:pPr>
            <w:r/>
            <w:r>
              <w:rPr>
                <w:sz w:val="15"/>
              </w:rPr>
              <w:t>ERP /changelog, /contact, launcher, catch-all; POS /shifts, /settings; both require a session only.</w:t>
            </w:r>
          </w:p>
        </w:tc>
        <w:tc>
          <w:tcPr>
            <w:tcW w:type="dxa" w:w="2448"/>
          </w:tcPr>
          <w:p>
            <w:pPr>
              <w:spacing w:after="0"/>
            </w:pPr>
            <w:r/>
            <w:r>
              <w:rPr>
                <w:sz w:val="15"/>
              </w:rPr>
              <w:t>Intentional.</w:t>
            </w:r>
          </w:p>
        </w:tc>
      </w:tr>
      <w:tr>
        <w:trPr>
          <w:cantSplit/>
        </w:trPr>
        <w:tc>
          <w:tcPr>
            <w:tcW w:type="dxa" w:w="2880"/>
          </w:tcPr>
          <w:p>
            <w:pPr>
              <w:spacing w:after="0"/>
            </w:pPr>
            <w:r/>
            <w:r>
              <w:rPr>
                <w:sz w:val="15"/>
              </w:rPr>
              <w:t>Page file with no route</w:t>
            </w:r>
          </w:p>
        </w:tc>
        <w:tc>
          <w:tcPr>
            <w:tcW w:type="dxa" w:w="4032"/>
          </w:tcPr>
          <w:p>
            <w:pPr>
              <w:spacing w:after="0"/>
            </w:pPr>
            <w:r/>
            <w:r>
              <w:rPr>
                <w:sz w:val="15"/>
              </w:rPr>
              <w:t>ERP finance/CashflowPage.vue and finance/InvoicesPage.vue exist but no route resolves to them (their paths redirect to receivables / cashier-cash).</w:t>
            </w:r>
          </w:p>
        </w:tc>
        <w:tc>
          <w:tcPr>
            <w:tcW w:type="dxa" w:w="2448"/>
          </w:tcPr>
          <w:p>
            <w:pPr>
              <w:spacing w:after="0"/>
            </w:pPr>
            <w:r/>
            <w:r>
              <w:rPr>
                <w:sz w:val="15"/>
              </w:rPr>
              <w:t>Dead code; safe to delete or re-wire.</w:t>
            </w:r>
          </w:p>
        </w:tc>
      </w:tr>
      <w:tr>
        <w:trPr>
          <w:cantSplit/>
        </w:trPr>
        <w:tc>
          <w:tcPr>
            <w:tcW w:type="dxa" w:w="2880"/>
          </w:tcPr>
          <w:p>
            <w:pPr>
              <w:spacing w:after="0"/>
            </w:pPr>
            <w:r/>
            <w:r>
              <w:rPr>
                <w:sz w:val="15"/>
              </w:rPr>
              <w:t>B2B documented but absent</w:t>
            </w:r>
          </w:p>
        </w:tc>
        <w:tc>
          <w:tcPr>
            <w:tcW w:type="dxa" w:w="4032"/>
          </w:tcPr>
          <w:p>
            <w:pPr>
              <w:spacing w:after="0"/>
            </w:pPr>
            <w:r/>
            <w:r>
              <w:rPr>
                <w:sz w:val="15"/>
              </w:rPr>
              <w:t>/admin/catalog and /reorder appear in apps/b2b/docs/ROUTES.md; no page file exists.</w:t>
            </w:r>
          </w:p>
        </w:tc>
        <w:tc>
          <w:tcPr>
            <w:tcW w:type="dxa" w:w="2448"/>
          </w:tcPr>
          <w:p>
            <w:pPr>
              <w:spacing w:after="0"/>
            </w:pPr>
            <w:r/>
            <w:r>
              <w:rPr>
                <w:sz w:val="15"/>
              </w:rPr>
              <w:t>Documentation ahead of implementation.</w:t>
            </w:r>
          </w:p>
        </w:tc>
      </w:tr>
    </w:tbl>
    <w:p>
      <w:pPr>
        <w:spacing w:after="200"/>
      </w:pPr>
      <w:r>
        <w:rPr>
          <w:i/>
          <w:color w:val="555F6D"/>
          <w:sz w:val="17"/>
        </w:rPr>
        <w:t>Table 42. Navigation/reachability reconciliation</w:t>
      </w:r>
    </w:p>
    <w:p>
      <w:bookmarkStart w:id="1072" w:name="_Toc1072"/>
      <w:pPr>
        <w:pStyle w:val="Heading2"/>
      </w:pPr>
      <w:r>
        <w:t>13.4 Permission keys used by the UI</w:t>
      </w:r>
      <w:bookmarkEnd w:id="1072"/>
    </w:p>
    <w:p>
      <w:r>
        <w:rPr>
          <w:i w:val="0"/>
        </w:rPr>
        <w:t>The ERP router uses 48 distinct permission keys and the sidebar 46. All of them exist in the backend catalogue (verified by set difference). The two keys that appear only in the router are system.reports.manage (report designer) and system.settings.view (settings page). The POS router uses 4 keys, all present in the catalogue.</w:t>
      </w:r>
    </w:p>
    <w:p>
      <w:bookmarkStart w:id="1073" w:name="_Toc1073"/>
      <w:pPr>
        <w:pStyle w:val="Heading1"/>
        <w:pageBreakBefore/>
      </w:pPr>
      <w:r>
        <w:t>14. Business domain model</w:t>
      </w:r>
      <w:bookmarkEnd w:id="1073"/>
    </w:p>
    <w:p>
      <w:r>
        <w:rPr>
          <w:i w:val="0"/>
        </w:rPr>
        <w:t>The backend is partitioned into business domains that map one-to-one onto tables and modules. The table below is the authoritative map; it is derived from the module directories, the sqlc query files and the schema, not from the older domain-map.md (which describes the Laravel original).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1800"/>
            <w:shd w:val="clear" w:color="auto" w:fill="1F3A5F"/>
          </w:tcPr>
          <w:p>
            <w:pPr>
              <w:spacing w:after="0"/>
            </w:pPr>
            <w:r/>
            <w:r>
              <w:rPr>
                <w:b/>
                <w:color w:val="FFFFFF"/>
                <w:sz w:val="15"/>
              </w:rPr>
              <w:t>Domain</w:t>
            </w:r>
          </w:p>
        </w:tc>
        <w:tc>
          <w:tcPr>
            <w:tcW w:type="dxa" w:w="3744"/>
            <w:shd w:val="clear" w:color="auto" w:fill="1F3A5F"/>
          </w:tcPr>
          <w:p>
            <w:pPr>
              <w:spacing w:after="0"/>
            </w:pPr>
            <w:r/>
            <w:r>
              <w:rPr>
                <w:b/>
                <w:color w:val="FFFFFF"/>
                <w:sz w:val="15"/>
              </w:rPr>
              <w:t>Core tables</w:t>
            </w:r>
          </w:p>
        </w:tc>
        <w:tc>
          <w:tcPr>
            <w:tcW w:type="dxa" w:w="2232"/>
            <w:shd w:val="clear" w:color="auto" w:fill="1F3A5F"/>
          </w:tcPr>
          <w:p>
            <w:pPr>
              <w:spacing w:after="0"/>
            </w:pPr>
            <w:r/>
            <w:r>
              <w:rPr>
                <w:b/>
                <w:color w:val="FFFFFF"/>
                <w:sz w:val="15"/>
              </w:rPr>
              <w:t>Owning module</w:t>
            </w:r>
          </w:p>
        </w:tc>
        <w:tc>
          <w:tcPr>
            <w:tcW w:type="dxa" w:w="1584"/>
            <w:shd w:val="clear" w:color="auto" w:fill="1F3A5F"/>
          </w:tcPr>
          <w:p>
            <w:pPr>
              <w:spacing w:after="0"/>
            </w:pPr>
            <w:r/>
            <w:r>
              <w:rPr>
                <w:b/>
                <w:color w:val="FFFFFF"/>
                <w:sz w:val="15"/>
              </w:rPr>
              <w:t>Primary consumers</w:t>
            </w:r>
          </w:p>
        </w:tc>
      </w:tr>
      <w:tr>
        <w:trPr>
          <w:cantSplit/>
        </w:trPr>
        <w:tc>
          <w:tcPr>
            <w:tcW w:type="dxa" w:w="1800"/>
          </w:tcPr>
          <w:p>
            <w:pPr>
              <w:spacing w:after="0"/>
            </w:pPr>
            <w:r/>
            <w:r>
              <w:rPr>
                <w:sz w:val="15"/>
              </w:rPr>
              <w:t>Identity &amp; access</w:t>
            </w:r>
          </w:p>
        </w:tc>
        <w:tc>
          <w:tcPr>
            <w:tcW w:type="dxa" w:w="3744"/>
          </w:tcPr>
          <w:p>
            <w:pPr>
              <w:spacing w:after="0"/>
            </w:pPr>
            <w:r/>
            <w:r>
              <w:rPr>
                <w:sz w:val="15"/>
              </w:rPr>
              <w:t>users, roles, role_permissions, personal_access_tokens, password_reset_tokens, stores, store_users, activity_logs</w:t>
            </w:r>
          </w:p>
        </w:tc>
        <w:tc>
          <w:tcPr>
            <w:tcW w:type="dxa" w:w="2232"/>
          </w:tcPr>
          <w:p>
            <w:pPr>
              <w:spacing w:after="0"/>
            </w:pPr>
            <w:r/>
            <w:r>
              <w:rPr>
                <w:sz w:val="15"/>
              </w:rPr>
              <w:t>auth, system</w:t>
            </w:r>
          </w:p>
        </w:tc>
        <w:tc>
          <w:tcPr>
            <w:tcW w:type="dxa" w:w="1584"/>
          </w:tcPr>
          <w:p>
            <w:pPr>
              <w:spacing w:after="0"/>
            </w:pPr>
            <w:r/>
            <w:r>
              <w:rPr>
                <w:sz w:val="15"/>
              </w:rPr>
              <w:t>ERP, POS, B2B</w:t>
            </w:r>
          </w:p>
        </w:tc>
      </w:tr>
      <w:tr>
        <w:trPr>
          <w:cantSplit/>
        </w:trPr>
        <w:tc>
          <w:tcPr>
            <w:tcW w:type="dxa" w:w="1800"/>
          </w:tcPr>
          <w:p>
            <w:pPr>
              <w:spacing w:after="0"/>
            </w:pPr>
            <w:r/>
            <w:r>
              <w:rPr>
                <w:sz w:val="15"/>
              </w:rPr>
              <w:t>Catalogue</w:t>
            </w:r>
          </w:p>
        </w:tc>
        <w:tc>
          <w:tcPr>
            <w:tcW w:type="dxa" w:w="3744"/>
          </w:tcPr>
          <w:p>
            <w:pPr>
              <w:spacing w:after="0"/>
            </w:pPr>
            <w:r/>
            <w:r>
              <w:rPr>
                <w:sz w:val="15"/>
              </w:rPr>
              <w:t>products, categories, units, brands, product_units, product_barcodes</w:t>
            </w:r>
          </w:p>
        </w:tc>
        <w:tc>
          <w:tcPr>
            <w:tcW w:type="dxa" w:w="2232"/>
          </w:tcPr>
          <w:p>
            <w:pPr>
              <w:spacing w:after="0"/>
            </w:pPr>
            <w:r/>
            <w:r>
              <w:rPr>
                <w:sz w:val="15"/>
              </w:rPr>
              <w:t>catalog</w:t>
            </w:r>
          </w:p>
        </w:tc>
        <w:tc>
          <w:tcPr>
            <w:tcW w:type="dxa" w:w="1584"/>
          </w:tcPr>
          <w:p>
            <w:pPr>
              <w:spacing w:after="0"/>
            </w:pPr>
            <w:r/>
            <w:r>
              <w:rPr>
                <w:sz w:val="15"/>
              </w:rPr>
              <w:t>ERP, POS, B2B</w:t>
            </w:r>
          </w:p>
        </w:tc>
      </w:tr>
      <w:tr>
        <w:trPr>
          <w:cantSplit/>
        </w:trPr>
        <w:tc>
          <w:tcPr>
            <w:tcW w:type="dxa" w:w="1800"/>
          </w:tcPr>
          <w:p>
            <w:pPr>
              <w:spacing w:after="0"/>
            </w:pPr>
            <w:r/>
            <w:r>
              <w:rPr>
                <w:sz w:val="15"/>
              </w:rPr>
              <w:t>Partners</w:t>
            </w:r>
          </w:p>
        </w:tc>
        <w:tc>
          <w:tcPr>
            <w:tcW w:type="dxa" w:w="3744"/>
          </w:tcPr>
          <w:p>
            <w:pPr>
              <w:spacing w:after="0"/>
            </w:pPr>
            <w:r/>
            <w:r>
              <w:rPr>
                <w:sz w:val="15"/>
              </w:rPr>
              <w:t>customers, suppliers, buyer_addresses</w:t>
            </w:r>
          </w:p>
        </w:tc>
        <w:tc>
          <w:tcPr>
            <w:tcW w:type="dxa" w:w="2232"/>
          </w:tcPr>
          <w:p>
            <w:pPr>
              <w:spacing w:after="0"/>
            </w:pPr>
            <w:r/>
            <w:r>
              <w:rPr>
                <w:sz w:val="15"/>
              </w:rPr>
              <w:t>partners, account</w:t>
            </w:r>
          </w:p>
        </w:tc>
        <w:tc>
          <w:tcPr>
            <w:tcW w:type="dxa" w:w="1584"/>
          </w:tcPr>
          <w:p>
            <w:pPr>
              <w:spacing w:after="0"/>
            </w:pPr>
            <w:r/>
            <w:r>
              <w:rPr>
                <w:sz w:val="15"/>
              </w:rPr>
              <w:t>ERP, B2B</w:t>
            </w:r>
          </w:p>
        </w:tc>
      </w:tr>
      <w:tr>
        <w:trPr>
          <w:cantSplit/>
        </w:trPr>
        <w:tc>
          <w:tcPr>
            <w:tcW w:type="dxa" w:w="1800"/>
          </w:tcPr>
          <w:p>
            <w:pPr>
              <w:spacing w:after="0"/>
            </w:pPr>
            <w:r/>
            <w:r>
              <w:rPr>
                <w:sz w:val="15"/>
              </w:rPr>
              <w:t>Membership</w:t>
            </w:r>
          </w:p>
        </w:tc>
        <w:tc>
          <w:tcPr>
            <w:tcW w:type="dxa" w:w="3744"/>
          </w:tcPr>
          <w:p>
            <w:pPr>
              <w:spacing w:after="0"/>
            </w:pPr>
            <w:r/>
            <w:r>
              <w:rPr>
                <w:sz w:val="15"/>
              </w:rPr>
              <w:t>memberships, membership_tiers, membership_tier_history, membership_tier_config_history</w:t>
            </w:r>
          </w:p>
        </w:tc>
        <w:tc>
          <w:tcPr>
            <w:tcW w:type="dxa" w:w="2232"/>
          </w:tcPr>
          <w:p>
            <w:pPr>
              <w:spacing w:after="0"/>
            </w:pPr>
            <w:r/>
            <w:r>
              <w:rPr>
                <w:sz w:val="15"/>
              </w:rPr>
              <w:t>membership</w:t>
            </w:r>
          </w:p>
        </w:tc>
        <w:tc>
          <w:tcPr>
            <w:tcW w:type="dxa" w:w="1584"/>
          </w:tcPr>
          <w:p>
            <w:pPr>
              <w:spacing w:after="0"/>
            </w:pPr>
            <w:r/>
            <w:r>
              <w:rPr>
                <w:sz w:val="15"/>
              </w:rPr>
              <w:t>POS, B2B, ERP</w:t>
            </w:r>
          </w:p>
        </w:tc>
      </w:tr>
      <w:tr>
        <w:trPr>
          <w:cantSplit/>
        </w:trPr>
        <w:tc>
          <w:tcPr>
            <w:tcW w:type="dxa" w:w="1800"/>
          </w:tcPr>
          <w:p>
            <w:pPr>
              <w:spacing w:after="0"/>
            </w:pPr>
            <w:r/>
            <w:r>
              <w:rPr>
                <w:sz w:val="15"/>
              </w:rPr>
              <w:t>Inventory</w:t>
            </w:r>
          </w:p>
        </w:tc>
        <w:tc>
          <w:tcPr>
            <w:tcW w:type="dxa" w:w="3744"/>
          </w:tcPr>
          <w:p>
            <w:pPr>
              <w:spacing w:after="0"/>
            </w:pPr>
            <w:r/>
            <w:r>
              <w:rPr>
                <w:sz w:val="15"/>
              </w:rPr>
              <w:t>warehouses, stocks, stock_movements, stock_opnames(+items), stock_transfers(+items)</w:t>
            </w:r>
          </w:p>
        </w:tc>
        <w:tc>
          <w:tcPr>
            <w:tcW w:type="dxa" w:w="2232"/>
          </w:tcPr>
          <w:p>
            <w:pPr>
              <w:spacing w:after="0"/>
            </w:pPr>
            <w:r/>
            <w:r>
              <w:rPr>
                <w:sz w:val="15"/>
              </w:rPr>
              <w:t>inventory, warehouses</w:t>
            </w:r>
          </w:p>
        </w:tc>
        <w:tc>
          <w:tcPr>
            <w:tcW w:type="dxa" w:w="1584"/>
          </w:tcPr>
          <w:p>
            <w:pPr>
              <w:spacing w:after="0"/>
            </w:pPr>
            <w:r/>
            <w:r>
              <w:rPr>
                <w:sz w:val="15"/>
              </w:rPr>
              <w:t>ERP, POS</w:t>
            </w:r>
          </w:p>
        </w:tc>
      </w:tr>
      <w:tr>
        <w:trPr>
          <w:cantSplit/>
        </w:trPr>
        <w:tc>
          <w:tcPr>
            <w:tcW w:type="dxa" w:w="1800"/>
          </w:tcPr>
          <w:p>
            <w:pPr>
              <w:spacing w:after="0"/>
            </w:pPr>
            <w:r/>
            <w:r>
              <w:rPr>
                <w:sz w:val="15"/>
              </w:rPr>
              <w:t>Purchasing</w:t>
            </w:r>
          </w:p>
        </w:tc>
        <w:tc>
          <w:tcPr>
            <w:tcW w:type="dxa" w:w="3744"/>
          </w:tcPr>
          <w:p>
            <w:pPr>
              <w:spacing w:after="0"/>
            </w:pPr>
            <w:r/>
            <w:r>
              <w:rPr>
                <w:sz w:val="15"/>
              </w:rPr>
              <w:t>purchase_orders(+items), goods_receipts(+items), vouchers</w:t>
            </w:r>
          </w:p>
        </w:tc>
        <w:tc>
          <w:tcPr>
            <w:tcW w:type="dxa" w:w="2232"/>
          </w:tcPr>
          <w:p>
            <w:pPr>
              <w:spacing w:after="0"/>
            </w:pPr>
            <w:r/>
            <w:r>
              <w:rPr>
                <w:sz w:val="15"/>
              </w:rPr>
              <w:t>purchasing</w:t>
            </w:r>
          </w:p>
        </w:tc>
        <w:tc>
          <w:tcPr>
            <w:tcW w:type="dxa" w:w="1584"/>
          </w:tcPr>
          <w:p>
            <w:pPr>
              <w:spacing w:after="0"/>
            </w:pPr>
            <w:r/>
            <w:r>
              <w:rPr>
                <w:sz w:val="15"/>
              </w:rPr>
              <w:t>ERP</w:t>
            </w:r>
          </w:p>
        </w:tc>
      </w:tr>
      <w:tr>
        <w:trPr>
          <w:cantSplit/>
        </w:trPr>
        <w:tc>
          <w:tcPr>
            <w:tcW w:type="dxa" w:w="1800"/>
          </w:tcPr>
          <w:p>
            <w:pPr>
              <w:spacing w:after="0"/>
            </w:pPr>
            <w:r/>
            <w:r>
              <w:rPr>
                <w:sz w:val="15"/>
              </w:rPr>
              <w:t>Sales</w:t>
            </w:r>
          </w:p>
        </w:tc>
        <w:tc>
          <w:tcPr>
            <w:tcW w:type="dxa" w:w="3744"/>
          </w:tcPr>
          <w:p>
            <w:pPr>
              <w:spacing w:after="0"/>
            </w:pPr>
            <w:r/>
            <w:r>
              <w:rPr>
                <w:sz w:val="15"/>
              </w:rPr>
              <w:t>sales_orders, sales_order_items, sales_order_status_history, sales_returns(+items), sales_vouchers, sales_targets</w:t>
            </w:r>
          </w:p>
        </w:tc>
        <w:tc>
          <w:tcPr>
            <w:tcW w:type="dxa" w:w="2232"/>
          </w:tcPr>
          <w:p>
            <w:pPr>
              <w:spacing w:after="0"/>
            </w:pPr>
            <w:r/>
            <w:r>
              <w:rPr>
                <w:sz w:val="15"/>
              </w:rPr>
              <w:t>sales, salestargets</w:t>
            </w:r>
          </w:p>
        </w:tc>
        <w:tc>
          <w:tcPr>
            <w:tcW w:type="dxa" w:w="1584"/>
          </w:tcPr>
          <w:p>
            <w:pPr>
              <w:spacing w:after="0"/>
            </w:pPr>
            <w:r/>
            <w:r>
              <w:rPr>
                <w:sz w:val="15"/>
              </w:rPr>
              <w:t>ERP, POS, B2B</w:t>
            </w:r>
          </w:p>
        </w:tc>
      </w:tr>
      <w:tr>
        <w:trPr>
          <w:cantSplit/>
        </w:trPr>
        <w:tc>
          <w:tcPr>
            <w:tcW w:type="dxa" w:w="1800"/>
          </w:tcPr>
          <w:p>
            <w:pPr>
              <w:spacing w:after="0"/>
            </w:pPr>
            <w:r/>
            <w:r>
              <w:rPr>
                <w:sz w:val="15"/>
              </w:rPr>
              <w:t>POS operations</w:t>
            </w:r>
          </w:p>
        </w:tc>
        <w:tc>
          <w:tcPr>
            <w:tcW w:type="dxa" w:w="3744"/>
          </w:tcPr>
          <w:p>
            <w:pPr>
              <w:spacing w:after="0"/>
            </w:pPr>
            <w:r/>
            <w:r>
              <w:rPr>
                <w:sz w:val="15"/>
              </w:rPr>
              <w:t>cashier_shifts, cashier_drawer_entries</w:t>
            </w:r>
          </w:p>
        </w:tc>
        <w:tc>
          <w:tcPr>
            <w:tcW w:type="dxa" w:w="2232"/>
          </w:tcPr>
          <w:p>
            <w:pPr>
              <w:spacing w:after="0"/>
            </w:pPr>
            <w:r/>
            <w:r>
              <w:rPr>
                <w:sz w:val="15"/>
              </w:rPr>
              <w:t>cashier</w:t>
            </w:r>
          </w:p>
        </w:tc>
        <w:tc>
          <w:tcPr>
            <w:tcW w:type="dxa" w:w="1584"/>
          </w:tcPr>
          <w:p>
            <w:pPr>
              <w:spacing w:after="0"/>
            </w:pPr>
            <w:r/>
            <w:r>
              <w:rPr>
                <w:sz w:val="15"/>
              </w:rPr>
              <w:t>POS</w:t>
            </w:r>
          </w:p>
        </w:tc>
      </w:tr>
      <w:tr>
        <w:trPr>
          <w:cantSplit/>
        </w:trPr>
        <w:tc>
          <w:tcPr>
            <w:tcW w:type="dxa" w:w="1800"/>
          </w:tcPr>
          <w:p>
            <w:pPr>
              <w:spacing w:after="0"/>
            </w:pPr>
            <w:r/>
            <w:r>
              <w:rPr>
                <w:sz w:val="15"/>
              </w:rPr>
              <w:t>Galon</w:t>
            </w:r>
          </w:p>
        </w:tc>
        <w:tc>
          <w:tcPr>
            <w:tcW w:type="dxa" w:w="3744"/>
          </w:tcPr>
          <w:p>
            <w:pPr>
              <w:spacing w:after="0"/>
            </w:pPr>
            <w:r/>
            <w:r>
              <w:rPr>
                <w:sz w:val="15"/>
              </w:rPr>
              <w:t>galon_transactions</w:t>
            </w:r>
          </w:p>
        </w:tc>
        <w:tc>
          <w:tcPr>
            <w:tcW w:type="dxa" w:w="2232"/>
          </w:tcPr>
          <w:p>
            <w:pPr>
              <w:spacing w:after="0"/>
            </w:pPr>
            <w:r/>
            <w:r>
              <w:rPr>
                <w:sz w:val="15"/>
              </w:rPr>
              <w:t>galon</w:t>
            </w:r>
          </w:p>
        </w:tc>
        <w:tc>
          <w:tcPr>
            <w:tcW w:type="dxa" w:w="1584"/>
          </w:tcPr>
          <w:p>
            <w:pPr>
              <w:spacing w:after="0"/>
            </w:pPr>
            <w:r/>
            <w:r>
              <w:rPr>
                <w:sz w:val="15"/>
              </w:rPr>
              <w:t>POS, B2B</w:t>
            </w:r>
          </w:p>
        </w:tc>
      </w:tr>
      <w:tr>
        <w:trPr>
          <w:cantSplit/>
        </w:trPr>
        <w:tc>
          <w:tcPr>
            <w:tcW w:type="dxa" w:w="1800"/>
          </w:tcPr>
          <w:p>
            <w:pPr>
              <w:spacing w:after="0"/>
            </w:pPr>
            <w:r/>
            <w:r>
              <w:rPr>
                <w:sz w:val="15"/>
              </w:rPr>
              <w:t>Finance</w:t>
            </w:r>
          </w:p>
        </w:tc>
        <w:tc>
          <w:tcPr>
            <w:tcW w:type="dxa" w:w="3744"/>
          </w:tcPr>
          <w:p>
            <w:pPr>
              <w:spacing w:after="0"/>
            </w:pPr>
            <w:r/>
            <w:r>
              <w:rPr>
                <w:sz w:val="15"/>
              </w:rPr>
              <w:t>invoices, payments, cashflows, cash_accounts, payment_vouchers(+lines), advances(+transactions)</w:t>
            </w:r>
          </w:p>
        </w:tc>
        <w:tc>
          <w:tcPr>
            <w:tcW w:type="dxa" w:w="2232"/>
          </w:tcPr>
          <w:p>
            <w:pPr>
              <w:spacing w:after="0"/>
            </w:pPr>
            <w:r/>
            <w:r>
              <w:rPr>
                <w:sz w:val="15"/>
              </w:rPr>
              <w:t>finance</w:t>
            </w:r>
          </w:p>
        </w:tc>
        <w:tc>
          <w:tcPr>
            <w:tcW w:type="dxa" w:w="1584"/>
          </w:tcPr>
          <w:p>
            <w:pPr>
              <w:spacing w:after="0"/>
            </w:pPr>
            <w:r/>
            <w:r>
              <w:rPr>
                <w:sz w:val="15"/>
              </w:rPr>
              <w:t>ERP</w:t>
            </w:r>
          </w:p>
        </w:tc>
      </w:tr>
      <w:tr>
        <w:trPr>
          <w:cantSplit/>
        </w:trPr>
        <w:tc>
          <w:tcPr>
            <w:tcW w:type="dxa" w:w="1800"/>
          </w:tcPr>
          <w:p>
            <w:pPr>
              <w:spacing w:after="0"/>
            </w:pPr>
            <w:r/>
            <w:r>
              <w:rPr>
                <w:sz w:val="15"/>
              </w:rPr>
              <w:t>Accounting</w:t>
            </w:r>
          </w:p>
        </w:tc>
        <w:tc>
          <w:tcPr>
            <w:tcW w:type="dxa" w:w="3744"/>
          </w:tcPr>
          <w:p>
            <w:pPr>
              <w:spacing w:after="0"/>
            </w:pPr>
            <w:r/>
            <w:r>
              <w:rPr>
                <w:sz w:val="15"/>
              </w:rPr>
              <w:t>accounts, accounting_departments, accounting_periods, journal_entries, journal_lines</w:t>
            </w:r>
          </w:p>
        </w:tc>
        <w:tc>
          <w:tcPr>
            <w:tcW w:type="dxa" w:w="2232"/>
          </w:tcPr>
          <w:p>
            <w:pPr>
              <w:spacing w:after="0"/>
            </w:pPr>
            <w:r/>
            <w:r>
              <w:rPr>
                <w:sz w:val="15"/>
              </w:rPr>
              <w:t>accounting</w:t>
            </w:r>
          </w:p>
        </w:tc>
        <w:tc>
          <w:tcPr>
            <w:tcW w:type="dxa" w:w="1584"/>
          </w:tcPr>
          <w:p>
            <w:pPr>
              <w:spacing w:after="0"/>
            </w:pPr>
            <w:r/>
            <w:r>
              <w:rPr>
                <w:sz w:val="15"/>
              </w:rPr>
              <w:t>ERP</w:t>
            </w:r>
          </w:p>
        </w:tc>
      </w:tr>
      <w:tr>
        <w:trPr>
          <w:cantSplit/>
        </w:trPr>
        <w:tc>
          <w:tcPr>
            <w:tcW w:type="dxa" w:w="1800"/>
          </w:tcPr>
          <w:p>
            <w:pPr>
              <w:spacing w:after="0"/>
            </w:pPr>
            <w:r/>
            <w:r>
              <w:rPr>
                <w:sz w:val="15"/>
              </w:rPr>
              <w:t>Distribution</w:t>
            </w:r>
          </w:p>
        </w:tc>
        <w:tc>
          <w:tcPr>
            <w:tcW w:type="dxa" w:w="3744"/>
          </w:tcPr>
          <w:p>
            <w:pPr>
              <w:spacing w:after="0"/>
            </w:pPr>
            <w:r/>
            <w:r>
              <w:rPr>
                <w:sz w:val="15"/>
              </w:rPr>
              <w:t>delivery_orders(+items), shipments(+items), shipment_tracking_events, dispatches, fleet, delivery_status_history, lhpp_groups(+items, history), warehouse_deposits</w:t>
            </w:r>
          </w:p>
        </w:tc>
        <w:tc>
          <w:tcPr>
            <w:tcW w:type="dxa" w:w="2232"/>
          </w:tcPr>
          <w:p>
            <w:pPr>
              <w:spacing w:after="0"/>
            </w:pPr>
            <w:r/>
            <w:r>
              <w:rPr>
                <w:sz w:val="15"/>
              </w:rPr>
              <w:t>distribution, lhpp, warehousedeposit</w:t>
            </w:r>
          </w:p>
        </w:tc>
        <w:tc>
          <w:tcPr>
            <w:tcW w:type="dxa" w:w="1584"/>
          </w:tcPr>
          <w:p>
            <w:pPr>
              <w:spacing w:after="0"/>
            </w:pPr>
            <w:r/>
            <w:r>
              <w:rPr>
                <w:sz w:val="15"/>
              </w:rPr>
              <w:t>ERP</w:t>
            </w:r>
          </w:p>
        </w:tc>
      </w:tr>
      <w:tr>
        <w:trPr>
          <w:cantSplit/>
        </w:trPr>
        <w:tc>
          <w:tcPr>
            <w:tcW w:type="dxa" w:w="1800"/>
          </w:tcPr>
          <w:p>
            <w:pPr>
              <w:spacing w:after="0"/>
            </w:pPr>
            <w:r/>
            <w:r>
              <w:rPr>
                <w:sz w:val="15"/>
              </w:rPr>
              <w:t>Sales tracking</w:t>
            </w:r>
          </w:p>
        </w:tc>
        <w:tc>
          <w:tcPr>
            <w:tcW w:type="dxa" w:w="3744"/>
          </w:tcPr>
          <w:p>
            <w:pPr>
              <w:spacing w:after="0"/>
            </w:pPr>
            <w:r/>
            <w:r>
              <w:rPr>
                <w:sz w:val="15"/>
              </w:rPr>
              <w:t>sales_visits, sales_activities, sales_routes, sales_locations</w:t>
            </w:r>
          </w:p>
        </w:tc>
        <w:tc>
          <w:tcPr>
            <w:tcW w:type="dxa" w:w="2232"/>
          </w:tcPr>
          <w:p>
            <w:pPr>
              <w:spacing w:after="0"/>
            </w:pPr>
            <w:r/>
            <w:r>
              <w:rPr>
                <w:sz w:val="15"/>
              </w:rPr>
              <w:t>salestracking</w:t>
            </w:r>
          </w:p>
        </w:tc>
        <w:tc>
          <w:tcPr>
            <w:tcW w:type="dxa" w:w="1584"/>
          </w:tcPr>
          <w:p>
            <w:pPr>
              <w:spacing w:after="0"/>
            </w:pPr>
            <w:r/>
            <w:r>
              <w:rPr>
                <w:sz w:val="15"/>
              </w:rPr>
              <w:t>ERP</w:t>
            </w:r>
          </w:p>
        </w:tc>
      </w:tr>
      <w:tr>
        <w:trPr>
          <w:cantSplit/>
        </w:trPr>
        <w:tc>
          <w:tcPr>
            <w:tcW w:type="dxa" w:w="1800"/>
          </w:tcPr>
          <w:p>
            <w:pPr>
              <w:spacing w:after="0"/>
            </w:pPr>
            <w:r/>
            <w:r>
              <w:rPr>
                <w:sz w:val="15"/>
              </w:rPr>
              <w:t>HR</w:t>
            </w:r>
          </w:p>
        </w:tc>
        <w:tc>
          <w:tcPr>
            <w:tcW w:type="dxa" w:w="3744"/>
          </w:tcPr>
          <w:p>
            <w:pPr>
              <w:spacing w:after="0"/>
            </w:pPr>
            <w:r/>
            <w:r>
              <w:rPr>
                <w:sz w:val="15"/>
              </w:rPr>
              <w:t>employees, attendances, leaves, payrolls, performances</w:t>
            </w:r>
          </w:p>
        </w:tc>
        <w:tc>
          <w:tcPr>
            <w:tcW w:type="dxa" w:w="2232"/>
          </w:tcPr>
          <w:p>
            <w:pPr>
              <w:spacing w:after="0"/>
            </w:pPr>
            <w:r/>
            <w:r>
              <w:rPr>
                <w:sz w:val="15"/>
              </w:rPr>
              <w:t>hr</w:t>
            </w:r>
          </w:p>
        </w:tc>
        <w:tc>
          <w:tcPr>
            <w:tcW w:type="dxa" w:w="1584"/>
          </w:tcPr>
          <w:p>
            <w:pPr>
              <w:spacing w:after="0"/>
            </w:pPr>
            <w:r/>
            <w:r>
              <w:rPr>
                <w:sz w:val="15"/>
              </w:rPr>
              <w:t>ERP</w:t>
            </w:r>
          </w:p>
        </w:tc>
      </w:tr>
      <w:tr>
        <w:trPr>
          <w:cantSplit/>
        </w:trPr>
        <w:tc>
          <w:tcPr>
            <w:tcW w:type="dxa" w:w="1800"/>
          </w:tcPr>
          <w:p>
            <w:pPr>
              <w:spacing w:after="0"/>
            </w:pPr>
            <w:r/>
            <w:r>
              <w:rPr>
                <w:sz w:val="15"/>
              </w:rPr>
              <w:t>Support</w:t>
            </w:r>
          </w:p>
        </w:tc>
        <w:tc>
          <w:tcPr>
            <w:tcW w:type="dxa" w:w="3744"/>
          </w:tcPr>
          <w:p>
            <w:pPr>
              <w:spacing w:after="0"/>
            </w:pPr>
            <w:r/>
            <w:r>
              <w:rPr>
                <w:sz w:val="15"/>
              </w:rPr>
              <w:t>tickets, ticket_comments</w:t>
            </w:r>
          </w:p>
        </w:tc>
        <w:tc>
          <w:tcPr>
            <w:tcW w:type="dxa" w:w="2232"/>
          </w:tcPr>
          <w:p>
            <w:pPr>
              <w:spacing w:after="0"/>
            </w:pPr>
            <w:r/>
            <w:r>
              <w:rPr>
                <w:sz w:val="15"/>
              </w:rPr>
              <w:t>tickets</w:t>
            </w:r>
          </w:p>
        </w:tc>
        <w:tc>
          <w:tcPr>
            <w:tcW w:type="dxa" w:w="1584"/>
          </w:tcPr>
          <w:p>
            <w:pPr>
              <w:spacing w:after="0"/>
            </w:pPr>
            <w:r/>
            <w:r>
              <w:rPr>
                <w:sz w:val="15"/>
              </w:rPr>
              <w:t>ERP, POS, B2B</w:t>
            </w:r>
          </w:p>
        </w:tc>
      </w:tr>
      <w:tr>
        <w:trPr>
          <w:cantSplit/>
        </w:trPr>
        <w:tc>
          <w:tcPr>
            <w:tcW w:type="dxa" w:w="1800"/>
          </w:tcPr>
          <w:p>
            <w:pPr>
              <w:spacing w:after="0"/>
            </w:pPr>
            <w:r/>
            <w:r>
              <w:rPr>
                <w:sz w:val="15"/>
              </w:rPr>
              <w:t>Reporting</w:t>
            </w:r>
          </w:p>
        </w:tc>
        <w:tc>
          <w:tcPr>
            <w:tcW w:type="dxa" w:w="3744"/>
          </w:tcPr>
          <w:p>
            <w:pPr>
              <w:spacing w:after="0"/>
            </w:pPr>
            <w:r/>
            <w:r>
              <w:rPr>
                <w:sz w:val="15"/>
              </w:rPr>
              <w:t>report_templates</w:t>
            </w:r>
          </w:p>
        </w:tc>
        <w:tc>
          <w:tcPr>
            <w:tcW w:type="dxa" w:w="2232"/>
          </w:tcPr>
          <w:p>
            <w:pPr>
              <w:spacing w:after="0"/>
            </w:pPr>
            <w:r/>
            <w:r>
              <w:rPr>
                <w:sz w:val="15"/>
              </w:rPr>
              <w:t>reports/templates, reportproxy</w:t>
            </w:r>
          </w:p>
        </w:tc>
        <w:tc>
          <w:tcPr>
            <w:tcW w:type="dxa" w:w="1584"/>
          </w:tcPr>
          <w:p>
            <w:pPr>
              <w:spacing w:after="0"/>
            </w:pPr>
            <w:r/>
            <w:r>
              <w:rPr>
                <w:sz w:val="15"/>
              </w:rPr>
              <w:t>ERP, POS, B2B</w:t>
            </w:r>
          </w:p>
        </w:tc>
      </w:tr>
      <w:tr>
        <w:trPr>
          <w:cantSplit/>
        </w:trPr>
        <w:tc>
          <w:tcPr>
            <w:tcW w:type="dxa" w:w="1800"/>
          </w:tcPr>
          <w:p>
            <w:pPr>
              <w:spacing w:after="0"/>
            </w:pPr>
            <w:r/>
            <w:r>
              <w:rPr>
                <w:sz w:val="15"/>
              </w:rPr>
              <w:t>Platform</w:t>
            </w:r>
          </w:p>
        </w:tc>
        <w:tc>
          <w:tcPr>
            <w:tcW w:type="dxa" w:w="3744"/>
          </w:tcPr>
          <w:p>
            <w:pPr>
              <w:spacing w:after="0"/>
            </w:pPr>
            <w:r/>
            <w:r>
              <w:rPr>
                <w:sz w:val="15"/>
              </w:rPr>
              <w:t>app_settings, document_number_sequences, schema_migrations</w:t>
            </w:r>
          </w:p>
        </w:tc>
        <w:tc>
          <w:tcPr>
            <w:tcW w:type="dxa" w:w="2232"/>
          </w:tcPr>
          <w:p>
            <w:pPr>
              <w:spacing w:after="0"/>
            </w:pPr>
            <w:r/>
            <w:r>
              <w:rPr>
                <w:sz w:val="15"/>
              </w:rPr>
              <w:t>settings, pkg/seq, dbmigrate</w:t>
            </w:r>
          </w:p>
        </w:tc>
        <w:tc>
          <w:tcPr>
            <w:tcW w:type="dxa" w:w="1584"/>
          </w:tcPr>
          <w:p>
            <w:pPr>
              <w:spacing w:after="0"/>
            </w:pPr>
            <w:r/>
            <w:r>
              <w:rPr>
                <w:sz w:val="15"/>
              </w:rPr>
              <w:t>backend</w:t>
            </w:r>
          </w:p>
        </w:tc>
      </w:tr>
    </w:tbl>
    <w:p>
      <w:pPr>
        <w:spacing w:after="200"/>
      </w:pPr>
      <w:r>
        <w:rPr>
          <w:i/>
          <w:color w:val="555F6D"/>
          <w:sz w:val="17"/>
        </w:rPr>
        <w:t>Table 43. Domain → table → module map</w:t>
      </w:r>
    </w:p>
    <w:p>
      <w:bookmarkStart w:id="1074" w:name="_Toc1074"/>
      <w:pPr>
        <w:pStyle w:val="Heading2"/>
      </w:pPr>
      <w:r>
        <w:t>14.1 Aggregate boundaries and invariants</w:t>
      </w:r>
      <w:bookmarkEnd w:id="1074"/>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1584"/>
            <w:shd w:val="clear" w:color="auto" w:fill="1F3A5F"/>
          </w:tcPr>
          <w:p>
            <w:pPr>
              <w:spacing w:after="0"/>
            </w:pPr>
            <w:r/>
            <w:r>
              <w:rPr>
                <w:b/>
                <w:color w:val="FFFFFF"/>
                <w:sz w:val="15"/>
              </w:rPr>
              <w:t>Aggregate</w:t>
            </w:r>
          </w:p>
        </w:tc>
        <w:tc>
          <w:tcPr>
            <w:tcW w:type="dxa" w:w="4320"/>
            <w:shd w:val="clear" w:color="auto" w:fill="1F3A5F"/>
          </w:tcPr>
          <w:p>
            <w:pPr>
              <w:spacing w:after="0"/>
            </w:pPr>
            <w:r/>
            <w:r>
              <w:rPr>
                <w:b/>
                <w:color w:val="FFFFFF"/>
                <w:sz w:val="15"/>
              </w:rPr>
              <w:t>Invariant enforced in code</w:t>
            </w:r>
          </w:p>
        </w:tc>
        <w:tc>
          <w:tcPr>
            <w:tcW w:type="dxa" w:w="3456"/>
            <w:shd w:val="clear" w:color="auto" w:fill="1F3A5F"/>
          </w:tcPr>
          <w:p>
            <w:pPr>
              <w:spacing w:after="0"/>
            </w:pPr>
            <w:r/>
            <w:r>
              <w:rPr>
                <w:b/>
                <w:color w:val="FFFFFF"/>
                <w:sz w:val="15"/>
              </w:rPr>
              <w:t>Enforced in the database</w:t>
            </w:r>
          </w:p>
        </w:tc>
      </w:tr>
      <w:tr>
        <w:trPr>
          <w:cantSplit/>
        </w:trPr>
        <w:tc>
          <w:tcPr>
            <w:tcW w:type="dxa" w:w="1584"/>
          </w:tcPr>
          <w:p>
            <w:pPr>
              <w:spacing w:after="0"/>
            </w:pPr>
            <w:r/>
            <w:r>
              <w:rPr>
                <w:sz w:val="15"/>
              </w:rPr>
              <w:t>Sales order</w:t>
            </w:r>
          </w:p>
        </w:tc>
        <w:tc>
          <w:tcPr>
            <w:tcW w:type="dxa" w:w="4320"/>
          </w:tcPr>
          <w:p>
            <w:pPr>
              <w:spacing w:after="0"/>
            </w:pPr>
            <w:r/>
            <w:r>
              <w:rPr>
                <w:sz w:val="15"/>
              </w:rPr>
              <w:t>Only a draft (or pending_approval) order can be confirmed; paid orders cannot be cancelled; regular orders reserve stock, POS/e-commerce deduct it.</w:t>
            </w:r>
          </w:p>
        </w:tc>
        <w:tc>
          <w:tcPr>
            <w:tcW w:type="dxa" w:w="3456"/>
          </w:tcPr>
          <w:p>
            <w:pPr>
              <w:spacing w:after="0"/>
            </w:pPr>
            <w:r/>
            <w:r>
              <w:rPr>
                <w:sz w:val="15"/>
              </w:rPr>
              <w:t>status CHECK; sales_order_items snapshot trigger blocks price/quantity edits</w:t>
            </w:r>
          </w:p>
        </w:tc>
      </w:tr>
      <w:tr>
        <w:trPr>
          <w:cantSplit/>
        </w:trPr>
        <w:tc>
          <w:tcPr>
            <w:tcW w:type="dxa" w:w="1584"/>
          </w:tcPr>
          <w:p>
            <w:pPr>
              <w:spacing w:after="0"/>
            </w:pPr>
            <w:r/>
            <w:r>
              <w:rPr>
                <w:sz w:val="15"/>
              </w:rPr>
              <w:t>Sales order line</w:t>
            </w:r>
          </w:p>
        </w:tc>
        <w:tc>
          <w:tcPr>
            <w:tcW w:type="dxa" w:w="4320"/>
          </w:tcPr>
          <w:p>
            <w:pPr>
              <w:spacing w:after="0"/>
            </w:pPr>
            <w:r/>
            <w:r>
              <w:rPr>
                <w:sz w:val="15"/>
              </w:rPr>
              <w:t>unit_price, discount, conversion factor, base quantity and unit labels are immutable after creation.</w:t>
            </w:r>
          </w:p>
        </w:tc>
        <w:tc>
          <w:tcPr>
            <w:tcW w:type="dxa" w:w="3456"/>
          </w:tcPr>
          <w:p>
            <w:pPr>
              <w:spacing w:after="0"/>
            </w:pPr>
            <w:r/>
            <w:r>
              <w:rPr>
                <w:sz w:val="15"/>
              </w:rPr>
              <w:t>sales_order_items_snapshot_immutable trigger</w:t>
            </w:r>
          </w:p>
        </w:tc>
      </w:tr>
      <w:tr>
        <w:trPr>
          <w:cantSplit/>
        </w:trPr>
        <w:tc>
          <w:tcPr>
            <w:tcW w:type="dxa" w:w="1584"/>
          </w:tcPr>
          <w:p>
            <w:pPr>
              <w:spacing w:after="0"/>
            </w:pPr>
            <w:r/>
            <w:r>
              <w:rPr>
                <w:sz w:val="15"/>
              </w:rPr>
              <w:t>Invoice</w:t>
            </w:r>
          </w:p>
        </w:tc>
        <w:tc>
          <w:tcPr>
            <w:tcW w:type="dxa" w:w="4320"/>
          </w:tcPr>
          <w:p>
            <w:pPr>
              <w:spacing w:after="0"/>
            </w:pPr>
            <w:r/>
            <w:r>
              <w:rPr>
                <w:sz w:val="15"/>
              </w:rPr>
              <w:t>status ∈ unpaid/partial/paid/overdue/cancelled; a cancelled invoice keeps its original total (write-off, not zeroing).</w:t>
            </w:r>
          </w:p>
        </w:tc>
        <w:tc>
          <w:tcPr>
            <w:tcW w:type="dxa" w:w="3456"/>
          </w:tcPr>
          <w:p>
            <w:pPr>
              <w:spacing w:after="0"/>
            </w:pPr>
            <w:r/>
            <w:r>
              <w:rPr>
                <w:sz w:val="15"/>
              </w:rPr>
              <w:t>status CHECK</w:t>
            </w:r>
          </w:p>
        </w:tc>
      </w:tr>
      <w:tr>
        <w:trPr>
          <w:cantSplit/>
        </w:trPr>
        <w:tc>
          <w:tcPr>
            <w:tcW w:type="dxa" w:w="1584"/>
          </w:tcPr>
          <w:p>
            <w:pPr>
              <w:spacing w:after="0"/>
            </w:pPr>
            <w:r/>
            <w:r>
              <w:rPr>
                <w:sz w:val="15"/>
              </w:rPr>
              <w:t>Cashflow</w:t>
            </w:r>
          </w:p>
        </w:tc>
        <w:tc>
          <w:tcPr>
            <w:tcW w:type="dxa" w:w="4320"/>
          </w:tcPr>
          <w:p>
            <w:pPr>
              <w:spacing w:after="0"/>
            </w:pPr>
            <w:r/>
            <w:r>
              <w:rPr>
                <w:sz w:val="15"/>
              </w:rPr>
              <w:t>A generated cashflow (reference_type + reference_id set) cannot be updated in an amount/reference-changing way or deleted; a locked accounting period blocks insert/update/delete.</w:t>
            </w:r>
          </w:p>
        </w:tc>
        <w:tc>
          <w:tcPr>
            <w:tcW w:type="dxa" w:w="3456"/>
          </w:tcPr>
          <w:p>
            <w:pPr>
              <w:spacing w:after="0"/>
            </w:pPr>
            <w:r/>
            <w:r>
              <w:rPr>
                <w:sz w:val="15"/>
              </w:rPr>
              <w:t>enforce_cashflow_contract() trigger</w:t>
            </w:r>
          </w:p>
        </w:tc>
      </w:tr>
      <w:tr>
        <w:trPr>
          <w:cantSplit/>
        </w:trPr>
        <w:tc>
          <w:tcPr>
            <w:tcW w:type="dxa" w:w="1584"/>
          </w:tcPr>
          <w:p>
            <w:pPr>
              <w:spacing w:after="0"/>
            </w:pPr>
            <w:r/>
            <w:r>
              <w:rPr>
                <w:sz w:val="15"/>
              </w:rPr>
              <w:t>Journal entry</w:t>
            </w:r>
          </w:p>
        </w:tc>
        <w:tc>
          <w:tcPr>
            <w:tcW w:type="dxa" w:w="4320"/>
          </w:tcPr>
          <w:p>
            <w:pPr>
              <w:spacing w:after="0"/>
            </w:pPr>
            <w:r/>
            <w:r>
              <w:rPr>
                <w:sz w:val="15"/>
              </w:rPr>
              <w:t>Posting requires debit = credit and non-zero; only a posted entry can be reversed; reversal mirrors lines and links both ways.</w:t>
            </w:r>
          </w:p>
        </w:tc>
        <w:tc>
          <w:tcPr>
            <w:tcW w:type="dxa" w:w="3456"/>
          </w:tcPr>
          <w:p>
            <w:pPr>
              <w:spacing w:after="0"/>
            </w:pPr>
            <w:r/>
            <w:r>
              <w:rPr>
                <w:sz w:val="15"/>
              </w:rPr>
              <w:t>service-level (no DB constraint on balance)</w:t>
            </w:r>
          </w:p>
        </w:tc>
      </w:tr>
      <w:tr>
        <w:trPr>
          <w:cantSplit/>
        </w:trPr>
        <w:tc>
          <w:tcPr>
            <w:tcW w:type="dxa" w:w="1584"/>
          </w:tcPr>
          <w:p>
            <w:pPr>
              <w:spacing w:after="0"/>
            </w:pPr>
            <w:r/>
            <w:r>
              <w:rPr>
                <w:sz w:val="15"/>
              </w:rPr>
              <w:t>Stock</w:t>
            </w:r>
          </w:p>
        </w:tc>
        <w:tc>
          <w:tcPr>
            <w:tcW w:type="dxa" w:w="4320"/>
          </w:tcPr>
          <w:p>
            <w:pPr>
              <w:spacing w:after="0"/>
            </w:pPr>
            <w:r/>
            <w:r>
              <w:rPr>
                <w:sz w:val="15"/>
              </w:rPr>
              <w:t>One row per (product, warehouse); movements are append-only with before/after quantities.</w:t>
            </w:r>
          </w:p>
        </w:tc>
        <w:tc>
          <w:tcPr>
            <w:tcW w:type="dxa" w:w="3456"/>
          </w:tcPr>
          <w:p>
            <w:pPr>
              <w:spacing w:after="0"/>
            </w:pPr>
            <w:r/>
            <w:r>
              <w:rPr>
                <w:sz w:val="15"/>
              </w:rPr>
              <w:t>UNIQUE(product_id, warehouse_id)</w:t>
            </w:r>
          </w:p>
        </w:tc>
      </w:tr>
      <w:tr>
        <w:trPr>
          <w:cantSplit/>
        </w:trPr>
        <w:tc>
          <w:tcPr>
            <w:tcW w:type="dxa" w:w="1584"/>
          </w:tcPr>
          <w:p>
            <w:pPr>
              <w:spacing w:after="0"/>
            </w:pPr>
            <w:r/>
            <w:r>
              <w:rPr>
                <w:sz w:val="15"/>
              </w:rPr>
              <w:t>Shift</w:t>
            </w:r>
          </w:p>
        </w:tc>
        <w:tc>
          <w:tcPr>
            <w:tcW w:type="dxa" w:w="4320"/>
          </w:tcPr>
          <w:p>
            <w:pPr>
              <w:spacing w:after="0"/>
            </w:pPr>
            <w:r/>
            <w:r>
              <w:rPr>
                <w:sz w:val="15"/>
              </w:rPr>
              <w:t>Only an open shift can be closed; expected cash is computed, variance stored.</w:t>
            </w:r>
          </w:p>
        </w:tc>
        <w:tc>
          <w:tcPr>
            <w:tcW w:type="dxa" w:w="3456"/>
          </w:tcPr>
          <w:p>
            <w:pPr>
              <w:spacing w:after="0"/>
            </w:pPr>
            <w:r/>
            <w:r>
              <w:rPr>
                <w:sz w:val="15"/>
              </w:rPr>
              <w:t>status CHECK</w:t>
            </w:r>
          </w:p>
        </w:tc>
      </w:tr>
      <w:tr>
        <w:trPr>
          <w:cantSplit/>
        </w:trPr>
        <w:tc>
          <w:tcPr>
            <w:tcW w:type="dxa" w:w="1584"/>
          </w:tcPr>
          <w:p>
            <w:pPr>
              <w:spacing w:after="0"/>
            </w:pPr>
            <w:r/>
            <w:r>
              <w:rPr>
                <w:sz w:val="15"/>
              </w:rPr>
              <w:t>Membership</w:t>
            </w:r>
          </w:p>
        </w:tc>
        <w:tc>
          <w:tcPr>
            <w:tcW w:type="dxa" w:w="4320"/>
          </w:tcPr>
          <w:p>
            <w:pPr>
              <w:spacing w:after="0"/>
            </w:pPr>
            <w:r/>
            <w:r>
              <w:rPr>
                <w:sz w:val="15"/>
              </w:rPr>
              <w:t>Tier changes and tier-config changes are always recorded with actor and reason.</w:t>
            </w:r>
          </w:p>
        </w:tc>
        <w:tc>
          <w:tcPr>
            <w:tcW w:type="dxa" w:w="3456"/>
          </w:tcPr>
          <w:p>
            <w:pPr>
              <w:spacing w:after="0"/>
            </w:pPr>
            <w:r/>
            <w:r>
              <w:rPr>
                <w:sz w:val="15"/>
              </w:rPr>
              <w:t>history tables (no constraint, service-enforced)</w:t>
            </w:r>
          </w:p>
        </w:tc>
      </w:tr>
    </w:tbl>
    <w:p>
      <w:pPr>
        <w:spacing w:after="200"/>
      </w:pPr>
      <w:r>
        <w:rPr>
          <w:i/>
          <w:color w:val="555F6D"/>
          <w:sz w:val="17"/>
        </w:rPr>
        <w:t>Table 44. Aggregate invariants and where they live</w:t>
      </w:r>
    </w:p>
    <w:p>
      <w:bookmarkStart w:id="1075" w:name="_Toc1075"/>
      <w:pPr>
        <w:pStyle w:val="Heading1"/>
        <w:pageBreakBefore/>
      </w:pPr>
      <w:r>
        <w:t>15. End-to-end business workflows</w:t>
      </w:r>
      <w:bookmarkEnd w:id="1075"/>
    </w:p>
    <w:p>
      <w:r>
        <w:rPr>
          <w:i w:val="0"/>
        </w:rPr>
        <w:t>Twenty-one workflows were traced from the HTTP entry point through the service, the transaction and the tables it writes. Each entry names the endpoints, the permission gate and the tables. Where a workflow has a meaningful decision or failure branch, a diagram follows.</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1930"/>
        <w:gridCol w:w="1930"/>
        <w:gridCol w:w="1930"/>
        <w:gridCol w:w="1930"/>
        <w:gridCol w:w="1930"/>
      </w:tblGrid>
      <w:tr>
        <w:trPr>
          <w:tblHeader w:val="true"/>
        </w:trPr>
        <w:tc>
          <w:tcPr>
            <w:tcW w:type="dxa" w:w="648"/>
            <w:shd w:val="clear" w:color="auto" w:fill="1F3A5F"/>
          </w:tcPr>
          <w:p>
            <w:pPr>
              <w:spacing w:after="0"/>
            </w:pPr>
            <w:r/>
            <w:r>
              <w:rPr>
                <w:b/>
                <w:color w:val="FFFFFF"/>
                <w:sz w:val="14"/>
              </w:rPr>
              <w:t>ID</w:t>
            </w:r>
          </w:p>
        </w:tc>
        <w:tc>
          <w:tcPr>
            <w:tcW w:type="dxa" w:w="1944"/>
            <w:shd w:val="clear" w:color="auto" w:fill="1F3A5F"/>
          </w:tcPr>
          <w:p>
            <w:pPr>
              <w:spacing w:after="0"/>
            </w:pPr>
            <w:r/>
            <w:r>
              <w:rPr>
                <w:b/>
                <w:color w:val="FFFFFF"/>
                <w:sz w:val="14"/>
              </w:rPr>
              <w:t>Workflow</w:t>
            </w:r>
          </w:p>
        </w:tc>
        <w:tc>
          <w:tcPr>
            <w:tcW w:type="dxa" w:w="1368"/>
            <w:shd w:val="clear" w:color="auto" w:fill="1F3A5F"/>
          </w:tcPr>
          <w:p>
            <w:pPr>
              <w:spacing w:after="0"/>
            </w:pPr>
            <w:r/>
            <w:r>
              <w:rPr>
                <w:b/>
                <w:color w:val="FFFFFF"/>
                <w:sz w:val="14"/>
              </w:rPr>
              <w:t>Module</w:t>
            </w:r>
          </w:p>
        </w:tc>
        <w:tc>
          <w:tcPr>
            <w:tcW w:type="dxa" w:w="3312"/>
            <w:shd w:val="clear" w:color="auto" w:fill="1F3A5F"/>
          </w:tcPr>
          <w:p>
            <w:pPr>
              <w:spacing w:after="0"/>
            </w:pPr>
            <w:r/>
            <w:r>
              <w:rPr>
                <w:b/>
                <w:color w:val="FFFFFF"/>
                <w:sz w:val="14"/>
              </w:rPr>
              <w:t>Endpoints</w:t>
            </w:r>
          </w:p>
        </w:tc>
        <w:tc>
          <w:tcPr>
            <w:tcW w:type="dxa" w:w="2088"/>
            <w:shd w:val="clear" w:color="auto" w:fill="1F3A5F"/>
          </w:tcPr>
          <w:p>
            <w:pPr>
              <w:spacing w:after="0"/>
            </w:pPr>
            <w:r/>
            <w:r>
              <w:rPr>
                <w:b/>
                <w:color w:val="FFFFFF"/>
                <w:sz w:val="14"/>
              </w:rPr>
              <w:t>Tables written</w:t>
            </w:r>
          </w:p>
        </w:tc>
      </w:tr>
      <w:tr>
        <w:trPr>
          <w:cantSplit/>
        </w:trPr>
        <w:tc>
          <w:tcPr>
            <w:tcW w:type="dxa" w:w="648"/>
          </w:tcPr>
          <w:p>
            <w:pPr>
              <w:spacing w:after="0"/>
            </w:pPr>
            <w:r/>
            <w:r>
              <w:rPr>
                <w:sz w:val="14"/>
              </w:rPr>
              <w:t>W-01</w:t>
            </w:r>
          </w:p>
        </w:tc>
        <w:tc>
          <w:tcPr>
            <w:tcW w:type="dxa" w:w="1944"/>
          </w:tcPr>
          <w:p>
            <w:pPr>
              <w:spacing w:after="0"/>
            </w:pPr>
            <w:r/>
            <w:r>
              <w:rPr>
                <w:sz w:val="14"/>
              </w:rPr>
              <w:t>Authentication and session</w:t>
            </w:r>
          </w:p>
        </w:tc>
        <w:tc>
          <w:tcPr>
            <w:tcW w:type="dxa" w:w="1368"/>
          </w:tcPr>
          <w:p>
            <w:pPr>
              <w:spacing w:after="0"/>
            </w:pPr>
            <w:r/>
            <w:r>
              <w:rPr>
                <w:sz w:val="14"/>
              </w:rPr>
              <w:t>auth</w:t>
            </w:r>
          </w:p>
        </w:tc>
        <w:tc>
          <w:tcPr>
            <w:tcW w:type="dxa" w:w="3312"/>
          </w:tcPr>
          <w:p>
            <w:pPr>
              <w:spacing w:after="0"/>
            </w:pPr>
            <w:r/>
            <w:r>
              <w:rPr>
                <w:sz w:val="14"/>
              </w:rPr>
              <w:t>POST /api/v1/auth/login → GET /api/v1/auth/me → POST /api/v1/auth/logout</w:t>
            </w:r>
          </w:p>
        </w:tc>
        <w:tc>
          <w:tcPr>
            <w:tcW w:type="dxa" w:w="2088"/>
          </w:tcPr>
          <w:p>
            <w:pPr>
              <w:spacing w:after="0"/>
            </w:pPr>
            <w:r/>
            <w:r>
              <w:rPr>
                <w:sz w:val="14"/>
              </w:rPr>
              <w:t>personal_access_tokens, users, activity_logs</w:t>
            </w:r>
          </w:p>
        </w:tc>
      </w:tr>
      <w:tr>
        <w:trPr>
          <w:cantSplit/>
        </w:trPr>
        <w:tc>
          <w:tcPr>
            <w:tcW w:type="dxa" w:w="648"/>
          </w:tcPr>
          <w:p>
            <w:pPr>
              <w:spacing w:after="0"/>
            </w:pPr>
            <w:r/>
            <w:r>
              <w:rPr>
                <w:sz w:val="14"/>
              </w:rPr>
              <w:t>W-02</w:t>
            </w:r>
          </w:p>
        </w:tc>
        <w:tc>
          <w:tcPr>
            <w:tcW w:type="dxa" w:w="1944"/>
          </w:tcPr>
          <w:p>
            <w:pPr>
              <w:spacing w:after="0"/>
            </w:pPr>
            <w:r/>
            <w:r>
              <w:rPr>
                <w:sz w:val="14"/>
              </w:rPr>
              <w:t>Product catalogue maintenance</w:t>
            </w:r>
          </w:p>
        </w:tc>
        <w:tc>
          <w:tcPr>
            <w:tcW w:type="dxa" w:w="1368"/>
          </w:tcPr>
          <w:p>
            <w:pPr>
              <w:spacing w:after="0"/>
            </w:pPr>
            <w:r/>
            <w:r>
              <w:rPr>
                <w:sz w:val="14"/>
              </w:rPr>
              <w:t>catalog</w:t>
            </w:r>
          </w:p>
        </w:tc>
        <w:tc>
          <w:tcPr>
            <w:tcW w:type="dxa" w:w="3312"/>
          </w:tcPr>
          <w:p>
            <w:pPr>
              <w:spacing w:after="0"/>
            </w:pPr>
            <w:r/>
            <w:r>
              <w:rPr>
                <w:sz w:val="14"/>
              </w:rPr>
              <w:t>POST/PUT/DELETE /api/v1/products (+ /units, /barcodes), /categories, /brands, /units</w:t>
            </w:r>
          </w:p>
        </w:tc>
        <w:tc>
          <w:tcPr>
            <w:tcW w:type="dxa" w:w="2088"/>
          </w:tcPr>
          <w:p>
            <w:pPr>
              <w:spacing w:after="0"/>
            </w:pPr>
            <w:r/>
            <w:r>
              <w:rPr>
                <w:sz w:val="14"/>
              </w:rPr>
              <w:t>products, product_units, product_barcodes, categories, brands, units</w:t>
            </w:r>
          </w:p>
        </w:tc>
      </w:tr>
      <w:tr>
        <w:trPr>
          <w:cantSplit/>
        </w:trPr>
        <w:tc>
          <w:tcPr>
            <w:tcW w:type="dxa" w:w="648"/>
          </w:tcPr>
          <w:p>
            <w:pPr>
              <w:spacing w:after="0"/>
            </w:pPr>
            <w:r/>
            <w:r>
              <w:rPr>
                <w:sz w:val="14"/>
              </w:rPr>
              <w:t>W-03</w:t>
            </w:r>
          </w:p>
        </w:tc>
        <w:tc>
          <w:tcPr>
            <w:tcW w:type="dxa" w:w="1944"/>
          </w:tcPr>
          <w:p>
            <w:pPr>
              <w:spacing w:after="0"/>
            </w:pPr>
            <w:r/>
            <w:r>
              <w:rPr>
                <w:sz w:val="14"/>
              </w:rPr>
              <w:t>Stock-in / stock-out / adjustment</w:t>
            </w:r>
          </w:p>
        </w:tc>
        <w:tc>
          <w:tcPr>
            <w:tcW w:type="dxa" w:w="1368"/>
          </w:tcPr>
          <w:p>
            <w:pPr>
              <w:spacing w:after="0"/>
            </w:pPr>
            <w:r/>
            <w:r>
              <w:rPr>
                <w:sz w:val="14"/>
              </w:rPr>
              <w:t>inventory</w:t>
            </w:r>
          </w:p>
        </w:tc>
        <w:tc>
          <w:tcPr>
            <w:tcW w:type="dxa" w:w="3312"/>
          </w:tcPr>
          <w:p>
            <w:pPr>
              <w:spacing w:after="0"/>
            </w:pPr>
            <w:r/>
            <w:r>
              <w:rPr>
                <w:sz w:val="14"/>
              </w:rPr>
              <w:t>POST /api/v1/inventory/stock-in, /stock-out, GET /inventory/movements</w:t>
            </w:r>
          </w:p>
        </w:tc>
        <w:tc>
          <w:tcPr>
            <w:tcW w:type="dxa" w:w="2088"/>
          </w:tcPr>
          <w:p>
            <w:pPr>
              <w:spacing w:after="0"/>
            </w:pPr>
            <w:r/>
            <w:r>
              <w:rPr>
                <w:sz w:val="14"/>
              </w:rPr>
              <w:t>stocks, stock_movements</w:t>
            </w:r>
          </w:p>
        </w:tc>
      </w:tr>
      <w:tr>
        <w:trPr>
          <w:cantSplit/>
        </w:trPr>
        <w:tc>
          <w:tcPr>
            <w:tcW w:type="dxa" w:w="648"/>
          </w:tcPr>
          <w:p>
            <w:pPr>
              <w:spacing w:after="0"/>
            </w:pPr>
            <w:r/>
            <w:r>
              <w:rPr>
                <w:sz w:val="14"/>
              </w:rPr>
              <w:t>W-04</w:t>
            </w:r>
          </w:p>
        </w:tc>
        <w:tc>
          <w:tcPr>
            <w:tcW w:type="dxa" w:w="1944"/>
          </w:tcPr>
          <w:p>
            <w:pPr>
              <w:spacing w:after="0"/>
            </w:pPr>
            <w:r/>
            <w:r>
              <w:rPr>
                <w:sz w:val="14"/>
              </w:rPr>
              <w:t>Stock opname</w:t>
            </w:r>
          </w:p>
        </w:tc>
        <w:tc>
          <w:tcPr>
            <w:tcW w:type="dxa" w:w="1368"/>
          </w:tcPr>
          <w:p>
            <w:pPr>
              <w:spacing w:after="0"/>
            </w:pPr>
            <w:r/>
            <w:r>
              <w:rPr>
                <w:sz w:val="14"/>
              </w:rPr>
              <w:t>inventory</w:t>
            </w:r>
          </w:p>
        </w:tc>
        <w:tc>
          <w:tcPr>
            <w:tcW w:type="dxa" w:w="3312"/>
          </w:tcPr>
          <w:p>
            <w:pPr>
              <w:spacing w:after="0"/>
            </w:pPr>
            <w:r/>
            <w:r>
              <w:rPr>
                <w:sz w:val="14"/>
              </w:rPr>
              <w:t>POST /api/v1/inventory/opnames → finalize</w:t>
            </w:r>
          </w:p>
        </w:tc>
        <w:tc>
          <w:tcPr>
            <w:tcW w:type="dxa" w:w="2088"/>
          </w:tcPr>
          <w:p>
            <w:pPr>
              <w:spacing w:after="0"/>
            </w:pPr>
            <w:r/>
            <w:r>
              <w:rPr>
                <w:sz w:val="14"/>
              </w:rPr>
              <w:t>stock_opnames, stock_opname_items, stocks, stock_movements</w:t>
            </w:r>
          </w:p>
        </w:tc>
      </w:tr>
      <w:tr>
        <w:trPr>
          <w:cantSplit/>
        </w:trPr>
        <w:tc>
          <w:tcPr>
            <w:tcW w:type="dxa" w:w="648"/>
          </w:tcPr>
          <w:p>
            <w:pPr>
              <w:spacing w:after="0"/>
            </w:pPr>
            <w:r/>
            <w:r>
              <w:rPr>
                <w:sz w:val="14"/>
              </w:rPr>
              <w:t>W-05</w:t>
            </w:r>
          </w:p>
        </w:tc>
        <w:tc>
          <w:tcPr>
            <w:tcW w:type="dxa" w:w="1944"/>
          </w:tcPr>
          <w:p>
            <w:pPr>
              <w:spacing w:after="0"/>
            </w:pPr>
            <w:r/>
            <w:r>
              <w:rPr>
                <w:sz w:val="14"/>
              </w:rPr>
              <w:t>Inter-warehouse transfer</w:t>
            </w:r>
          </w:p>
        </w:tc>
        <w:tc>
          <w:tcPr>
            <w:tcW w:type="dxa" w:w="1368"/>
          </w:tcPr>
          <w:p>
            <w:pPr>
              <w:spacing w:after="0"/>
            </w:pPr>
            <w:r/>
            <w:r>
              <w:rPr>
                <w:sz w:val="14"/>
              </w:rPr>
              <w:t>inventory</w:t>
            </w:r>
          </w:p>
        </w:tc>
        <w:tc>
          <w:tcPr>
            <w:tcW w:type="dxa" w:w="3312"/>
          </w:tcPr>
          <w:p>
            <w:pPr>
              <w:spacing w:after="0"/>
            </w:pPr>
            <w:r/>
            <w:r>
              <w:rPr>
                <w:sz w:val="14"/>
              </w:rPr>
              <w:t>POST /api/v1/inventory/transfers → approve → send → receive</w:t>
            </w:r>
          </w:p>
        </w:tc>
        <w:tc>
          <w:tcPr>
            <w:tcW w:type="dxa" w:w="2088"/>
          </w:tcPr>
          <w:p>
            <w:pPr>
              <w:spacing w:after="0"/>
            </w:pPr>
            <w:r/>
            <w:r>
              <w:rPr>
                <w:sz w:val="14"/>
              </w:rPr>
              <w:t>stock_transfers, stock_transfer_items, stocks, stock_movements</w:t>
            </w:r>
          </w:p>
        </w:tc>
      </w:tr>
      <w:tr>
        <w:trPr>
          <w:cantSplit/>
        </w:trPr>
        <w:tc>
          <w:tcPr>
            <w:tcW w:type="dxa" w:w="648"/>
          </w:tcPr>
          <w:p>
            <w:pPr>
              <w:spacing w:after="0"/>
            </w:pPr>
            <w:r/>
            <w:r>
              <w:rPr>
                <w:sz w:val="14"/>
              </w:rPr>
              <w:t>W-06</w:t>
            </w:r>
          </w:p>
        </w:tc>
        <w:tc>
          <w:tcPr>
            <w:tcW w:type="dxa" w:w="1944"/>
          </w:tcPr>
          <w:p>
            <w:pPr>
              <w:spacing w:after="0"/>
            </w:pPr>
            <w:r/>
            <w:r>
              <w:rPr>
                <w:sz w:val="14"/>
              </w:rPr>
              <w:t>Purchase order to goods receipt</w:t>
            </w:r>
          </w:p>
        </w:tc>
        <w:tc>
          <w:tcPr>
            <w:tcW w:type="dxa" w:w="1368"/>
          </w:tcPr>
          <w:p>
            <w:pPr>
              <w:spacing w:after="0"/>
            </w:pPr>
            <w:r/>
            <w:r>
              <w:rPr>
                <w:sz w:val="14"/>
              </w:rPr>
              <w:t>purchasing</w:t>
            </w:r>
          </w:p>
        </w:tc>
        <w:tc>
          <w:tcPr>
            <w:tcW w:type="dxa" w:w="3312"/>
          </w:tcPr>
          <w:p>
            <w:pPr>
              <w:spacing w:after="0"/>
            </w:pPr>
            <w:r/>
            <w:r>
              <w:rPr>
                <w:sz w:val="14"/>
              </w:rPr>
              <w:t>POST /api/v1/purchase-orders → approve → POST /goods-receipts</w:t>
            </w:r>
          </w:p>
        </w:tc>
        <w:tc>
          <w:tcPr>
            <w:tcW w:type="dxa" w:w="2088"/>
          </w:tcPr>
          <w:p>
            <w:pPr>
              <w:spacing w:after="0"/>
            </w:pPr>
            <w:r/>
            <w:r>
              <w:rPr>
                <w:sz w:val="14"/>
              </w:rPr>
              <w:t>purchase_orders, purchase_order_items, goods_receipts, goods_receipt_items, stocks, journal_entries</w:t>
            </w:r>
          </w:p>
        </w:tc>
      </w:tr>
      <w:tr>
        <w:trPr>
          <w:cantSplit/>
        </w:trPr>
        <w:tc>
          <w:tcPr>
            <w:tcW w:type="dxa" w:w="648"/>
          </w:tcPr>
          <w:p>
            <w:pPr>
              <w:spacing w:after="0"/>
            </w:pPr>
            <w:r/>
            <w:r>
              <w:rPr>
                <w:sz w:val="14"/>
              </w:rPr>
              <w:t>W-07</w:t>
            </w:r>
          </w:p>
        </w:tc>
        <w:tc>
          <w:tcPr>
            <w:tcW w:type="dxa" w:w="1944"/>
          </w:tcPr>
          <w:p>
            <w:pPr>
              <w:spacing w:after="0"/>
            </w:pPr>
            <w:r/>
            <w:r>
              <w:rPr>
                <w:sz w:val="14"/>
              </w:rPr>
              <w:t>Supplier debt payment and voucher</w:t>
            </w:r>
          </w:p>
        </w:tc>
        <w:tc>
          <w:tcPr>
            <w:tcW w:type="dxa" w:w="1368"/>
          </w:tcPr>
          <w:p>
            <w:pPr>
              <w:spacing w:after="0"/>
            </w:pPr>
            <w:r/>
            <w:r>
              <w:rPr>
                <w:sz w:val="14"/>
              </w:rPr>
              <w:t>purchasing</w:t>
            </w:r>
          </w:p>
        </w:tc>
        <w:tc>
          <w:tcPr>
            <w:tcW w:type="dxa" w:w="3312"/>
          </w:tcPr>
          <w:p>
            <w:pPr>
              <w:spacing w:after="0"/>
            </w:pPr>
            <w:r/>
            <w:r>
              <w:rPr>
                <w:sz w:val="14"/>
              </w:rPr>
              <w:t>POST /api/v1/purchase-orders/{id}/pay, POST /api/v1/vouchers</w:t>
            </w:r>
          </w:p>
        </w:tc>
        <w:tc>
          <w:tcPr>
            <w:tcW w:type="dxa" w:w="2088"/>
          </w:tcPr>
          <w:p>
            <w:pPr>
              <w:spacing w:after="0"/>
            </w:pPr>
            <w:r/>
            <w:r>
              <w:rPr>
                <w:sz w:val="14"/>
              </w:rPr>
              <w:t>purchase_orders, payments, vouchers, cashflows</w:t>
            </w:r>
          </w:p>
        </w:tc>
      </w:tr>
      <w:tr>
        <w:trPr>
          <w:cantSplit/>
        </w:trPr>
        <w:tc>
          <w:tcPr>
            <w:tcW w:type="dxa" w:w="648"/>
          </w:tcPr>
          <w:p>
            <w:pPr>
              <w:spacing w:after="0"/>
            </w:pPr>
            <w:r/>
            <w:r>
              <w:rPr>
                <w:sz w:val="14"/>
              </w:rPr>
              <w:t>W-08</w:t>
            </w:r>
          </w:p>
        </w:tc>
        <w:tc>
          <w:tcPr>
            <w:tcW w:type="dxa" w:w="1944"/>
          </w:tcPr>
          <w:p>
            <w:pPr>
              <w:spacing w:after="0"/>
            </w:pPr>
            <w:r/>
            <w:r>
              <w:rPr>
                <w:sz w:val="14"/>
              </w:rPr>
              <w:t>Regular sales order</w:t>
            </w:r>
          </w:p>
        </w:tc>
        <w:tc>
          <w:tcPr>
            <w:tcW w:type="dxa" w:w="1368"/>
          </w:tcPr>
          <w:p>
            <w:pPr>
              <w:spacing w:after="0"/>
            </w:pPr>
            <w:r/>
            <w:r>
              <w:rPr>
                <w:sz w:val="14"/>
              </w:rPr>
              <w:t>sales</w:t>
            </w:r>
          </w:p>
        </w:tc>
        <w:tc>
          <w:tcPr>
            <w:tcW w:type="dxa" w:w="3312"/>
          </w:tcPr>
          <w:p>
            <w:pPr>
              <w:spacing w:after="0"/>
            </w:pPr>
            <w:r/>
            <w:r>
              <w:rPr>
                <w:sz w:val="14"/>
              </w:rPr>
              <w:t>POST /api/v1/sales-orders → PATCH /{id}/status confirmed → invoice → payment</w:t>
            </w:r>
          </w:p>
        </w:tc>
        <w:tc>
          <w:tcPr>
            <w:tcW w:type="dxa" w:w="2088"/>
          </w:tcPr>
          <w:p>
            <w:pPr>
              <w:spacing w:after="0"/>
            </w:pPr>
            <w:r/>
            <w:r>
              <w:rPr>
                <w:sz w:val="14"/>
              </w:rPr>
              <w:t>sales_orders, sales_order_items, stocks (reserved), invoices, payments</w:t>
            </w:r>
          </w:p>
        </w:tc>
      </w:tr>
      <w:tr>
        <w:trPr>
          <w:cantSplit/>
        </w:trPr>
        <w:tc>
          <w:tcPr>
            <w:tcW w:type="dxa" w:w="648"/>
          </w:tcPr>
          <w:p>
            <w:pPr>
              <w:spacing w:after="0"/>
            </w:pPr>
            <w:r/>
            <w:r>
              <w:rPr>
                <w:sz w:val="14"/>
              </w:rPr>
              <w:t>W-09</w:t>
            </w:r>
          </w:p>
        </w:tc>
        <w:tc>
          <w:tcPr>
            <w:tcW w:type="dxa" w:w="1944"/>
          </w:tcPr>
          <w:p>
            <w:pPr>
              <w:spacing w:after="0"/>
            </w:pPr>
            <w:r/>
            <w:r>
              <w:rPr>
                <w:sz w:val="14"/>
              </w:rPr>
              <w:t>POS checkout</w:t>
            </w:r>
          </w:p>
        </w:tc>
        <w:tc>
          <w:tcPr>
            <w:tcW w:type="dxa" w:w="1368"/>
          </w:tcPr>
          <w:p>
            <w:pPr>
              <w:spacing w:after="0"/>
            </w:pPr>
            <w:r/>
            <w:r>
              <w:rPr>
                <w:sz w:val="14"/>
              </w:rPr>
              <w:t>sales</w:t>
            </w:r>
          </w:p>
        </w:tc>
        <w:tc>
          <w:tcPr>
            <w:tcW w:type="dxa" w:w="3312"/>
          </w:tcPr>
          <w:p>
            <w:pPr>
              <w:spacing w:after="0"/>
            </w:pPr>
            <w:r/>
            <w:r>
              <w:rPr>
                <w:sz w:val="14"/>
              </w:rPr>
              <w:t>POST /api/v1/pos (Idempotency-Key mandatory)</w:t>
            </w:r>
          </w:p>
        </w:tc>
        <w:tc>
          <w:tcPr>
            <w:tcW w:type="dxa" w:w="2088"/>
          </w:tcPr>
          <w:p>
            <w:pPr>
              <w:spacing w:after="0"/>
            </w:pPr>
            <w:r/>
            <w:r>
              <w:rPr>
                <w:sz w:val="14"/>
              </w:rPr>
              <w:t>sales_orders, sales_order_items, stocks, stock_movements, invoices, payments, cashflows</w:t>
            </w:r>
          </w:p>
        </w:tc>
      </w:tr>
      <w:tr>
        <w:trPr>
          <w:cantSplit/>
        </w:trPr>
        <w:tc>
          <w:tcPr>
            <w:tcW w:type="dxa" w:w="648"/>
          </w:tcPr>
          <w:p>
            <w:pPr>
              <w:spacing w:after="0"/>
            </w:pPr>
            <w:r/>
            <w:r>
              <w:rPr>
                <w:sz w:val="14"/>
              </w:rPr>
              <w:t>W-10</w:t>
            </w:r>
          </w:p>
        </w:tc>
        <w:tc>
          <w:tcPr>
            <w:tcW w:type="dxa" w:w="1944"/>
          </w:tcPr>
          <w:p>
            <w:pPr>
              <w:spacing w:after="0"/>
            </w:pPr>
            <w:r/>
            <w:r>
              <w:rPr>
                <w:sz w:val="14"/>
              </w:rPr>
              <w:t>POS shift open / close</w:t>
            </w:r>
          </w:p>
        </w:tc>
        <w:tc>
          <w:tcPr>
            <w:tcW w:type="dxa" w:w="1368"/>
          </w:tcPr>
          <w:p>
            <w:pPr>
              <w:spacing w:after="0"/>
            </w:pPr>
            <w:r/>
            <w:r>
              <w:rPr>
                <w:sz w:val="14"/>
              </w:rPr>
              <w:t>cashier</w:t>
            </w:r>
          </w:p>
        </w:tc>
        <w:tc>
          <w:tcPr>
            <w:tcW w:type="dxa" w:w="3312"/>
          </w:tcPr>
          <w:p>
            <w:pPr>
              <w:spacing w:after="0"/>
            </w:pPr>
            <w:r/>
            <w:r>
              <w:rPr>
                <w:sz w:val="14"/>
              </w:rPr>
              <w:t>POST /api/v1/cashier/shifts → POST /cashier/shifts/{id}/close</w:t>
            </w:r>
          </w:p>
        </w:tc>
        <w:tc>
          <w:tcPr>
            <w:tcW w:type="dxa" w:w="2088"/>
          </w:tcPr>
          <w:p>
            <w:pPr>
              <w:spacing w:after="0"/>
            </w:pPr>
            <w:r/>
            <w:r>
              <w:rPr>
                <w:sz w:val="14"/>
              </w:rPr>
              <w:t>cashier_shifts, cashier_drawer_entries, sales_orders (shift_id)</w:t>
            </w:r>
          </w:p>
        </w:tc>
      </w:tr>
      <w:tr>
        <w:trPr>
          <w:cantSplit/>
        </w:trPr>
        <w:tc>
          <w:tcPr>
            <w:tcW w:type="dxa" w:w="648"/>
          </w:tcPr>
          <w:p>
            <w:pPr>
              <w:spacing w:after="0"/>
            </w:pPr>
            <w:r/>
            <w:r>
              <w:rPr>
                <w:sz w:val="14"/>
              </w:rPr>
              <w:t>W-11</w:t>
            </w:r>
          </w:p>
        </w:tc>
        <w:tc>
          <w:tcPr>
            <w:tcW w:type="dxa" w:w="1944"/>
          </w:tcPr>
          <w:p>
            <w:pPr>
              <w:spacing w:after="0"/>
            </w:pPr>
            <w:r/>
            <w:r>
              <w:rPr>
                <w:sz w:val="14"/>
              </w:rPr>
              <w:t>Sales return and refund</w:t>
            </w:r>
          </w:p>
        </w:tc>
        <w:tc>
          <w:tcPr>
            <w:tcW w:type="dxa" w:w="1368"/>
          </w:tcPr>
          <w:p>
            <w:pPr>
              <w:spacing w:after="0"/>
            </w:pPr>
            <w:r/>
            <w:r>
              <w:rPr>
                <w:sz w:val="14"/>
              </w:rPr>
              <w:t>sales</w:t>
            </w:r>
          </w:p>
        </w:tc>
        <w:tc>
          <w:tcPr>
            <w:tcW w:type="dxa" w:w="3312"/>
          </w:tcPr>
          <w:p>
            <w:pPr>
              <w:spacing w:after="0"/>
            </w:pPr>
            <w:r/>
            <w:r>
              <w:rPr>
                <w:sz w:val="14"/>
              </w:rPr>
              <w:t>POST /api/v1/returns (line-level, pro-rata refund)</w:t>
            </w:r>
          </w:p>
        </w:tc>
        <w:tc>
          <w:tcPr>
            <w:tcW w:type="dxa" w:w="2088"/>
          </w:tcPr>
          <w:p>
            <w:pPr>
              <w:spacing w:after="0"/>
            </w:pPr>
            <w:r/>
            <w:r>
              <w:rPr>
                <w:sz w:val="14"/>
              </w:rPr>
              <w:t>sales_returns, sales_return_items, stocks, stock_movements, cashier_drawer_entries</w:t>
            </w:r>
          </w:p>
        </w:tc>
      </w:tr>
      <w:tr>
        <w:trPr>
          <w:cantSplit/>
        </w:trPr>
        <w:tc>
          <w:tcPr>
            <w:tcW w:type="dxa" w:w="648"/>
          </w:tcPr>
          <w:p>
            <w:pPr>
              <w:spacing w:after="0"/>
            </w:pPr>
            <w:r/>
            <w:r>
              <w:rPr>
                <w:sz w:val="14"/>
              </w:rPr>
              <w:t>W-12</w:t>
            </w:r>
          </w:p>
        </w:tc>
        <w:tc>
          <w:tcPr>
            <w:tcW w:type="dxa" w:w="1944"/>
          </w:tcPr>
          <w:p>
            <w:pPr>
              <w:spacing w:after="0"/>
            </w:pPr>
            <w:r/>
            <w:r>
              <w:rPr>
                <w:sz w:val="14"/>
              </w:rPr>
              <w:t>Membership enrolment and tier change</w:t>
            </w:r>
          </w:p>
        </w:tc>
        <w:tc>
          <w:tcPr>
            <w:tcW w:type="dxa" w:w="1368"/>
          </w:tcPr>
          <w:p>
            <w:pPr>
              <w:spacing w:after="0"/>
            </w:pPr>
            <w:r/>
            <w:r>
              <w:rPr>
                <w:sz w:val="14"/>
              </w:rPr>
              <w:t>membership</w:t>
            </w:r>
          </w:p>
        </w:tc>
        <w:tc>
          <w:tcPr>
            <w:tcW w:type="dxa" w:w="3312"/>
          </w:tcPr>
          <w:p>
            <w:pPr>
              <w:spacing w:after="0"/>
            </w:pPr>
            <w:r/>
            <w:r>
              <w:rPr>
                <w:sz w:val="14"/>
              </w:rPr>
              <w:t>POST /api/v1/memberships, POST /memberships/{id}/tier</w:t>
            </w:r>
          </w:p>
        </w:tc>
        <w:tc>
          <w:tcPr>
            <w:tcW w:type="dxa" w:w="2088"/>
          </w:tcPr>
          <w:p>
            <w:pPr>
              <w:spacing w:after="0"/>
            </w:pPr>
            <w:r/>
            <w:r>
              <w:rPr>
                <w:sz w:val="14"/>
              </w:rPr>
              <w:t>memberships, membership_tier_history, membership_tiers</w:t>
            </w:r>
          </w:p>
        </w:tc>
      </w:tr>
      <w:tr>
        <w:trPr>
          <w:cantSplit/>
        </w:trPr>
        <w:tc>
          <w:tcPr>
            <w:tcW w:type="dxa" w:w="648"/>
          </w:tcPr>
          <w:p>
            <w:pPr>
              <w:spacing w:after="0"/>
            </w:pPr>
            <w:r/>
            <w:r>
              <w:rPr>
                <w:sz w:val="14"/>
              </w:rPr>
              <w:t>W-13</w:t>
            </w:r>
          </w:p>
        </w:tc>
        <w:tc>
          <w:tcPr>
            <w:tcW w:type="dxa" w:w="1944"/>
          </w:tcPr>
          <w:p>
            <w:pPr>
              <w:spacing w:after="0"/>
            </w:pPr>
            <w:r/>
            <w:r>
              <w:rPr>
                <w:sz w:val="14"/>
              </w:rPr>
              <w:t>B2B cart checkout</w:t>
            </w:r>
          </w:p>
        </w:tc>
        <w:tc>
          <w:tcPr>
            <w:tcW w:type="dxa" w:w="1368"/>
          </w:tcPr>
          <w:p>
            <w:pPr>
              <w:spacing w:after="0"/>
            </w:pPr>
            <w:r/>
            <w:r>
              <w:rPr>
                <w:sz w:val="14"/>
              </w:rPr>
              <w:t>cart</w:t>
            </w:r>
          </w:p>
        </w:tc>
        <w:tc>
          <w:tcPr>
            <w:tcW w:type="dxa" w:w="3312"/>
          </w:tcPr>
          <w:p>
            <w:pPr>
              <w:spacing w:after="0"/>
            </w:pPr>
            <w:r/>
            <w:r>
              <w:rPr>
                <w:sz w:val="14"/>
              </w:rPr>
              <w:t>POST /api/v1/cart/items → POST /api/v1/cart/checkout</w:t>
            </w:r>
          </w:p>
        </w:tc>
        <w:tc>
          <w:tcPr>
            <w:tcW w:type="dxa" w:w="2088"/>
          </w:tcPr>
          <w:p>
            <w:pPr>
              <w:spacing w:after="0"/>
            </w:pPr>
            <w:r/>
            <w:r>
              <w:rPr>
                <w:sz w:val="14"/>
              </w:rPr>
              <w:t>carts, cart_items, sales_orders, sales_order_items, stocks</w:t>
            </w:r>
          </w:p>
        </w:tc>
      </w:tr>
      <w:tr>
        <w:trPr>
          <w:cantSplit/>
        </w:trPr>
        <w:tc>
          <w:tcPr>
            <w:tcW w:type="dxa" w:w="648"/>
          </w:tcPr>
          <w:p>
            <w:pPr>
              <w:spacing w:after="0"/>
            </w:pPr>
            <w:r/>
            <w:r>
              <w:rPr>
                <w:sz w:val="14"/>
              </w:rPr>
              <w:t>W-14</w:t>
            </w:r>
          </w:p>
        </w:tc>
        <w:tc>
          <w:tcPr>
            <w:tcW w:type="dxa" w:w="1944"/>
          </w:tcPr>
          <w:p>
            <w:pPr>
              <w:spacing w:after="0"/>
            </w:pPr>
            <w:r/>
            <w:r>
              <w:rPr>
                <w:sz w:val="14"/>
              </w:rPr>
              <w:t>Midtrans online payment</w:t>
            </w:r>
          </w:p>
        </w:tc>
        <w:tc>
          <w:tcPr>
            <w:tcW w:type="dxa" w:w="1368"/>
          </w:tcPr>
          <w:p>
            <w:pPr>
              <w:spacing w:after="0"/>
            </w:pPr>
            <w:r/>
            <w:r>
              <w:rPr>
                <w:sz w:val="14"/>
              </w:rPr>
              <w:t>finance</w:t>
            </w:r>
          </w:p>
        </w:tc>
        <w:tc>
          <w:tcPr>
            <w:tcW w:type="dxa" w:w="3312"/>
          </w:tcPr>
          <w:p>
            <w:pPr>
              <w:spacing w:after="0"/>
            </w:pPr>
            <w:r/>
            <w:r>
              <w:rPr>
                <w:sz w:val="14"/>
              </w:rPr>
              <w:t>POST /api/v1/sales-orders/{id}/snap-token → provider → POST /api/v1/midtrans/notifications</w:t>
            </w:r>
          </w:p>
        </w:tc>
        <w:tc>
          <w:tcPr>
            <w:tcW w:type="dxa" w:w="2088"/>
          </w:tcPr>
          <w:p>
            <w:pPr>
              <w:spacing w:after="0"/>
            </w:pPr>
            <w:r/>
            <w:r>
              <w:rPr>
                <w:sz w:val="14"/>
              </w:rPr>
              <w:t>invoices, payments, sales_orders</w:t>
            </w:r>
          </w:p>
        </w:tc>
      </w:tr>
      <w:tr>
        <w:trPr>
          <w:cantSplit/>
        </w:trPr>
        <w:tc>
          <w:tcPr>
            <w:tcW w:type="dxa" w:w="648"/>
          </w:tcPr>
          <w:p>
            <w:pPr>
              <w:spacing w:after="0"/>
            </w:pPr>
            <w:r/>
            <w:r>
              <w:rPr>
                <w:sz w:val="14"/>
              </w:rPr>
              <w:t>W-15</w:t>
            </w:r>
          </w:p>
        </w:tc>
        <w:tc>
          <w:tcPr>
            <w:tcW w:type="dxa" w:w="1944"/>
          </w:tcPr>
          <w:p>
            <w:pPr>
              <w:spacing w:after="0"/>
            </w:pPr>
            <w:r/>
            <w:r>
              <w:rPr>
                <w:sz w:val="14"/>
              </w:rPr>
              <w:t>Journal entry lifecycle</w:t>
            </w:r>
          </w:p>
        </w:tc>
        <w:tc>
          <w:tcPr>
            <w:tcW w:type="dxa" w:w="1368"/>
          </w:tcPr>
          <w:p>
            <w:pPr>
              <w:spacing w:after="0"/>
            </w:pPr>
            <w:r/>
            <w:r>
              <w:rPr>
                <w:sz w:val="14"/>
              </w:rPr>
              <w:t>accounting</w:t>
            </w:r>
          </w:p>
        </w:tc>
        <w:tc>
          <w:tcPr>
            <w:tcW w:type="dxa" w:w="3312"/>
          </w:tcPr>
          <w:p>
            <w:pPr>
              <w:spacing w:after="0"/>
            </w:pPr>
            <w:r/>
            <w:r>
              <w:rPr>
                <w:sz w:val="14"/>
              </w:rPr>
              <w:t>POST /api/v1/accounting/journals → POST /{id}/post → POST /{id}/reverse</w:t>
            </w:r>
          </w:p>
        </w:tc>
        <w:tc>
          <w:tcPr>
            <w:tcW w:type="dxa" w:w="2088"/>
          </w:tcPr>
          <w:p>
            <w:pPr>
              <w:spacing w:after="0"/>
            </w:pPr>
            <w:r/>
            <w:r>
              <w:rPr>
                <w:sz w:val="14"/>
              </w:rPr>
              <w:t>journal_entries, journal_lines, accounts</w:t>
            </w:r>
          </w:p>
        </w:tc>
      </w:tr>
      <w:tr>
        <w:trPr>
          <w:cantSplit/>
        </w:trPr>
        <w:tc>
          <w:tcPr>
            <w:tcW w:type="dxa" w:w="648"/>
          </w:tcPr>
          <w:p>
            <w:pPr>
              <w:spacing w:after="0"/>
            </w:pPr>
            <w:r/>
            <w:r>
              <w:rPr>
                <w:sz w:val="14"/>
              </w:rPr>
              <w:t>W-16</w:t>
            </w:r>
          </w:p>
        </w:tc>
        <w:tc>
          <w:tcPr>
            <w:tcW w:type="dxa" w:w="1944"/>
          </w:tcPr>
          <w:p>
            <w:pPr>
              <w:spacing w:after="0"/>
            </w:pPr>
            <w:r/>
            <w:r>
              <w:rPr>
                <w:sz w:val="14"/>
              </w:rPr>
              <w:t>Cashflow entry and reversal</w:t>
            </w:r>
          </w:p>
        </w:tc>
        <w:tc>
          <w:tcPr>
            <w:tcW w:type="dxa" w:w="1368"/>
          </w:tcPr>
          <w:p>
            <w:pPr>
              <w:spacing w:after="0"/>
            </w:pPr>
            <w:r/>
            <w:r>
              <w:rPr>
                <w:sz w:val="14"/>
              </w:rPr>
              <w:t>finance</w:t>
            </w:r>
          </w:p>
        </w:tc>
        <w:tc>
          <w:tcPr>
            <w:tcW w:type="dxa" w:w="3312"/>
          </w:tcPr>
          <w:p>
            <w:pPr>
              <w:spacing w:after="0"/>
            </w:pPr>
            <w:r/>
            <w:r>
              <w:rPr>
                <w:sz w:val="14"/>
              </w:rPr>
              <w:t>POST /api/v1/cashflows → POST /{id}/reverse</w:t>
            </w:r>
          </w:p>
        </w:tc>
        <w:tc>
          <w:tcPr>
            <w:tcW w:type="dxa" w:w="2088"/>
          </w:tcPr>
          <w:p>
            <w:pPr>
              <w:spacing w:after="0"/>
            </w:pPr>
            <w:r/>
            <w:r>
              <w:rPr>
                <w:sz w:val="14"/>
              </w:rPr>
              <w:t>cashflows, accounting_periods (trigger)</w:t>
            </w:r>
          </w:p>
        </w:tc>
      </w:tr>
      <w:tr>
        <w:trPr>
          <w:cantSplit/>
        </w:trPr>
        <w:tc>
          <w:tcPr>
            <w:tcW w:type="dxa" w:w="648"/>
          </w:tcPr>
          <w:p>
            <w:pPr>
              <w:spacing w:after="0"/>
            </w:pPr>
            <w:r/>
            <w:r>
              <w:rPr>
                <w:sz w:val="14"/>
              </w:rPr>
              <w:t>W-17</w:t>
            </w:r>
          </w:p>
        </w:tc>
        <w:tc>
          <w:tcPr>
            <w:tcW w:type="dxa" w:w="1944"/>
          </w:tcPr>
          <w:p>
            <w:pPr>
              <w:spacing w:after="0"/>
            </w:pPr>
            <w:r/>
            <w:r>
              <w:rPr>
                <w:sz w:val="14"/>
              </w:rPr>
              <w:t>Delivery order and shipment</w:t>
            </w:r>
          </w:p>
        </w:tc>
        <w:tc>
          <w:tcPr>
            <w:tcW w:type="dxa" w:w="1368"/>
          </w:tcPr>
          <w:p>
            <w:pPr>
              <w:spacing w:after="0"/>
            </w:pPr>
            <w:r/>
            <w:r>
              <w:rPr>
                <w:sz w:val="14"/>
              </w:rPr>
              <w:t>distribution</w:t>
            </w:r>
          </w:p>
        </w:tc>
        <w:tc>
          <w:tcPr>
            <w:tcW w:type="dxa" w:w="3312"/>
          </w:tcPr>
          <w:p>
            <w:pPr>
              <w:spacing w:after="0"/>
            </w:pPr>
            <w:r/>
            <w:r>
              <w:rPr>
                <w:sz w:val="14"/>
              </w:rPr>
              <w:t>POST /api/v1/delivery-orders → dispatch → shipment → tracking events</w:t>
            </w:r>
          </w:p>
        </w:tc>
        <w:tc>
          <w:tcPr>
            <w:tcW w:type="dxa" w:w="2088"/>
          </w:tcPr>
          <w:p>
            <w:pPr>
              <w:spacing w:after="0"/>
            </w:pPr>
            <w:r/>
            <w:r>
              <w:rPr>
                <w:sz w:val="14"/>
              </w:rPr>
              <w:t>delivery_orders, delivery_order_items, dispatches, shipments, shipment_items, shipment_tracking_events</w:t>
            </w:r>
          </w:p>
        </w:tc>
      </w:tr>
      <w:tr>
        <w:trPr>
          <w:cantSplit/>
        </w:trPr>
        <w:tc>
          <w:tcPr>
            <w:tcW w:type="dxa" w:w="648"/>
          </w:tcPr>
          <w:p>
            <w:pPr>
              <w:spacing w:after="0"/>
            </w:pPr>
            <w:r/>
            <w:r>
              <w:rPr>
                <w:sz w:val="14"/>
              </w:rPr>
              <w:t>W-18</w:t>
            </w:r>
          </w:p>
        </w:tc>
        <w:tc>
          <w:tcPr>
            <w:tcW w:type="dxa" w:w="1944"/>
          </w:tcPr>
          <w:p>
            <w:pPr>
              <w:spacing w:after="0"/>
            </w:pPr>
            <w:r/>
            <w:r>
              <w:rPr>
                <w:sz w:val="14"/>
              </w:rPr>
              <w:t>LHPP settlement</w:t>
            </w:r>
          </w:p>
        </w:tc>
        <w:tc>
          <w:tcPr>
            <w:tcW w:type="dxa" w:w="1368"/>
          </w:tcPr>
          <w:p>
            <w:pPr>
              <w:spacing w:after="0"/>
            </w:pPr>
            <w:r/>
            <w:r>
              <w:rPr>
                <w:sz w:val="14"/>
              </w:rPr>
              <w:t>distribution</w:t>
            </w:r>
          </w:p>
        </w:tc>
        <w:tc>
          <w:tcPr>
            <w:tcW w:type="dxa" w:w="3312"/>
          </w:tcPr>
          <w:p>
            <w:pPr>
              <w:spacing w:after="0"/>
            </w:pPr>
            <w:r/>
            <w:r>
              <w:rPr>
                <w:sz w:val="14"/>
              </w:rPr>
              <w:t>POST /api/v1/lhpp → add DOs → print</w:t>
            </w:r>
          </w:p>
        </w:tc>
        <w:tc>
          <w:tcPr>
            <w:tcW w:type="dxa" w:w="2088"/>
          </w:tcPr>
          <w:p>
            <w:pPr>
              <w:spacing w:after="0"/>
            </w:pPr>
            <w:r/>
            <w:r>
              <w:rPr>
                <w:sz w:val="14"/>
              </w:rPr>
              <w:t>lhpp_groups, lhpp_group_items, lhpp_group_history, warehouse_deposits</w:t>
            </w:r>
          </w:p>
        </w:tc>
      </w:tr>
      <w:tr>
        <w:trPr>
          <w:cantSplit/>
        </w:trPr>
        <w:tc>
          <w:tcPr>
            <w:tcW w:type="dxa" w:w="648"/>
          </w:tcPr>
          <w:p>
            <w:pPr>
              <w:spacing w:after="0"/>
            </w:pPr>
            <w:r/>
            <w:r>
              <w:rPr>
                <w:sz w:val="14"/>
              </w:rPr>
              <w:t>W-19</w:t>
            </w:r>
          </w:p>
        </w:tc>
        <w:tc>
          <w:tcPr>
            <w:tcW w:type="dxa" w:w="1944"/>
          </w:tcPr>
          <w:p>
            <w:pPr>
              <w:spacing w:after="0"/>
            </w:pPr>
            <w:r/>
            <w:r>
              <w:rPr>
                <w:sz w:val="14"/>
              </w:rPr>
              <w:t>Payroll generation</w:t>
            </w:r>
          </w:p>
        </w:tc>
        <w:tc>
          <w:tcPr>
            <w:tcW w:type="dxa" w:w="1368"/>
          </w:tcPr>
          <w:p>
            <w:pPr>
              <w:spacing w:after="0"/>
            </w:pPr>
            <w:r/>
            <w:r>
              <w:rPr>
                <w:sz w:val="14"/>
              </w:rPr>
              <w:t>hr</w:t>
            </w:r>
          </w:p>
        </w:tc>
        <w:tc>
          <w:tcPr>
            <w:tcW w:type="dxa" w:w="3312"/>
          </w:tcPr>
          <w:p>
            <w:pPr>
              <w:spacing w:after="0"/>
            </w:pPr>
            <w:r/>
            <w:r>
              <w:rPr>
                <w:sz w:val="14"/>
              </w:rPr>
              <w:t>POST /api/v1/hr/payrolls → POST /{id}/approve → POST /{id}/pay</w:t>
            </w:r>
          </w:p>
        </w:tc>
        <w:tc>
          <w:tcPr>
            <w:tcW w:type="dxa" w:w="2088"/>
          </w:tcPr>
          <w:p>
            <w:pPr>
              <w:spacing w:after="0"/>
            </w:pPr>
            <w:r/>
            <w:r>
              <w:rPr>
                <w:sz w:val="14"/>
              </w:rPr>
              <w:t>payrolls, employees, journal_entries</w:t>
            </w:r>
          </w:p>
        </w:tc>
      </w:tr>
      <w:tr>
        <w:trPr>
          <w:cantSplit/>
        </w:trPr>
        <w:tc>
          <w:tcPr>
            <w:tcW w:type="dxa" w:w="648"/>
          </w:tcPr>
          <w:p>
            <w:pPr>
              <w:spacing w:after="0"/>
            </w:pPr>
            <w:r/>
            <w:r>
              <w:rPr>
                <w:sz w:val="14"/>
              </w:rPr>
              <w:t>W-20</w:t>
            </w:r>
          </w:p>
        </w:tc>
        <w:tc>
          <w:tcPr>
            <w:tcW w:type="dxa" w:w="1944"/>
          </w:tcPr>
          <w:p>
            <w:pPr>
              <w:spacing w:after="0"/>
            </w:pPr>
            <w:r/>
            <w:r>
              <w:rPr>
                <w:sz w:val="14"/>
              </w:rPr>
              <w:t>Support ticket lifecycle</w:t>
            </w:r>
          </w:p>
        </w:tc>
        <w:tc>
          <w:tcPr>
            <w:tcW w:type="dxa" w:w="1368"/>
          </w:tcPr>
          <w:p>
            <w:pPr>
              <w:spacing w:after="0"/>
            </w:pPr>
            <w:r/>
            <w:r>
              <w:rPr>
                <w:sz w:val="14"/>
              </w:rPr>
              <w:t>tickets</w:t>
            </w:r>
          </w:p>
        </w:tc>
        <w:tc>
          <w:tcPr>
            <w:tcW w:type="dxa" w:w="3312"/>
          </w:tcPr>
          <w:p>
            <w:pPr>
              <w:spacing w:after="0"/>
            </w:pPr>
            <w:r/>
            <w:r>
              <w:rPr>
                <w:sz w:val="14"/>
              </w:rPr>
              <w:t>POST /api/v1/tickets → comment → resolve</w:t>
            </w:r>
          </w:p>
        </w:tc>
        <w:tc>
          <w:tcPr>
            <w:tcW w:type="dxa" w:w="2088"/>
          </w:tcPr>
          <w:p>
            <w:pPr>
              <w:spacing w:after="0"/>
            </w:pPr>
            <w:r/>
            <w:r>
              <w:rPr>
                <w:sz w:val="14"/>
              </w:rPr>
              <w:t>tickets, ticket_comments</w:t>
            </w:r>
          </w:p>
        </w:tc>
      </w:tr>
      <w:tr>
        <w:trPr>
          <w:cantSplit/>
        </w:trPr>
        <w:tc>
          <w:tcPr>
            <w:tcW w:type="dxa" w:w="648"/>
          </w:tcPr>
          <w:p>
            <w:pPr>
              <w:spacing w:after="0"/>
            </w:pPr>
            <w:r/>
            <w:r>
              <w:rPr>
                <w:sz w:val="14"/>
              </w:rPr>
              <w:t>W-21</w:t>
            </w:r>
          </w:p>
        </w:tc>
        <w:tc>
          <w:tcPr>
            <w:tcW w:type="dxa" w:w="1944"/>
          </w:tcPr>
          <w:p>
            <w:pPr>
              <w:spacing w:after="0"/>
            </w:pPr>
            <w:r/>
            <w:r>
              <w:rPr>
                <w:sz w:val="14"/>
              </w:rPr>
              <w:t>Report rendering</w:t>
            </w:r>
          </w:p>
        </w:tc>
        <w:tc>
          <w:tcPr>
            <w:tcW w:type="dxa" w:w="1368"/>
          </w:tcPr>
          <w:p>
            <w:pPr>
              <w:spacing w:after="0"/>
            </w:pPr>
            <w:r/>
            <w:r>
              <w:rPr>
                <w:sz w:val="14"/>
              </w:rPr>
              <w:t>reports</w:t>
            </w:r>
          </w:p>
        </w:tc>
        <w:tc>
          <w:tcPr>
            <w:tcW w:type="dxa" w:w="3312"/>
          </w:tcPr>
          <w:p>
            <w:pPr>
              <w:spacing w:after="0"/>
            </w:pPr>
            <w:r/>
            <w:r>
              <w:rPr>
                <w:sz w:val="14"/>
              </w:rPr>
              <w:t>GET /api/v1/reports/render?template=… → NextReport /render</w:t>
            </w:r>
          </w:p>
        </w:tc>
        <w:tc>
          <w:tcPr>
            <w:tcW w:type="dxa" w:w="2088"/>
          </w:tcPr>
          <w:p>
            <w:pPr>
              <w:spacing w:after="0"/>
            </w:pPr>
            <w:r/>
            <w:r>
              <w:rPr>
                <w:sz w:val="14"/>
              </w:rPr>
              <w:t>report_templates (read-only)</w:t>
            </w:r>
          </w:p>
        </w:tc>
      </w:tr>
    </w:tbl>
    <w:p>
      <w:pPr>
        <w:spacing w:after="200"/>
      </w:pPr>
      <w:r>
        <w:rPr>
          <w:i/>
          <w:color w:val="555F6D"/>
          <w:sz w:val="17"/>
        </w:rPr>
        <w:t>Table 45. Workflow index (detail follows for the nine most operationally significant)</w:t>
      </w:r>
    </w:p>
    <w:p>
      <w:bookmarkStart w:id="1076" w:name="_Toc1076"/>
      <w:pPr>
        <w:pStyle w:val="Heading2"/>
      </w:pPr>
      <w:r>
        <w:t>15.1 POS checkout (W-09)</w:t>
      </w:r>
      <w:bookmarkEnd w:id="1076"/>
    </w:p>
    <w:p>
      <w:pPr>
        <w:keepNext/>
        <w:spacing w:before="80" w:after="40"/>
        <w:jc w:val="center"/>
      </w:pPr>
      <w:r>
        <w:drawing>
          <wp:inline xmlns:a="http://schemas.openxmlformats.org/drawingml/2006/main" xmlns:pic="http://schemas.openxmlformats.org/drawingml/2006/picture">
            <wp:extent cx="6035040" cy="2780378"/>
            <wp:docPr id="8" name="Picture 8"/>
            <wp:cNvGraphicFramePr>
              <a:graphicFrameLocks noChangeAspect="1"/>
            </wp:cNvGraphicFramePr>
            <a:graphic>
              <a:graphicData uri="http://schemas.openxmlformats.org/drawingml/2006/picture">
                <pic:pic>
                  <pic:nvPicPr>
                    <pic:cNvPr id="0" name="fig-pos-checkout.png"/>
                    <pic:cNvPicPr/>
                  </pic:nvPicPr>
                  <pic:blipFill>
                    <a:blip r:embed="rId18"/>
                    <a:stretch>
                      <a:fillRect/>
                    </a:stretch>
                  </pic:blipFill>
                  <pic:spPr>
                    <a:xfrm>
                      <a:off x="0" y="0"/>
                      <a:ext cx="6035040" cy="2780378"/>
                    </a:xfrm>
                    <a:prstGeom prst="rect"/>
                  </pic:spPr>
                </pic:pic>
              </a:graphicData>
            </a:graphic>
          </wp:inline>
        </w:drawing>
      </w:r>
    </w:p>
    <w:p>
      <w:pPr>
        <w:spacing w:after="40"/>
        <w:jc w:val="center"/>
      </w:pPr>
      <w:r>
        <w:rPr>
          <w:i/>
          <w:color w:val="555F6D"/>
          <w:sz w:val="17"/>
        </w:rPr>
        <w:t>Figure 8. POS checkout, verified flow. The three bands correspond to capture, the single transaction, and post-commit work.</w:t>
      </w:r>
    </w:p>
    <w:p>
      <w:pPr>
        <w:keepNext/>
        <w:spacing w:before="80" w:after="40"/>
        <w:jc w:val="center"/>
      </w:pPr>
      <w:r>
        <w:drawing>
          <wp:inline xmlns:a="http://schemas.openxmlformats.org/drawingml/2006/main" xmlns:pic="http://schemas.openxmlformats.org/drawingml/2006/picture">
            <wp:extent cx="6035040" cy="1810802"/>
            <wp:docPr id="9" name="Picture 9"/>
            <wp:cNvGraphicFramePr>
              <a:graphicFrameLocks noChangeAspect="1"/>
            </wp:cNvGraphicFramePr>
            <a:graphic>
              <a:graphicData uri="http://schemas.openxmlformats.org/drawingml/2006/picture">
                <pic:pic>
                  <pic:nvPicPr>
                    <pic:cNvPr id="0" name="fig-pos-payment.png"/>
                    <pic:cNvPicPr/>
                  </pic:nvPicPr>
                  <pic:blipFill>
                    <a:blip r:embed="rId19"/>
                    <a:stretch>
                      <a:fillRect/>
                    </a:stretch>
                  </pic:blipFill>
                  <pic:spPr>
                    <a:xfrm>
                      <a:off x="0" y="0"/>
                      <a:ext cx="6035040" cy="1810802"/>
                    </a:xfrm>
                    <a:prstGeom prst="rect"/>
                  </pic:spPr>
                </pic:pic>
              </a:graphicData>
            </a:graphic>
          </wp:inline>
        </w:drawing>
      </w:r>
    </w:p>
    <w:p>
      <w:pPr>
        <w:spacing w:after="40"/>
        <w:jc w:val="center"/>
      </w:pPr>
      <w:r>
        <w:rPr>
          <w:i/>
          <w:color w:val="555F6D"/>
          <w:sz w:val="17"/>
        </w:rPr>
        <w:t>Figure 9. Payment-method branch inside POST /api/v1/pos.</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8928" w:type="dxa"/>
      </w:tblPr>
      <w:tblGrid>
        <w:gridCol w:w="3216"/>
        <w:gridCol w:w="3216"/>
        <w:gridCol w:w="3216"/>
      </w:tblGrid>
      <w:tr>
        <w:trPr>
          <w:tblHeader w:val="true"/>
        </w:trPr>
        <w:tc>
          <w:tcPr>
            <w:tcW w:type="dxa" w:w="576"/>
            <w:shd w:val="clear" w:color="auto" w:fill="1F3A5F"/>
          </w:tcPr>
          <w:p>
            <w:pPr>
              <w:spacing w:after="0"/>
            </w:pPr>
            <w:r/>
            <w:r>
              <w:rPr>
                <w:b/>
                <w:color w:val="FFFFFF"/>
                <w:sz w:val="15"/>
              </w:rPr>
              <w:t>Step</w:t>
            </w:r>
          </w:p>
        </w:tc>
        <w:tc>
          <w:tcPr>
            <w:tcW w:type="dxa" w:w="4896"/>
            <w:shd w:val="clear" w:color="auto" w:fill="1F3A5F"/>
          </w:tcPr>
          <w:p>
            <w:pPr>
              <w:spacing w:after="0"/>
            </w:pPr>
            <w:r/>
            <w:r>
              <w:rPr>
                <w:b/>
                <w:color w:val="FFFFFF"/>
                <w:sz w:val="15"/>
              </w:rPr>
              <w:t>System action</w:t>
            </w:r>
          </w:p>
        </w:tc>
        <w:tc>
          <w:tcPr>
            <w:tcW w:type="dxa" w:w="3456"/>
            <w:shd w:val="clear" w:color="auto" w:fill="1F3A5F"/>
          </w:tcPr>
          <w:p>
            <w:pPr>
              <w:spacing w:after="0"/>
            </w:pPr>
            <w:r/>
            <w:r>
              <w:rPr>
                <w:b/>
                <w:color w:val="FFFFFF"/>
                <w:sz w:val="15"/>
              </w:rPr>
              <w:t>Failure branch</w:t>
            </w:r>
          </w:p>
        </w:tc>
      </w:tr>
      <w:tr>
        <w:trPr>
          <w:cantSplit/>
        </w:trPr>
        <w:tc>
          <w:tcPr>
            <w:tcW w:type="dxa" w:w="576"/>
          </w:tcPr>
          <w:p>
            <w:pPr>
              <w:spacing w:after="0"/>
            </w:pPr>
            <w:r/>
            <w:r>
              <w:rPr>
                <w:sz w:val="15"/>
              </w:rPr>
              <w:t>1</w:t>
            </w:r>
          </w:p>
        </w:tc>
        <w:tc>
          <w:tcPr>
            <w:tcW w:type="dxa" w:w="4896"/>
          </w:tcPr>
          <w:p>
            <w:pPr>
              <w:spacing w:after="0"/>
            </w:pPr>
            <w:r/>
            <w:r>
              <w:rPr>
                <w:sz w:val="15"/>
              </w:rPr>
              <w:t>Resolve store binding from the caller's store_users list (platform roles skip).</w:t>
            </w:r>
          </w:p>
        </w:tc>
        <w:tc>
          <w:tcPr>
            <w:tcW w:type="dxa" w:w="3456"/>
          </w:tcPr>
          <w:p>
            <w:pPr>
              <w:spacing w:after="0"/>
            </w:pPr>
            <w:r/>
            <w:r>
              <w:rPr>
                <w:sz w:val="15"/>
              </w:rPr>
              <w:t>Out-of-scope store → 404</w:t>
            </w:r>
          </w:p>
        </w:tc>
      </w:tr>
      <w:tr>
        <w:trPr>
          <w:cantSplit/>
        </w:trPr>
        <w:tc>
          <w:tcPr>
            <w:tcW w:type="dxa" w:w="576"/>
          </w:tcPr>
          <w:p>
            <w:pPr>
              <w:spacing w:after="0"/>
            </w:pPr>
            <w:r/>
            <w:r>
              <w:rPr>
                <w:sz w:val="15"/>
              </w:rPr>
              <w:t>2</w:t>
            </w:r>
          </w:p>
        </w:tc>
        <w:tc>
          <w:tcPr>
            <w:tcW w:type="dxa" w:w="4896"/>
          </w:tcPr>
          <w:p>
            <w:pPr>
              <w:spacing w:after="0"/>
            </w:pPr>
            <w:r/>
            <w:r>
              <w:rPr>
                <w:sz w:val="15"/>
              </w:rPr>
              <w:t>Map customer_id 0 to the Pelanggan Umum placeholder; only an explicit customer is priced with membership benefits.</w:t>
            </w:r>
          </w:p>
        </w:tc>
        <w:tc>
          <w:tcPr>
            <w:tcW w:type="dxa" w:w="3456"/>
          </w:tcPr>
          <w:p>
            <w:pPr>
              <w:spacing w:after="0"/>
            </w:pPr>
            <w:r/>
            <w:r>
              <w:rPr>
                <w:sz w:val="15"/>
              </w:rPr>
              <w:t>Missing customer → 400 customer is required</w:t>
            </w:r>
          </w:p>
        </w:tc>
      </w:tr>
      <w:tr>
        <w:trPr>
          <w:cantSplit/>
        </w:trPr>
        <w:tc>
          <w:tcPr>
            <w:tcW w:type="dxa" w:w="576"/>
          </w:tcPr>
          <w:p>
            <w:pPr>
              <w:spacing w:after="0"/>
            </w:pPr>
            <w:r/>
            <w:r>
              <w:rPr>
                <w:sz w:val="15"/>
              </w:rPr>
              <w:t>3</w:t>
            </w:r>
          </w:p>
        </w:tc>
        <w:tc>
          <w:tcPr>
            <w:tcW w:type="dxa" w:w="4896"/>
          </w:tcPr>
          <w:p>
            <w:pPr>
              <w:spacing w:after="0"/>
            </w:pPr>
            <w:r/>
            <w:r>
              <w:rPr>
                <w:sz w:val="15"/>
              </w:rPr>
              <w:t>Validate payment_method against cash/transfer/giro/cheque/qris/kartu.</w:t>
            </w:r>
          </w:p>
        </w:tc>
        <w:tc>
          <w:tcPr>
            <w:tcW w:type="dxa" w:w="3456"/>
          </w:tcPr>
          <w:p>
            <w:pPr>
              <w:spacing w:after="0"/>
            </w:pPr>
            <w:r/>
            <w:r>
              <w:rPr>
                <w:sz w:val="15"/>
              </w:rPr>
              <w:t>Unknown method → 400</w:t>
            </w:r>
          </w:p>
        </w:tc>
      </w:tr>
      <w:tr>
        <w:trPr>
          <w:cantSplit/>
        </w:trPr>
        <w:tc>
          <w:tcPr>
            <w:tcW w:type="dxa" w:w="576"/>
          </w:tcPr>
          <w:p>
            <w:pPr>
              <w:spacing w:after="0"/>
            </w:pPr>
            <w:r/>
            <w:r>
              <w:rPr>
                <w:sz w:val="15"/>
              </w:rPr>
              <w:t>4</w:t>
            </w:r>
          </w:p>
        </w:tc>
        <w:tc>
          <w:tcPr>
            <w:tcW w:type="dxa" w:w="4896"/>
          </w:tcPr>
          <w:p>
            <w:pPr>
              <w:spacing w:after="0"/>
            </w:pPr>
            <w:r/>
            <w:r>
              <w:rPr>
                <w:sz w:val="15"/>
              </w:rPr>
              <w:t>QRIS with no MIDTRANS_SERVER_KEY fails before any write.</w:t>
            </w:r>
          </w:p>
        </w:tc>
        <w:tc>
          <w:tcPr>
            <w:tcW w:type="dxa" w:w="3456"/>
          </w:tcPr>
          <w:p>
            <w:pPr>
              <w:spacing w:after="0"/>
            </w:pPr>
            <w:r/>
            <w:r>
              <w:rPr>
                <w:sz w:val="15"/>
              </w:rPr>
              <w:t>503 GATEWAY_DISABLED</w:t>
            </w:r>
          </w:p>
        </w:tc>
      </w:tr>
      <w:tr>
        <w:trPr>
          <w:cantSplit/>
        </w:trPr>
        <w:tc>
          <w:tcPr>
            <w:tcW w:type="dxa" w:w="576"/>
          </w:tcPr>
          <w:p>
            <w:pPr>
              <w:spacing w:after="0"/>
            </w:pPr>
            <w:r/>
            <w:r>
              <w:rPr>
                <w:sz w:val="15"/>
              </w:rPr>
              <w:t>5</w:t>
            </w:r>
          </w:p>
        </w:tc>
        <w:tc>
          <w:tcPr>
            <w:tcW w:type="dxa" w:w="4896"/>
          </w:tcPr>
          <w:p>
            <w:pPr>
              <w:spacing w:after="0"/>
            </w:pPr>
            <w:r/>
            <w:r>
              <w:rPr>
                <w:sz w:val="15"/>
              </w:rPr>
              <w:t>Resolve the authoritative price per line from product_units (client price ignored); snapshot unit, conversion, base quantity.</w:t>
            </w:r>
          </w:p>
        </w:tc>
        <w:tc>
          <w:tcPr>
            <w:tcW w:type="dxa" w:w="3456"/>
          </w:tcPr>
          <w:p>
            <w:pPr>
              <w:spacing w:after="0"/>
            </w:pPr>
            <w:r/>
            <w:r>
              <w:rPr>
                <w:sz w:val="15"/>
              </w:rPr>
              <w:t>Unknown product → 404; qty &lt; 0.001 → 400</w:t>
            </w:r>
          </w:p>
        </w:tc>
      </w:tr>
      <w:tr>
        <w:trPr>
          <w:cantSplit/>
        </w:trPr>
        <w:tc>
          <w:tcPr>
            <w:tcW w:type="dxa" w:w="576"/>
          </w:tcPr>
          <w:p>
            <w:pPr>
              <w:spacing w:after="0"/>
            </w:pPr>
            <w:r/>
            <w:r>
              <w:rPr>
                <w:sz w:val="15"/>
              </w:rPr>
              <w:t>6</w:t>
            </w:r>
          </w:p>
        </w:tc>
        <w:tc>
          <w:tcPr>
            <w:tcW w:type="dxa" w:w="4896"/>
          </w:tcPr>
          <w:p>
            <w:pPr>
              <w:spacing w:after="0"/>
            </w:pPr>
            <w:r/>
            <w:r>
              <w:rPr>
                <w:sz w:val="15"/>
              </w:rPr>
              <w:t>Apply either a voucher or a manual discount (never both); clamp the discount to subtotal+tax.</w:t>
            </w:r>
          </w:p>
        </w:tc>
        <w:tc>
          <w:tcPr>
            <w:tcW w:type="dxa" w:w="3456"/>
          </w:tcPr>
          <w:p>
            <w:pPr>
              <w:spacing w:after="0"/>
            </w:pPr>
            <w:r/>
            <w:r>
              <w:rPr>
                <w:sz w:val="15"/>
              </w:rPr>
              <w:t>Both supplied → 400; voucher unusable → 409</w:t>
            </w:r>
          </w:p>
        </w:tc>
      </w:tr>
      <w:tr>
        <w:trPr>
          <w:cantSplit/>
        </w:trPr>
        <w:tc>
          <w:tcPr>
            <w:tcW w:type="dxa" w:w="576"/>
          </w:tcPr>
          <w:p>
            <w:pPr>
              <w:spacing w:after="0"/>
            </w:pPr>
            <w:r/>
            <w:r>
              <w:rPr>
                <w:sz w:val="15"/>
              </w:rPr>
              <w:t>7</w:t>
            </w:r>
          </w:p>
        </w:tc>
        <w:tc>
          <w:tcPr>
            <w:tcW w:type="dxa" w:w="4896"/>
          </w:tcPr>
          <w:p>
            <w:pPr>
              <w:spacing w:after="0"/>
            </w:pPr>
            <w:r/>
            <w:r>
              <w:rPr>
                <w:sz w:val="15"/>
              </w:rPr>
              <w:t>Reject a cash tender below the total.</w:t>
            </w:r>
          </w:p>
        </w:tc>
        <w:tc>
          <w:tcPr>
            <w:tcW w:type="dxa" w:w="3456"/>
          </w:tcPr>
          <w:p>
            <w:pPr>
              <w:spacing w:after="0"/>
            </w:pPr>
            <w:r/>
            <w:r>
              <w:rPr>
                <w:sz w:val="15"/>
              </w:rPr>
              <w:t>400 cash_received must be ≥ total</w:t>
            </w:r>
          </w:p>
        </w:tc>
      </w:tr>
      <w:tr>
        <w:trPr>
          <w:cantSplit/>
        </w:trPr>
        <w:tc>
          <w:tcPr>
            <w:tcW w:type="dxa" w:w="576"/>
          </w:tcPr>
          <w:p>
            <w:pPr>
              <w:spacing w:after="0"/>
            </w:pPr>
            <w:r/>
            <w:r>
              <w:rPr>
                <w:sz w:val="15"/>
              </w:rPr>
              <w:t>8</w:t>
            </w:r>
          </w:p>
        </w:tc>
        <w:tc>
          <w:tcPr>
            <w:tcW w:type="dxa" w:w="4896"/>
          </w:tcPr>
          <w:p>
            <w:pPr>
              <w:spacing w:after="0"/>
            </w:pPr>
            <w:r/>
            <w:r>
              <w:rPr>
                <w:sz w:val="15"/>
              </w:rPr>
              <w:t>Allocate SO and invoice numbers from document_number_sequences inside the transaction.</w:t>
            </w:r>
          </w:p>
        </w:tc>
        <w:tc>
          <w:tcPr>
            <w:tcW w:type="dxa" w:w="3456"/>
          </w:tcPr>
          <w:p>
            <w:pPr>
              <w:spacing w:after="0"/>
            </w:pPr>
            <w:r/>
            <w:r>
              <w:rPr>
                <w:sz w:val="15"/>
              </w:rPr>
              <w:t>Sequence error → whole tx rolls back</w:t>
            </w:r>
          </w:p>
        </w:tc>
      </w:tr>
      <w:tr>
        <w:trPr>
          <w:cantSplit/>
        </w:trPr>
        <w:tc>
          <w:tcPr>
            <w:tcW w:type="dxa" w:w="576"/>
          </w:tcPr>
          <w:p>
            <w:pPr>
              <w:spacing w:after="0"/>
            </w:pPr>
            <w:r/>
            <w:r>
              <w:rPr>
                <w:sz w:val="15"/>
              </w:rPr>
              <w:t>9</w:t>
            </w:r>
          </w:p>
        </w:tc>
        <w:tc>
          <w:tcPr>
            <w:tcW w:type="dxa" w:w="4896"/>
          </w:tcPr>
          <w:p>
            <w:pPr>
              <w:spacing w:after="0"/>
            </w:pPr>
            <w:r/>
            <w:r>
              <w:rPr>
                <w:sz w:val="15"/>
              </w:rPr>
              <w:t>Insert the order, items, stock deduction (row lock) and one stock movement per line.</w:t>
            </w:r>
          </w:p>
        </w:tc>
        <w:tc>
          <w:tcPr>
            <w:tcW w:type="dxa" w:w="3456"/>
          </w:tcPr>
          <w:p>
            <w:pPr>
              <w:spacing w:after="0"/>
            </w:pPr>
            <w:r/>
            <w:r>
              <w:rPr>
                <w:sz w:val="15"/>
              </w:rPr>
              <w:t>Insufficient stock when ALLOW_NEGATIVE_STOCK=false → 409</w:t>
            </w:r>
          </w:p>
        </w:tc>
      </w:tr>
      <w:tr>
        <w:trPr>
          <w:cantSplit/>
        </w:trPr>
        <w:tc>
          <w:tcPr>
            <w:tcW w:type="dxa" w:w="576"/>
          </w:tcPr>
          <w:p>
            <w:pPr>
              <w:spacing w:after="0"/>
            </w:pPr>
            <w:r/>
            <w:r>
              <w:rPr>
                <w:sz w:val="15"/>
              </w:rPr>
              <w:t>10</w:t>
            </w:r>
          </w:p>
        </w:tc>
        <w:tc>
          <w:tcPr>
            <w:tcW w:type="dxa" w:w="4896"/>
          </w:tcPr>
          <w:p>
            <w:pPr>
              <w:spacing w:after="0"/>
            </w:pPr>
            <w:r/>
            <w:r>
              <w:rPr>
                <w:sz w:val="15"/>
              </w:rPr>
              <w:t>Insert the invoice; for a settled method insert the payment and set the order to invoiced.</w:t>
            </w:r>
          </w:p>
        </w:tc>
        <w:tc>
          <w:tcPr>
            <w:tcW w:type="dxa" w:w="3456"/>
          </w:tcPr>
          <w:p>
            <w:pPr>
              <w:spacing w:after="0"/>
            </w:pPr>
            <w:r/>
            <w:r>
              <w:rPr>
                <w:sz w:val="15"/>
              </w:rPr>
              <w:t>—</w:t>
            </w:r>
          </w:p>
        </w:tc>
      </w:tr>
      <w:tr>
        <w:trPr>
          <w:cantSplit/>
        </w:trPr>
        <w:tc>
          <w:tcPr>
            <w:tcW w:type="dxa" w:w="576"/>
          </w:tcPr>
          <w:p>
            <w:pPr>
              <w:spacing w:after="0"/>
            </w:pPr>
            <w:r/>
            <w:r>
              <w:rPr>
                <w:sz w:val="15"/>
              </w:rPr>
              <w:t>11</w:t>
            </w:r>
          </w:p>
        </w:tc>
        <w:tc>
          <w:tcPr>
            <w:tcW w:type="dxa" w:w="4896"/>
          </w:tcPr>
          <w:p>
            <w:pPr>
              <w:spacing w:after="0"/>
            </w:pPr>
            <w:r/>
            <w:r>
              <w:rPr>
                <w:sz w:val="15"/>
              </w:rPr>
              <w:t>Burn the redeemed voucher as the final write of the same transaction.</w:t>
            </w:r>
          </w:p>
        </w:tc>
        <w:tc>
          <w:tcPr>
            <w:tcW w:type="dxa" w:w="3456"/>
          </w:tcPr>
          <w:p>
            <w:pPr>
              <w:spacing w:after="0"/>
            </w:pPr>
            <w:r/>
            <w:r>
              <w:rPr>
                <w:sz w:val="15"/>
              </w:rPr>
              <w:t>—</w:t>
            </w:r>
          </w:p>
        </w:tc>
      </w:tr>
      <w:tr>
        <w:trPr>
          <w:cantSplit/>
        </w:trPr>
        <w:tc>
          <w:tcPr>
            <w:tcW w:type="dxa" w:w="576"/>
          </w:tcPr>
          <w:p>
            <w:pPr>
              <w:spacing w:after="0"/>
            </w:pPr>
            <w:r/>
            <w:r>
              <w:rPr>
                <w:sz w:val="15"/>
              </w:rPr>
              <w:t>12</w:t>
            </w:r>
          </w:p>
        </w:tc>
        <w:tc>
          <w:tcPr>
            <w:tcW w:type="dxa" w:w="4896"/>
          </w:tcPr>
          <w:p>
            <w:pPr>
              <w:spacing w:after="0"/>
            </w:pPr>
            <w:r/>
            <w:r>
              <w:rPr>
                <w:sz w:val="15"/>
              </w:rPr>
              <w:t>Commit, then (QRIS only) charge the provider with the gateway reference already persisted.</w:t>
            </w:r>
          </w:p>
        </w:tc>
        <w:tc>
          <w:tcPr>
            <w:tcW w:type="dxa" w:w="3456"/>
          </w:tcPr>
          <w:p>
            <w:pPr>
              <w:spacing w:after="0"/>
            </w:pPr>
            <w:r/>
            <w:r>
              <w:rPr>
                <w:sz w:val="15"/>
              </w:rPr>
              <w:t>Provider error → order stays unpaid; sweep reconciles</w:t>
            </w:r>
          </w:p>
        </w:tc>
      </w:tr>
    </w:tbl>
    <w:p>
      <w:pPr>
        <w:spacing w:after="200"/>
      </w:pPr>
      <w:r>
        <w:rPr>
          <w:i/>
          <w:color w:val="555F6D"/>
          <w:sz w:val="17"/>
        </w:rPr>
        <w:t>Table 46. POS checkout step trace</w:t>
      </w:r>
    </w:p>
    <w:p>
      <w:bookmarkStart w:id="1077" w:name="_Toc1077"/>
      <w:pPr>
        <w:pStyle w:val="Heading2"/>
      </w:pPr>
      <w:r>
        <w:t>15.2 Sales order lifecycle (W-08)</w:t>
      </w:r>
      <w:bookmarkEnd w:id="1077"/>
    </w:p>
    <w:p>
      <w:pPr>
        <w:keepNext/>
        <w:spacing w:before="80" w:after="40"/>
        <w:jc w:val="center"/>
      </w:pPr>
      <w:r>
        <w:drawing>
          <wp:inline xmlns:a="http://schemas.openxmlformats.org/drawingml/2006/main" xmlns:pic="http://schemas.openxmlformats.org/drawingml/2006/picture">
            <wp:extent cx="2481072" cy="6766560"/>
            <wp:docPr id="10" name="Picture 10"/>
            <wp:cNvGraphicFramePr>
              <a:graphicFrameLocks noChangeAspect="1"/>
            </wp:cNvGraphicFramePr>
            <a:graphic>
              <a:graphicData uri="http://schemas.openxmlformats.org/drawingml/2006/picture">
                <pic:pic>
                  <pic:nvPicPr>
                    <pic:cNvPr id="0" name="fig-b2b-order.png"/>
                    <pic:cNvPicPr/>
                  </pic:nvPicPr>
                  <pic:blipFill>
                    <a:blip r:embed="rId17"/>
                    <a:stretch>
                      <a:fillRect/>
                    </a:stretch>
                  </pic:blipFill>
                  <pic:spPr>
                    <a:xfrm>
                      <a:off x="0" y="0"/>
                      <a:ext cx="2481072" cy="6766560"/>
                    </a:xfrm>
                    <a:prstGeom prst="rect"/>
                  </pic:spPr>
                </pic:pic>
              </a:graphicData>
            </a:graphic>
          </wp:inline>
        </w:drawing>
      </w:r>
    </w:p>
    <w:p>
      <w:pPr>
        <w:spacing w:after="40"/>
        <w:jc w:val="center"/>
      </w:pPr>
      <w:r>
        <w:rPr>
          <w:i/>
          <w:color w:val="555F6D"/>
          <w:sz w:val="17"/>
        </w:rPr>
        <w:t>Figure 10. Order lifecycle as implemented. Draft → confirmed reserves stock for regular orders; POS and e-commerce orders deduct stock at checkout instead.</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1296"/>
            <w:shd w:val="clear" w:color="auto" w:fill="1F3A5F"/>
          </w:tcPr>
          <w:p>
            <w:pPr>
              <w:spacing w:after="0"/>
            </w:pPr>
            <w:r/>
            <w:r>
              <w:rPr>
                <w:b/>
                <w:color w:val="FFFFFF"/>
                <w:sz w:val="15"/>
              </w:rPr>
              <w:t>Transition</w:t>
            </w:r>
          </w:p>
        </w:tc>
        <w:tc>
          <w:tcPr>
            <w:tcW w:type="dxa" w:w="2880"/>
            <w:shd w:val="clear" w:color="auto" w:fill="1F3A5F"/>
          </w:tcPr>
          <w:p>
            <w:pPr>
              <w:spacing w:after="0"/>
            </w:pPr>
            <w:r/>
            <w:r>
              <w:rPr>
                <w:b/>
                <w:color w:val="FFFFFF"/>
                <w:sz w:val="15"/>
              </w:rPr>
              <w:t>Endpoint</w:t>
            </w:r>
          </w:p>
        </w:tc>
        <w:tc>
          <w:tcPr>
            <w:tcW w:type="dxa" w:w="2736"/>
            <w:shd w:val="clear" w:color="auto" w:fill="1F3A5F"/>
          </w:tcPr>
          <w:p>
            <w:pPr>
              <w:spacing w:after="0"/>
            </w:pPr>
            <w:r/>
            <w:r>
              <w:rPr>
                <w:b/>
                <w:color w:val="FFFFFF"/>
                <w:sz w:val="15"/>
              </w:rPr>
              <w:t>Precondition</w:t>
            </w:r>
          </w:p>
        </w:tc>
        <w:tc>
          <w:tcPr>
            <w:tcW w:type="dxa" w:w="2448"/>
            <w:shd w:val="clear" w:color="auto" w:fill="1F3A5F"/>
          </w:tcPr>
          <w:p>
            <w:pPr>
              <w:spacing w:after="0"/>
            </w:pPr>
            <w:r/>
            <w:r>
              <w:rPr>
                <w:b/>
                <w:color w:val="FFFFFF"/>
                <w:sz w:val="15"/>
              </w:rPr>
              <w:t>Effect</w:t>
            </w:r>
          </w:p>
        </w:tc>
      </w:tr>
      <w:tr>
        <w:trPr>
          <w:cantSplit/>
        </w:trPr>
        <w:tc>
          <w:tcPr>
            <w:tcW w:type="dxa" w:w="1296"/>
          </w:tcPr>
          <w:p>
            <w:pPr>
              <w:spacing w:after="0"/>
            </w:pPr>
            <w:r/>
            <w:r>
              <w:rPr>
                <w:sz w:val="15"/>
              </w:rPr>
              <w:t>create</w:t>
            </w:r>
          </w:p>
        </w:tc>
        <w:tc>
          <w:tcPr>
            <w:tcW w:type="dxa" w:w="2880"/>
          </w:tcPr>
          <w:p>
            <w:pPr>
              <w:spacing w:after="0"/>
            </w:pPr>
            <w:r/>
            <w:r>
              <w:rPr>
                <w:sz w:val="15"/>
              </w:rPr>
              <w:t>POST /sales-orders</w:t>
            </w:r>
          </w:p>
        </w:tc>
        <w:tc>
          <w:tcPr>
            <w:tcW w:type="dxa" w:w="2736"/>
          </w:tcPr>
          <w:p>
            <w:pPr>
              <w:spacing w:after="0"/>
            </w:pPr>
            <w:r/>
            <w:r>
              <w:rPr>
                <w:sz w:val="15"/>
              </w:rPr>
              <w:t>items ≥ 1, customer exists, tax 0-100</w:t>
            </w:r>
          </w:p>
        </w:tc>
        <w:tc>
          <w:tcPr>
            <w:tcW w:type="dxa" w:w="2448"/>
          </w:tcPr>
          <w:p>
            <w:pPr>
              <w:spacing w:after="0"/>
            </w:pPr>
            <w:r/>
            <w:r>
              <w:rPr>
                <w:sz w:val="15"/>
              </w:rPr>
              <w:t>draft (or pending_approval), stock reserved</w:t>
            </w:r>
          </w:p>
        </w:tc>
      </w:tr>
      <w:tr>
        <w:trPr>
          <w:cantSplit/>
        </w:trPr>
        <w:tc>
          <w:tcPr>
            <w:tcW w:type="dxa" w:w="1296"/>
          </w:tcPr>
          <w:p>
            <w:pPr>
              <w:spacing w:after="0"/>
            </w:pPr>
            <w:r/>
            <w:r>
              <w:rPr>
                <w:sz w:val="15"/>
              </w:rPr>
              <w:t>confirm</w:t>
            </w:r>
          </w:p>
        </w:tc>
        <w:tc>
          <w:tcPr>
            <w:tcW w:type="dxa" w:w="2880"/>
          </w:tcPr>
          <w:p>
            <w:pPr>
              <w:spacing w:after="0"/>
            </w:pPr>
            <w:r/>
            <w:r>
              <w:rPr>
                <w:sz w:val="15"/>
              </w:rPr>
              <w:t>POST /sales-orders/{id}/confirm</w:t>
            </w:r>
          </w:p>
        </w:tc>
        <w:tc>
          <w:tcPr>
            <w:tcW w:type="dxa" w:w="2736"/>
          </w:tcPr>
          <w:p>
            <w:pPr>
              <w:spacing w:after="0"/>
            </w:pPr>
            <w:r/>
            <w:r>
              <w:rPr>
                <w:sz w:val="15"/>
              </w:rPr>
              <w:t>status draft or pending_approval</w:t>
            </w:r>
          </w:p>
        </w:tc>
        <w:tc>
          <w:tcPr>
            <w:tcW w:type="dxa" w:w="2448"/>
          </w:tcPr>
          <w:p>
            <w:pPr>
              <w:spacing w:after="0"/>
            </w:pPr>
            <w:r/>
            <w:r>
              <w:rPr>
                <w:sz w:val="15"/>
              </w:rPr>
              <w:t>confirmed, approved_by/at stamped</w:t>
            </w:r>
          </w:p>
        </w:tc>
      </w:tr>
      <w:tr>
        <w:trPr>
          <w:cantSplit/>
        </w:trPr>
        <w:tc>
          <w:tcPr>
            <w:tcW w:type="dxa" w:w="1296"/>
          </w:tcPr>
          <w:p>
            <w:pPr>
              <w:spacing w:after="0"/>
            </w:pPr>
            <w:r/>
            <w:r>
              <w:rPr>
                <w:sz w:val="15"/>
              </w:rPr>
              <w:t>fulfil</w:t>
            </w:r>
          </w:p>
        </w:tc>
        <w:tc>
          <w:tcPr>
            <w:tcW w:type="dxa" w:w="2880"/>
          </w:tcPr>
          <w:p>
            <w:pPr>
              <w:spacing w:after="0"/>
            </w:pPr>
            <w:r/>
            <w:r>
              <w:rPr>
                <w:sz w:val="15"/>
              </w:rPr>
              <w:t>PATCH /sales-orders/{id}/status</w:t>
            </w:r>
          </w:p>
        </w:tc>
        <w:tc>
          <w:tcPr>
            <w:tcW w:type="dxa" w:w="2736"/>
          </w:tcPr>
          <w:p>
            <w:pPr>
              <w:spacing w:after="0"/>
            </w:pPr>
            <w:r/>
            <w:r>
              <w:rPr>
                <w:sz w:val="15"/>
              </w:rPr>
              <w:t>picking → shipped → delivered</w:t>
            </w:r>
          </w:p>
        </w:tc>
        <w:tc>
          <w:tcPr>
            <w:tcW w:type="dxa" w:w="2448"/>
          </w:tcPr>
          <w:p>
            <w:pPr>
              <w:spacing w:after="0"/>
            </w:pPr>
            <w:r/>
            <w:r>
              <w:rPr>
                <w:sz w:val="15"/>
              </w:rPr>
              <w:t>status + history row</w:t>
            </w:r>
          </w:p>
        </w:tc>
      </w:tr>
      <w:tr>
        <w:trPr>
          <w:cantSplit/>
        </w:trPr>
        <w:tc>
          <w:tcPr>
            <w:tcW w:type="dxa" w:w="1296"/>
          </w:tcPr>
          <w:p>
            <w:pPr>
              <w:spacing w:after="0"/>
            </w:pPr>
            <w:r/>
            <w:r>
              <w:rPr>
                <w:sz w:val="15"/>
              </w:rPr>
              <w:t>invoice</w:t>
            </w:r>
          </w:p>
        </w:tc>
        <w:tc>
          <w:tcPr>
            <w:tcW w:type="dxa" w:w="2880"/>
          </w:tcPr>
          <w:p>
            <w:pPr>
              <w:spacing w:after="0"/>
            </w:pPr>
            <w:r/>
            <w:r>
              <w:rPr>
                <w:sz w:val="15"/>
              </w:rPr>
              <w:t>POST /invoices</w:t>
            </w:r>
          </w:p>
        </w:tc>
        <w:tc>
          <w:tcPr>
            <w:tcW w:type="dxa" w:w="2736"/>
          </w:tcPr>
          <w:p>
            <w:pPr>
              <w:spacing w:after="0"/>
            </w:pPr>
            <w:r/>
            <w:r>
              <w:rPr>
                <w:sz w:val="15"/>
              </w:rPr>
              <w:t>confirmed or delivered</w:t>
            </w:r>
          </w:p>
        </w:tc>
        <w:tc>
          <w:tcPr>
            <w:tcW w:type="dxa" w:w="2448"/>
          </w:tcPr>
          <w:p>
            <w:pPr>
              <w:spacing w:after="0"/>
            </w:pPr>
            <w:r/>
            <w:r>
              <w:rPr>
                <w:sz w:val="15"/>
              </w:rPr>
              <w:t>invoice issued, order invoiced</w:t>
            </w:r>
          </w:p>
        </w:tc>
      </w:tr>
      <w:tr>
        <w:trPr>
          <w:cantSplit/>
        </w:trPr>
        <w:tc>
          <w:tcPr>
            <w:tcW w:type="dxa" w:w="1296"/>
          </w:tcPr>
          <w:p>
            <w:pPr>
              <w:spacing w:after="0"/>
            </w:pPr>
            <w:r/>
            <w:r>
              <w:rPr>
                <w:sz w:val="15"/>
              </w:rPr>
              <w:t>pay</w:t>
            </w:r>
          </w:p>
        </w:tc>
        <w:tc>
          <w:tcPr>
            <w:tcW w:type="dxa" w:w="2880"/>
          </w:tcPr>
          <w:p>
            <w:pPr>
              <w:spacing w:after="0"/>
            </w:pPr>
            <w:r/>
            <w:r>
              <w:rPr>
                <w:sz w:val="15"/>
              </w:rPr>
              <w:t>POST /payments</w:t>
            </w:r>
          </w:p>
        </w:tc>
        <w:tc>
          <w:tcPr>
            <w:tcW w:type="dxa" w:w="2736"/>
          </w:tcPr>
          <w:p>
            <w:pPr>
              <w:spacing w:after="0"/>
            </w:pPr>
            <w:r/>
            <w:r>
              <w:rPr>
                <w:sz w:val="15"/>
              </w:rPr>
              <w:t>amount ≤ remaining</w:t>
            </w:r>
          </w:p>
        </w:tc>
        <w:tc>
          <w:tcPr>
            <w:tcW w:type="dxa" w:w="2448"/>
          </w:tcPr>
          <w:p>
            <w:pPr>
              <w:spacing w:after="0"/>
            </w:pPr>
            <w:r/>
            <w:r>
              <w:rPr>
                <w:sz w:val="15"/>
              </w:rPr>
              <w:t>payment row, invoice + order updated</w:t>
            </w:r>
          </w:p>
        </w:tc>
      </w:tr>
      <w:tr>
        <w:trPr>
          <w:cantSplit/>
        </w:trPr>
        <w:tc>
          <w:tcPr>
            <w:tcW w:type="dxa" w:w="1296"/>
          </w:tcPr>
          <w:p>
            <w:pPr>
              <w:spacing w:after="0"/>
            </w:pPr>
            <w:r/>
            <w:r>
              <w:rPr>
                <w:sz w:val="15"/>
              </w:rPr>
              <w:t>cancel</w:t>
            </w:r>
          </w:p>
        </w:tc>
        <w:tc>
          <w:tcPr>
            <w:tcW w:type="dxa" w:w="2880"/>
          </w:tcPr>
          <w:p>
            <w:pPr>
              <w:spacing w:after="0"/>
            </w:pPr>
            <w:r/>
            <w:r>
              <w:rPr>
                <w:sz w:val="15"/>
              </w:rPr>
              <w:t>POST /sales-orders/{id}/cancel</w:t>
            </w:r>
          </w:p>
        </w:tc>
        <w:tc>
          <w:tcPr>
            <w:tcW w:type="dxa" w:w="2736"/>
          </w:tcPr>
          <w:p>
            <w:pPr>
              <w:spacing w:after="0"/>
            </w:pPr>
            <w:r/>
            <w:r>
              <w:rPr>
                <w:sz w:val="15"/>
              </w:rPr>
              <w:t>not paid (paid requires the return flow)</w:t>
            </w:r>
          </w:p>
        </w:tc>
        <w:tc>
          <w:tcPr>
            <w:tcW w:type="dxa" w:w="2448"/>
          </w:tcPr>
          <w:p>
            <w:pPr>
              <w:spacing w:after="0"/>
            </w:pPr>
            <w:r/>
            <w:r>
              <w:rPr>
                <w:sz w:val="15"/>
              </w:rPr>
              <w:t>cancelled, reservation released or stock restocked</w:t>
            </w:r>
          </w:p>
        </w:tc>
      </w:tr>
    </w:tbl>
    <w:p>
      <w:pPr>
        <w:spacing w:after="200"/>
      </w:pPr>
      <w:r>
        <w:rPr>
          <w:i/>
          <w:color w:val="555F6D"/>
          <w:sz w:val="17"/>
        </w:rPr>
        <w:t>Table 47. Sales-order state transitions</w:t>
      </w:r>
    </w:p>
    <w:p>
      <w:bookmarkStart w:id="1078" w:name="_Toc1078"/>
      <w:pPr>
        <w:pStyle w:val="Heading2"/>
      </w:pPr>
      <w:r>
        <w:t>15.3 Inventory movement (W-03, W-04, W-05)</w:t>
      </w:r>
      <w:bookmarkEnd w:id="1078"/>
    </w:p>
    <w:p>
      <w:r>
        <w:rPr>
          <w:i w:val="0"/>
        </w:rPr>
        <w:t>Every stock change goes through one of three paths, and all three write stock_movements with quantity_before and quantity_after:</w:t>
      </w:r>
    </w:p>
    <w:p>
      <w:pPr>
        <w:pStyle w:val="ListBullet"/>
      </w:pPr>
      <w:r>
        <w:t>Manual stock-in / stock-out: POST /api/v1/inventory/stock-in and /stock-out. Stock-out locks the row and rejects when the available quantity is short unless negative stock is allowed.</w:t>
      </w:r>
    </w:p>
    <w:p>
      <w:pPr>
        <w:pStyle w:val="ListBullet"/>
      </w:pPr>
      <w:r>
        <w:t>Opname: a snapshot of every stock row becomes the item list; finalising applies each difference through the same adjustment path and writes movement_type='opname'.</w:t>
      </w:r>
    </w:p>
    <w:p>
      <w:pPr>
        <w:pStyle w:val="ListBullet"/>
      </w:pPr>
      <w:r>
        <w:t>Transfer: from_warehouse → to_warehouse with requested/sent/received quantities; the receive step writes transfer_in on the destination and transfer_out on the source.</w:t>
      </w:r>
    </w:p>
    <w:p>
      <w:pPr>
        <w:spacing w:after="160"/>
        <w:ind w:left="216"/>
        <w:pBdr>
          <w:left w:val="single" w:sz="18" w:space="6" w:color="1E6B3A"/>
        </w:pBdr>
      </w:pPr>
      <w:r>
        <w:rPr>
          <w:b/>
          <w:color w:val="1E6B3A"/>
          <w:sz w:val="19"/>
        </w:rPr>
        <w:t xml:space="preserve">Ordering guarantee: </w:t>
      </w:r>
      <w:r>
        <w:rPr>
          <w:sz w:val="19"/>
        </w:rPr>
        <w:t>Transfers lock rows in a deterministic order (TestTransferLockOrder) so two opposite transfers between the same pair of warehouses cannot deadlock.</w:t>
      </w:r>
    </w:p>
    <w:p>
      <w:bookmarkStart w:id="1079" w:name="_Toc1079"/>
      <w:pPr>
        <w:pStyle w:val="Heading2"/>
      </w:pPr>
      <w:r>
        <w:t>15.4 Purchasing (W-06, W-07)</w:t>
      </w:r>
      <w:bookmarkEnd w:id="1079"/>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1584"/>
            <w:shd w:val="clear" w:color="auto" w:fill="1F3A5F"/>
          </w:tcPr>
          <w:p>
            <w:pPr>
              <w:spacing w:after="0"/>
            </w:pPr>
            <w:r/>
            <w:r>
              <w:rPr>
                <w:b/>
                <w:color w:val="FFFFFF"/>
                <w:sz w:val="16"/>
              </w:rPr>
              <w:t>Step</w:t>
            </w:r>
          </w:p>
        </w:tc>
        <w:tc>
          <w:tcPr>
            <w:tcW w:type="dxa" w:w="3456"/>
            <w:shd w:val="clear" w:color="auto" w:fill="1F3A5F"/>
          </w:tcPr>
          <w:p>
            <w:pPr>
              <w:spacing w:after="0"/>
            </w:pPr>
            <w:r/>
            <w:r>
              <w:rPr>
                <w:b/>
                <w:color w:val="FFFFFF"/>
                <w:sz w:val="16"/>
              </w:rPr>
              <w:t>Endpoint</w:t>
            </w:r>
          </w:p>
        </w:tc>
        <w:tc>
          <w:tcPr>
            <w:tcW w:type="dxa" w:w="4320"/>
            <w:shd w:val="clear" w:color="auto" w:fill="1F3A5F"/>
          </w:tcPr>
          <w:p>
            <w:pPr>
              <w:spacing w:after="0"/>
            </w:pPr>
            <w:r/>
            <w:r>
              <w:rPr>
                <w:b/>
                <w:color w:val="FFFFFF"/>
                <w:sz w:val="16"/>
              </w:rPr>
              <w:t>Effect</w:t>
            </w:r>
          </w:p>
        </w:tc>
      </w:tr>
      <w:tr>
        <w:trPr>
          <w:cantSplit/>
        </w:trPr>
        <w:tc>
          <w:tcPr>
            <w:tcW w:type="dxa" w:w="1584"/>
          </w:tcPr>
          <w:p>
            <w:pPr>
              <w:spacing w:after="0"/>
            </w:pPr>
            <w:r/>
            <w:r>
              <w:rPr>
                <w:sz w:val="16"/>
              </w:rPr>
              <w:t>Create PO</w:t>
            </w:r>
          </w:p>
        </w:tc>
        <w:tc>
          <w:tcPr>
            <w:tcW w:type="dxa" w:w="3456"/>
          </w:tcPr>
          <w:p>
            <w:pPr>
              <w:spacing w:after="0"/>
            </w:pPr>
            <w:r/>
            <w:r>
              <w:rPr>
                <w:sz w:val="16"/>
              </w:rPr>
              <w:t>POST /purchase-orders</w:t>
            </w:r>
          </w:p>
        </w:tc>
        <w:tc>
          <w:tcPr>
            <w:tcW w:type="dxa" w:w="4320"/>
          </w:tcPr>
          <w:p>
            <w:pPr>
              <w:spacing w:after="0"/>
            </w:pPr>
            <w:r/>
            <w:r>
              <w:rPr>
                <w:sz w:val="16"/>
              </w:rPr>
              <w:t>draft; totals computed from lines</w:t>
            </w:r>
          </w:p>
        </w:tc>
      </w:tr>
      <w:tr>
        <w:trPr>
          <w:cantSplit/>
        </w:trPr>
        <w:tc>
          <w:tcPr>
            <w:tcW w:type="dxa" w:w="1584"/>
          </w:tcPr>
          <w:p>
            <w:pPr>
              <w:spacing w:after="0"/>
            </w:pPr>
            <w:r/>
            <w:r>
              <w:rPr>
                <w:sz w:val="16"/>
              </w:rPr>
              <w:t>Approve</w:t>
            </w:r>
          </w:p>
        </w:tc>
        <w:tc>
          <w:tcPr>
            <w:tcW w:type="dxa" w:w="3456"/>
          </w:tcPr>
          <w:p>
            <w:pPr>
              <w:spacing w:after="0"/>
            </w:pPr>
            <w:r/>
            <w:r>
              <w:rPr>
                <w:sz w:val="16"/>
              </w:rPr>
              <w:t>POST /purchase-orders/{id}/approve</w:t>
            </w:r>
          </w:p>
        </w:tc>
        <w:tc>
          <w:tcPr>
            <w:tcW w:type="dxa" w:w="4320"/>
          </w:tcPr>
          <w:p>
            <w:pPr>
              <w:spacing w:after="0"/>
            </w:pPr>
            <w:r/>
            <w:r>
              <w:rPr>
                <w:sz w:val="16"/>
              </w:rPr>
              <w:t>draft → approved, approver stamped (segregation: 000054)</w:t>
            </w:r>
          </w:p>
        </w:tc>
      </w:tr>
      <w:tr>
        <w:trPr>
          <w:cantSplit/>
        </w:trPr>
        <w:tc>
          <w:tcPr>
            <w:tcW w:type="dxa" w:w="1584"/>
          </w:tcPr>
          <w:p>
            <w:pPr>
              <w:spacing w:after="0"/>
            </w:pPr>
            <w:r/>
            <w:r>
              <w:rPr>
                <w:sz w:val="16"/>
              </w:rPr>
              <w:t>Receive</w:t>
            </w:r>
          </w:p>
        </w:tc>
        <w:tc>
          <w:tcPr>
            <w:tcW w:type="dxa" w:w="3456"/>
          </w:tcPr>
          <w:p>
            <w:pPr>
              <w:spacing w:after="0"/>
            </w:pPr>
            <w:r/>
            <w:r>
              <w:rPr>
                <w:sz w:val="16"/>
              </w:rPr>
              <w:t>POST /goods-receipts</w:t>
            </w:r>
          </w:p>
        </w:tc>
        <w:tc>
          <w:tcPr>
            <w:tcW w:type="dxa" w:w="4320"/>
          </w:tcPr>
          <w:p>
            <w:pPr>
              <w:spacing w:after="0"/>
            </w:pPr>
            <w:r/>
            <w:r>
              <w:rPr>
                <w:sz w:val="16"/>
              </w:rPr>
              <w:t>GR + items; stock increased; PO partial or received</w:t>
            </w:r>
          </w:p>
        </w:tc>
      </w:tr>
      <w:tr>
        <w:trPr>
          <w:cantSplit/>
        </w:trPr>
        <w:tc>
          <w:tcPr>
            <w:tcW w:type="dxa" w:w="1584"/>
          </w:tcPr>
          <w:p>
            <w:pPr>
              <w:spacing w:after="0"/>
            </w:pPr>
            <w:r/>
            <w:r>
              <w:rPr>
                <w:sz w:val="16"/>
              </w:rPr>
              <w:t>Pay debt</w:t>
            </w:r>
          </w:p>
        </w:tc>
        <w:tc>
          <w:tcPr>
            <w:tcW w:type="dxa" w:w="3456"/>
          </w:tcPr>
          <w:p>
            <w:pPr>
              <w:spacing w:after="0"/>
            </w:pPr>
            <w:r/>
            <w:r>
              <w:rPr>
                <w:sz w:val="16"/>
              </w:rPr>
              <w:t>POST /purchase-orders/{id}/pay</w:t>
            </w:r>
          </w:p>
        </w:tc>
        <w:tc>
          <w:tcPr>
            <w:tcW w:type="dxa" w:w="4320"/>
          </w:tcPr>
          <w:p>
            <w:pPr>
              <w:spacing w:after="0"/>
            </w:pPr>
            <w:r/>
            <w:r>
              <w:rPr>
                <w:sz w:val="16"/>
              </w:rPr>
              <w:t>payment row + cashflow expense + PO paid/remaining</w:t>
            </w:r>
          </w:p>
        </w:tc>
      </w:tr>
      <w:tr>
        <w:trPr>
          <w:cantSplit/>
        </w:trPr>
        <w:tc>
          <w:tcPr>
            <w:tcW w:type="dxa" w:w="1584"/>
          </w:tcPr>
          <w:p>
            <w:pPr>
              <w:spacing w:after="0"/>
            </w:pPr>
            <w:r/>
            <w:r>
              <w:rPr>
                <w:sz w:val="16"/>
              </w:rPr>
              <w:t>Voucher</w:t>
            </w:r>
          </w:p>
        </w:tc>
        <w:tc>
          <w:tcPr>
            <w:tcW w:type="dxa" w:w="3456"/>
          </w:tcPr>
          <w:p>
            <w:pPr>
              <w:spacing w:after="0"/>
            </w:pPr>
            <w:r/>
            <w:r>
              <w:rPr>
                <w:sz w:val="16"/>
              </w:rPr>
              <w:t>POST /vouchers</w:t>
            </w:r>
          </w:p>
        </w:tc>
        <w:tc>
          <w:tcPr>
            <w:tcW w:type="dxa" w:w="4320"/>
          </w:tcPr>
          <w:p>
            <w:pPr>
              <w:spacing w:after="0"/>
            </w:pPr>
            <w:r/>
            <w:r>
              <w:rPr>
                <w:sz w:val="16"/>
              </w:rPr>
              <w:t>payment voucher linked to PO/supplier</w:t>
            </w:r>
          </w:p>
        </w:tc>
      </w:tr>
    </w:tbl>
    <w:p>
      <w:pPr>
        <w:spacing w:after="200"/>
      </w:pPr>
      <w:r>
        <w:rPr>
          <w:i/>
          <w:color w:val="555F6D"/>
          <w:sz w:val="17"/>
        </w:rPr>
        <w:t>Table 48. Purchasing workflow</w:t>
      </w:r>
    </w:p>
    <w:p>
      <w:bookmarkStart w:id="1080" w:name="_Toc1080"/>
      <w:pPr>
        <w:pStyle w:val="Heading2"/>
      </w:pPr>
      <w:r>
        <w:t>15.5 Finance: invoice, payment, cashflow (W-14, W-16)</w:t>
      </w:r>
      <w:bookmarkEnd w:id="1080"/>
    </w:p>
    <w:p>
      <w:r>
        <w:rPr>
          <w:i w:val="0"/>
        </w:rPr>
        <w:t>Invoices are raised from confirmed or delivered orders; payments are polymorphic (payable_type/payable_id) and update the payable's paid/remaining amounts in the same transaction. Cashflows are the cash ledger: a generated row (with a reference) is immutable, and corrections are reversing entries. A database trigger additionally refuses any cashflow write whose transaction_date falls in a locked accounting period.</w:t>
      </w:r>
    </w:p>
    <w:p>
      <w:pPr>
        <w:spacing w:after="160"/>
        <w:ind w:left="216"/>
        <w:pBdr>
          <w:left w:val="single" w:sz="18" w:space="6" w:color="1E6B3A"/>
        </w:pBdr>
      </w:pPr>
      <w:r>
        <w:rPr>
          <w:b/>
          <w:color w:val="1E6B3A"/>
          <w:sz w:val="19"/>
        </w:rPr>
        <w:t xml:space="preserve">Verified at the database: </w:t>
      </w:r>
      <w:r>
        <w:rPr>
          <w:sz w:val="19"/>
        </w:rPr>
        <w:t>The trigger raises SQLSTATE P0001 with message 'accounting_period_locked' or 'generated_cashflow_immutable'. Both messages are mapped by the service layer rather than surfaced raw.</w:t>
      </w:r>
    </w:p>
    <w:p>
      <w:bookmarkStart w:id="1081" w:name="_Toc1081"/>
      <w:pPr>
        <w:pStyle w:val="Heading2"/>
      </w:pPr>
      <w:r>
        <w:t>15.6 Accounting (W-15)</w:t>
      </w:r>
      <w:bookmarkEnd w:id="1081"/>
    </w:p>
    <w:p>
      <w:pPr>
        <w:pStyle w:val="ListNumber"/>
      </w:pPr>
      <w:r>
        <w:t>Create a journal in draft with lines referencing accounts (and optionally departments).</w:t>
      </w:r>
    </w:p>
    <w:p>
      <w:pPr>
        <w:pStyle w:val="ListNumber"/>
      </w:pPr>
      <w:r>
        <w:t>The service validates the journal type, resolves the store binding, computes totals, and allocates a journal number from the type prefix.</w:t>
      </w:r>
    </w:p>
    <w:p>
      <w:pPr>
        <w:pStyle w:val="ListNumber"/>
      </w:pPr>
      <w:r>
        <w:t>Post: locks the row, requires status draft, debit = credit and non-zero totals, then stamps posted_by/posted_at.</w:t>
      </w:r>
    </w:p>
    <w:p>
      <w:pPr>
        <w:pStyle w:val="ListNumber"/>
      </w:pPr>
      <w:r>
        <w:t>Reverse: locks the row, requires status posted, mirrors every line with debit/credit swapped, links original ↔ reversal both ways.</w:t>
      </w:r>
    </w:p>
    <w:p>
      <w:pPr>
        <w:pStyle w:val="ListNumber"/>
      </w:pPr>
      <w:r>
        <w:t>A locked accounting period blocks posting through the cashflow trigger and through period checks.</w:t>
      </w:r>
    </w:p>
    <w:p>
      <w:bookmarkStart w:id="1082" w:name="_Toc1082"/>
      <w:pPr>
        <w:pStyle w:val="Heading2"/>
      </w:pPr>
      <w:r>
        <w:t>15.7 Returns (W-11)</w:t>
      </w:r>
      <w:bookmarkEnd w:id="1082"/>
    </w:p>
    <w:p>
      <w:r>
        <w:rPr>
          <w:i w:val="0"/>
        </w:rPr>
        <w:t>A return is line-level against an existing order. The service requires the order to be delivered, invoiced or paid — or confirmed and fully paid (the POS case). Per line it refuses a quantity above the remaining unreturned quantity, computes the refund pro-rata from the immutable line snapshot, and restocks in base units using the snapshotted conversion factor. Damaged items are recorded but not restocked. A cash refund also writes a drawer cash_out entry so the shift's expected cash stays truthful.</w:t>
      </w:r>
    </w:p>
    <w:p>
      <w:bookmarkStart w:id="1083" w:name="_Toc1083"/>
      <w:pPr>
        <w:pStyle w:val="Heading2"/>
      </w:pPr>
      <w:r>
        <w:t>15.8 Distribution and LHPP (W-17, W-18)</w:t>
      </w:r>
      <w:bookmarkEnd w:id="1083"/>
    </w:p>
    <w:p>
      <w:r>
        <w:rPr>
          <w:i w:val="0"/>
        </w:rPr>
        <w:t>A delivery order is created against a sales order, then dispatched (fleet + driver), shipped (shipment with tracking number and barcode), and tracked through shipment_tracking_events. LHPP groups delivery orders per driver and date; adding or moving a DO writes lhpp_group_history with actor and reason. A driver's cash hand-over is a warehouse_deposit, optionally linked to the shift and drawer entry.</w:t>
      </w:r>
    </w:p>
    <w:p>
      <w:bookmarkStart w:id="1084" w:name="_Toc1084"/>
      <w:pPr>
        <w:pStyle w:val="Heading2"/>
      </w:pPr>
      <w:r>
        <w:t>15.9 Report generation (W-21)</w:t>
      </w:r>
      <w:bookmarkEnd w:id="1084"/>
    </w:p>
    <w:p>
      <w:pPr>
        <w:keepNext/>
        <w:spacing w:before="80" w:after="40"/>
        <w:jc w:val="center"/>
      </w:pPr>
      <w:r>
        <w:drawing>
          <wp:inline xmlns:a="http://schemas.openxmlformats.org/drawingml/2006/main" xmlns:pic="http://schemas.openxmlformats.org/drawingml/2006/picture">
            <wp:extent cx="6035040" cy="3341903"/>
            <wp:docPr id="11" name="Picture 11"/>
            <wp:cNvGraphicFramePr>
              <a:graphicFrameLocks noChangeAspect="1"/>
            </wp:cNvGraphicFramePr>
            <a:graphic>
              <a:graphicData uri="http://schemas.openxmlformats.org/drawingml/2006/picture">
                <pic:pic>
                  <pic:nvPicPr>
                    <pic:cNvPr id="0" name="fig-ci-cd.png"/>
                    <pic:cNvPicPr/>
                  </pic:nvPicPr>
                  <pic:blipFill>
                    <a:blip r:embed="rId20"/>
                    <a:stretch>
                      <a:fillRect/>
                    </a:stretch>
                  </pic:blipFill>
                  <pic:spPr>
                    <a:xfrm>
                      <a:off x="0" y="0"/>
                      <a:ext cx="6035040" cy="3341903"/>
                    </a:xfrm>
                    <a:prstGeom prst="rect"/>
                  </pic:spPr>
                </pic:pic>
              </a:graphicData>
            </a:graphic>
          </wp:inline>
        </w:drawing>
      </w:r>
    </w:p>
    <w:p>
      <w:pPr>
        <w:spacing w:after="40"/>
        <w:jc w:val="center"/>
      </w:pPr>
      <w:r>
        <w:rPr>
          <w:i/>
          <w:color w:val="555F6D"/>
          <w:sz w:val="17"/>
        </w:rPr>
        <w:t>Figure 11. Report rendering travels the same authenticated path as any other read: the backend resolves the template and its permission, shapes the data, then calls the internal NextReport service.</w:t>
      </w:r>
    </w:p>
    <w:p>
      <w:pPr>
        <w:pStyle w:val="ListNumber"/>
      </w:pPr>
      <w:r>
        <w:t>Client requests GET /api/v1/reports/render?template=&lt;code&gt;&amp;format=pdf|html&amp;&lt;params&gt;.</w:t>
      </w:r>
    </w:p>
    <w:p>
      <w:pPr>
        <w:pStyle w:val="ListNumber"/>
      </w:pPr>
      <w:r>
        <w:t>The handler resolves the active/default template row for the code (404 when none).</w:t>
      </w:r>
    </w:p>
    <w:p>
      <w:pPr>
        <w:pStyle w:val="ListNumber"/>
      </w:pPr>
      <w:r>
        <w:t>templatePerms[code] is checked against the caller; buyer-reachable templates additionally verify order/invoice ownership.</w:t>
      </w:r>
    </w:p>
    <w:p>
      <w:pPr>
        <w:pStyle w:val="ListNumber"/>
      </w:pPr>
      <w:r>
        <w:t>The owning service shapes the document data (invoice, PO, DO, GR, analytical report or slip).</w:t>
      </w:r>
    </w:p>
    <w:p>
      <w:pPr>
        <w:pStyle w:val="ListNumber"/>
      </w:pPr>
      <w:r>
        <w:t>The backend POSTs {template, data, format} to NEXTREPORT_URL/render.</w:t>
      </w:r>
    </w:p>
    <w:p>
      <w:pPr>
        <w:pStyle w:val="ListNumber"/>
      </w:pPr>
      <w:r>
        <w:t>NextReport renders HTML with the vendored engine and, for PDF, prints through Chromium.</w:t>
      </w:r>
    </w:p>
    <w:p>
      <w:pPr>
        <w:pStyle w:val="ListNumber"/>
      </w:pPr>
      <w:r>
        <w:t>The bytes stream back with the matching content type.</w:t>
      </w:r>
    </w:p>
    <w:p>
      <w:bookmarkStart w:id="1085" w:name="_Toc1085"/>
      <w:pPr>
        <w:pStyle w:val="Heading1"/>
        <w:pageBreakBefore/>
      </w:pPr>
      <w:r>
        <w:t>16. Complete database architecture</w:t>
      </w:r>
      <w:bookmarkEnd w:id="1085"/>
    </w:p>
    <w:p>
      <w:bookmarkStart w:id="1086" w:name="_Toc1086"/>
      <w:pPr>
        <w:pStyle w:val="Heading2"/>
      </w:pPr>
      <w:r>
        <w:t>16.1 Engine and topology</w:t>
      </w:r>
      <w:bookmarkEnd w:id="1086"/>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1944"/>
            <w:shd w:val="clear" w:color="auto" w:fill="1F3A5F"/>
          </w:tcPr>
          <w:p>
            <w:pPr>
              <w:spacing w:after="0"/>
            </w:pPr>
            <w:r/>
            <w:r>
              <w:rPr>
                <w:b/>
                <w:color w:val="FFFFFF"/>
                <w:sz w:val="15"/>
              </w:rPr>
              <w:t>Property</w:t>
            </w:r>
          </w:p>
        </w:tc>
        <w:tc>
          <w:tcPr>
            <w:tcW w:type="dxa" w:w="4896"/>
            <w:shd w:val="clear" w:color="auto" w:fill="1F3A5F"/>
          </w:tcPr>
          <w:p>
            <w:pPr>
              <w:spacing w:after="0"/>
            </w:pPr>
            <w:r/>
            <w:r>
              <w:rPr>
                <w:b/>
                <w:color w:val="FFFFFF"/>
                <w:sz w:val="15"/>
              </w:rPr>
              <w:t>Value</w:t>
            </w:r>
          </w:p>
        </w:tc>
        <w:tc>
          <w:tcPr>
            <w:tcW w:type="dxa" w:w="2520"/>
            <w:shd w:val="clear" w:color="auto" w:fill="1F3A5F"/>
          </w:tcPr>
          <w:p>
            <w:pPr>
              <w:spacing w:after="0"/>
            </w:pPr>
            <w:r/>
            <w:r>
              <w:rPr>
                <w:b/>
                <w:color w:val="FFFFFF"/>
                <w:sz w:val="15"/>
              </w:rPr>
              <w:t>Evidence</w:t>
            </w:r>
          </w:p>
        </w:tc>
      </w:tr>
      <w:tr>
        <w:trPr>
          <w:cantSplit/>
        </w:trPr>
        <w:tc>
          <w:tcPr>
            <w:tcW w:type="dxa" w:w="1944"/>
          </w:tcPr>
          <w:p>
            <w:pPr>
              <w:spacing w:after="0"/>
            </w:pPr>
            <w:r/>
            <w:r>
              <w:rPr>
                <w:sz w:val="15"/>
              </w:rPr>
              <w:t>Engine</w:t>
            </w:r>
          </w:p>
        </w:tc>
        <w:tc>
          <w:tcPr>
            <w:tcW w:type="dxa" w:w="4896"/>
          </w:tcPr>
          <w:p>
            <w:pPr>
              <w:spacing w:after="0"/>
            </w:pPr>
            <w:r/>
            <w:r>
              <w:rPr>
                <w:sz w:val="15"/>
              </w:rPr>
              <w:t>PostgreSQL 16 (compose.prod.yml uses postgres:16-alpine; the legacy apps/backend/docker-compose.yml uses 17-alpine — finding F-10)</w:t>
            </w:r>
          </w:p>
        </w:tc>
        <w:tc>
          <w:tcPr>
            <w:tcW w:type="dxa" w:w="2520"/>
          </w:tcPr>
          <w:p>
            <w:pPr>
              <w:spacing w:after="0"/>
            </w:pPr>
            <w:r/>
            <w:r>
              <w:rPr>
                <w:sz w:val="15"/>
              </w:rPr>
              <w:t>infra/containers/compose.prod.yml</w:t>
            </w:r>
          </w:p>
        </w:tc>
      </w:tr>
      <w:tr>
        <w:trPr>
          <w:cantSplit/>
        </w:trPr>
        <w:tc>
          <w:tcPr>
            <w:tcW w:type="dxa" w:w="1944"/>
          </w:tcPr>
          <w:p>
            <w:pPr>
              <w:spacing w:after="0"/>
            </w:pPr>
            <w:r/>
            <w:r>
              <w:rPr>
                <w:sz w:val="15"/>
              </w:rPr>
              <w:t>Database / user</w:t>
            </w:r>
          </w:p>
        </w:tc>
        <w:tc>
          <w:tcPr>
            <w:tcW w:type="dxa" w:w="4896"/>
          </w:tcPr>
          <w:p>
            <w:pPr>
              <w:spacing w:after="0"/>
            </w:pPr>
            <w:r/>
            <w:r>
              <w:rPr>
                <w:sz w:val="15"/>
              </w:rPr>
              <w:t>erp / erp by default, overridable via POSTGRES_USER/POSTGRES_DB</w:t>
            </w:r>
          </w:p>
        </w:tc>
        <w:tc>
          <w:tcPr>
            <w:tcW w:type="dxa" w:w="2520"/>
          </w:tcPr>
          <w:p>
            <w:pPr>
              <w:spacing w:after="0"/>
            </w:pPr>
            <w:r/>
            <w:r>
              <w:rPr>
                <w:sz w:val="15"/>
              </w:rPr>
              <w:t>compose + .env.example</w:t>
            </w:r>
          </w:p>
        </w:tc>
      </w:tr>
      <w:tr>
        <w:trPr>
          <w:cantSplit/>
        </w:trPr>
        <w:tc>
          <w:tcPr>
            <w:tcW w:type="dxa" w:w="1944"/>
          </w:tcPr>
          <w:p>
            <w:pPr>
              <w:spacing w:after="0"/>
            </w:pPr>
            <w:r/>
            <w:r>
              <w:rPr>
                <w:sz w:val="15"/>
              </w:rPr>
              <w:t>Schemas</w:t>
            </w:r>
          </w:p>
        </w:tc>
        <w:tc>
          <w:tcPr>
            <w:tcW w:type="dxa" w:w="4896"/>
          </w:tcPr>
          <w:p>
            <w:pPr>
              <w:spacing w:after="0"/>
            </w:pPr>
            <w:r/>
            <w:r>
              <w:rPr>
                <w:sz w:val="15"/>
              </w:rPr>
              <w:t>One schema: public. No custom schema, no search_path manipulation.</w:t>
            </w:r>
          </w:p>
        </w:tc>
        <w:tc>
          <w:tcPr>
            <w:tcW w:type="dxa" w:w="2520"/>
          </w:tcPr>
          <w:p>
            <w:pPr>
              <w:spacing w:after="0"/>
            </w:pPr>
            <w:r/>
            <w:r>
              <w:rPr>
                <w:sz w:val="15"/>
              </w:rPr>
              <w:t>Verified: information_schema lists only public</w:t>
            </w:r>
          </w:p>
        </w:tc>
      </w:tr>
      <w:tr>
        <w:trPr>
          <w:cantSplit/>
        </w:trPr>
        <w:tc>
          <w:tcPr>
            <w:tcW w:type="dxa" w:w="1944"/>
          </w:tcPr>
          <w:p>
            <w:pPr>
              <w:spacing w:after="0"/>
            </w:pPr>
            <w:r/>
            <w:r>
              <w:rPr>
                <w:sz w:val="15"/>
              </w:rPr>
              <w:t>Extensions</w:t>
            </w:r>
          </w:p>
        </w:tc>
        <w:tc>
          <w:tcPr>
            <w:tcW w:type="dxa" w:w="4896"/>
          </w:tcPr>
          <w:p>
            <w:pPr>
              <w:spacing w:after="0"/>
            </w:pPr>
            <w:r/>
            <w:r>
              <w:rPr>
                <w:sz w:val="15"/>
              </w:rPr>
              <w:t>plpgsql only</w:t>
            </w:r>
          </w:p>
        </w:tc>
        <w:tc>
          <w:tcPr>
            <w:tcW w:type="dxa" w:w="2520"/>
          </w:tcPr>
          <w:p>
            <w:pPr>
              <w:spacing w:after="0"/>
            </w:pPr>
            <w:r/>
            <w:r>
              <w:rPr>
                <w:sz w:val="15"/>
              </w:rPr>
              <w:t>pg_extension</w:t>
            </w:r>
          </w:p>
        </w:tc>
      </w:tr>
      <w:tr>
        <w:trPr>
          <w:cantSplit/>
        </w:trPr>
        <w:tc>
          <w:tcPr>
            <w:tcW w:type="dxa" w:w="1944"/>
          </w:tcPr>
          <w:p>
            <w:pPr>
              <w:spacing w:after="0"/>
            </w:pPr>
            <w:r/>
            <w:r>
              <w:rPr>
                <w:sz w:val="15"/>
              </w:rPr>
              <w:t>Connection pool</w:t>
            </w:r>
          </w:p>
        </w:tc>
        <w:tc>
          <w:tcPr>
            <w:tcW w:type="dxa" w:w="4896"/>
          </w:tcPr>
          <w:p>
            <w:pPr>
              <w:spacing w:after="0"/>
            </w:pPr>
            <w:r/>
            <w:r>
              <w:rPr>
                <w:sz w:val="15"/>
              </w:rPr>
              <w:t>MaxConns 25, MinConns 2, MaxConnLifetime 1h, MaxConnIdleTime 15m</w:t>
            </w:r>
          </w:p>
        </w:tc>
        <w:tc>
          <w:tcPr>
            <w:tcW w:type="dxa" w:w="2520"/>
          </w:tcPr>
          <w:p>
            <w:pPr>
              <w:spacing w:after="0"/>
            </w:pPr>
            <w:r/>
            <w:r>
              <w:rPr>
                <w:sz w:val="15"/>
              </w:rPr>
              <w:t>pkg/database/database.go</w:t>
            </w:r>
          </w:p>
        </w:tc>
      </w:tr>
      <w:tr>
        <w:trPr>
          <w:cantSplit/>
        </w:trPr>
        <w:tc>
          <w:tcPr>
            <w:tcW w:type="dxa" w:w="1944"/>
          </w:tcPr>
          <w:p>
            <w:pPr>
              <w:spacing w:after="0"/>
            </w:pPr>
            <w:r/>
            <w:r>
              <w:rPr>
                <w:sz w:val="15"/>
              </w:rPr>
              <w:t>Topology</w:t>
            </w:r>
          </w:p>
        </w:tc>
        <w:tc>
          <w:tcPr>
            <w:tcW w:type="dxa" w:w="4896"/>
          </w:tcPr>
          <w:p>
            <w:pPr>
              <w:spacing w:after="0"/>
            </w:pPr>
            <w:r/>
            <w:r>
              <w:rPr>
                <w:sz w:val="15"/>
              </w:rPr>
              <w:t>Single primary inside the container network; no replica, no external access</w:t>
            </w:r>
          </w:p>
        </w:tc>
        <w:tc>
          <w:tcPr>
            <w:tcW w:type="dxa" w:w="2520"/>
          </w:tcPr>
          <w:p>
            <w:pPr>
              <w:spacing w:after="0"/>
            </w:pPr>
            <w:r/>
            <w:r>
              <w:rPr>
                <w:sz w:val="15"/>
              </w:rPr>
              <w:t>compose.prod.yml (no published port)</w:t>
            </w:r>
          </w:p>
        </w:tc>
      </w:tr>
      <w:tr>
        <w:trPr>
          <w:cantSplit/>
        </w:trPr>
        <w:tc>
          <w:tcPr>
            <w:tcW w:type="dxa" w:w="1944"/>
          </w:tcPr>
          <w:p>
            <w:pPr>
              <w:spacing w:after="0"/>
            </w:pPr>
            <w:r/>
            <w:r>
              <w:rPr>
                <w:sz w:val="15"/>
              </w:rPr>
              <w:t>Migration system</w:t>
            </w:r>
          </w:p>
        </w:tc>
        <w:tc>
          <w:tcPr>
            <w:tcW w:type="dxa" w:w="4896"/>
          </w:tcPr>
          <w:p>
            <w:pPr>
              <w:spacing w:after="0"/>
            </w:pPr>
            <w:r/>
            <w:r>
              <w:rPr>
                <w:sz w:val="15"/>
              </w:rPr>
              <w:t>Custom runner (internal/dbmigrate) applying embedded migrations/*.sql, one transaction per file, tracked in schema_migrations</w:t>
            </w:r>
          </w:p>
        </w:tc>
        <w:tc>
          <w:tcPr>
            <w:tcW w:type="dxa" w:w="2520"/>
          </w:tcPr>
          <w:p>
            <w:pPr>
              <w:spacing w:after="0"/>
            </w:pPr>
            <w:r/>
            <w:r>
              <w:rPr>
                <w:sz w:val="15"/>
              </w:rPr>
              <w:t>internal/dbmigrate/dbmigrate.go</w:t>
            </w:r>
          </w:p>
        </w:tc>
      </w:tr>
      <w:tr>
        <w:trPr>
          <w:cantSplit/>
        </w:trPr>
        <w:tc>
          <w:tcPr>
            <w:tcW w:type="dxa" w:w="1944"/>
          </w:tcPr>
          <w:p>
            <w:pPr>
              <w:spacing w:after="0"/>
            </w:pPr>
            <w:r/>
            <w:r>
              <w:rPr>
                <w:sz w:val="15"/>
              </w:rPr>
              <w:t>Transaction isolation</w:t>
            </w:r>
          </w:p>
        </w:tc>
        <w:tc>
          <w:tcPr>
            <w:tcW w:type="dxa" w:w="4896"/>
          </w:tcPr>
          <w:p>
            <w:pPr>
              <w:spacing w:after="0"/>
            </w:pPr>
            <w:r/>
            <w:r>
              <w:rPr>
                <w:sz w:val="15"/>
              </w:rPr>
              <w:t>PostgreSQL default (READ COMMITTED) with explicit SELECT … FOR UPDATE on contended rows</w:t>
            </w:r>
          </w:p>
        </w:tc>
        <w:tc>
          <w:tcPr>
            <w:tcW w:type="dxa" w:w="2520"/>
          </w:tcPr>
          <w:p>
            <w:pPr>
              <w:spacing w:after="0"/>
            </w:pPr>
            <w:r/>
            <w:r>
              <w:rPr>
                <w:sz w:val="15"/>
              </w:rPr>
              <w:t>repository queries</w:t>
            </w:r>
          </w:p>
        </w:tc>
      </w:tr>
      <w:tr>
        <w:trPr>
          <w:cantSplit/>
        </w:trPr>
        <w:tc>
          <w:tcPr>
            <w:tcW w:type="dxa" w:w="1944"/>
          </w:tcPr>
          <w:p>
            <w:pPr>
              <w:spacing w:after="0"/>
            </w:pPr>
            <w:r/>
            <w:r>
              <w:rPr>
                <w:sz w:val="15"/>
              </w:rPr>
              <w:t>Seed</w:t>
            </w:r>
          </w:p>
        </w:tc>
        <w:tc>
          <w:tcPr>
            <w:tcW w:type="dxa" w:w="4896"/>
          </w:tcPr>
          <w:p>
            <w:pPr>
              <w:spacing w:after="0"/>
            </w:pPr>
            <w:r/>
            <w:r>
              <w:rPr>
                <w:sz w:val="15"/>
              </w:rPr>
              <w:t>seed.sql (bootstrap: admin, units, categories, warehouses, tiers, roles, one product) + optional seed_testdata.sql and seed_location_demo.sql</w:t>
            </w:r>
          </w:p>
        </w:tc>
        <w:tc>
          <w:tcPr>
            <w:tcW w:type="dxa" w:w="2520"/>
          </w:tcPr>
          <w:p>
            <w:pPr>
              <w:spacing w:after="0"/>
            </w:pPr>
            <w:r/>
            <w:r>
              <w:rPr>
                <w:sz w:val="15"/>
              </w:rPr>
              <w:t>apps/backend/seed.sql, apps/backend/scripts/seed.sh</w:t>
            </w:r>
          </w:p>
        </w:tc>
      </w:tr>
    </w:tbl>
    <w:p>
      <w:pPr>
        <w:spacing w:after="200"/>
      </w:pPr>
      <w:r>
        <w:rPr>
          <w:i/>
          <w:color w:val="555F6D"/>
          <w:sz w:val="17"/>
        </w:rPr>
        <w:t>Table 49. Database architecture facts</w:t>
      </w:r>
    </w:p>
    <w:p>
      <w:bookmarkStart w:id="1087" w:name="_Toc1087"/>
      <w:pPr>
        <w:pStyle w:val="Heading2"/>
      </w:pPr>
      <w:r>
        <w:t>16.2 Object census</w:t>
      </w:r>
      <w:bookmarkEnd w:id="1087"/>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304"/>
            <w:shd w:val="clear" w:color="auto" w:fill="1F3A5F"/>
          </w:tcPr>
          <w:p>
            <w:pPr>
              <w:spacing w:after="0"/>
            </w:pPr>
            <w:r/>
            <w:r>
              <w:rPr>
                <w:b/>
                <w:color w:val="FFFFFF"/>
                <w:sz w:val="16"/>
              </w:rPr>
              <w:t>Object type</w:t>
            </w:r>
          </w:p>
        </w:tc>
        <w:tc>
          <w:tcPr>
            <w:tcW w:type="dxa" w:w="1008"/>
            <w:shd w:val="clear" w:color="auto" w:fill="1F3A5F"/>
          </w:tcPr>
          <w:p>
            <w:pPr>
              <w:spacing w:after="0"/>
            </w:pPr>
            <w:r/>
            <w:r>
              <w:rPr>
                <w:b/>
                <w:color w:val="FFFFFF"/>
                <w:sz w:val="16"/>
              </w:rPr>
              <w:t>Count</w:t>
            </w:r>
          </w:p>
        </w:tc>
        <w:tc>
          <w:tcPr>
            <w:tcW w:type="dxa" w:w="6048"/>
            <w:shd w:val="clear" w:color="auto" w:fill="1F3A5F"/>
          </w:tcPr>
          <w:p>
            <w:pPr>
              <w:spacing w:after="0"/>
            </w:pPr>
            <w:r/>
            <w:r>
              <w:rPr>
                <w:b/>
                <w:color w:val="FFFFFF"/>
                <w:sz w:val="16"/>
              </w:rPr>
              <w:t>Notes</w:t>
            </w:r>
          </w:p>
        </w:tc>
      </w:tr>
      <w:tr>
        <w:trPr>
          <w:cantSplit/>
        </w:trPr>
        <w:tc>
          <w:tcPr>
            <w:tcW w:type="dxa" w:w="2304"/>
          </w:tcPr>
          <w:p>
            <w:pPr>
              <w:spacing w:after="0"/>
            </w:pPr>
            <w:r/>
            <w:r>
              <w:rPr>
                <w:sz w:val="16"/>
              </w:rPr>
              <w:t>Base tables</w:t>
            </w:r>
          </w:p>
        </w:tc>
        <w:tc>
          <w:tcPr>
            <w:tcW w:type="dxa" w:w="1008"/>
          </w:tcPr>
          <w:p>
            <w:pPr>
              <w:spacing w:after="0"/>
            </w:pPr>
            <w:r/>
            <w:r>
              <w:rPr>
                <w:sz w:val="16"/>
              </w:rPr>
              <w:t>92</w:t>
            </w:r>
          </w:p>
        </w:tc>
        <w:tc>
          <w:tcPr>
            <w:tcW w:type="dxa" w:w="6048"/>
          </w:tcPr>
          <w:p>
            <w:pPr>
              <w:spacing w:after="0"/>
            </w:pPr>
            <w:r/>
            <w:r>
              <w:rPr>
                <w:sz w:val="16"/>
              </w:rPr>
              <w:t>91 from the migrations + schema_migrations created by the runner; includes 8 framework tables</w:t>
            </w:r>
          </w:p>
        </w:tc>
      </w:tr>
      <w:tr>
        <w:trPr>
          <w:cantSplit/>
        </w:trPr>
        <w:tc>
          <w:tcPr>
            <w:tcW w:type="dxa" w:w="2304"/>
          </w:tcPr>
          <w:p>
            <w:pPr>
              <w:spacing w:after="0"/>
            </w:pPr>
            <w:r/>
            <w:r>
              <w:rPr>
                <w:sz w:val="16"/>
              </w:rPr>
              <w:t>Columns</w:t>
            </w:r>
          </w:p>
        </w:tc>
        <w:tc>
          <w:tcPr>
            <w:tcW w:type="dxa" w:w="1008"/>
          </w:tcPr>
          <w:p>
            <w:pPr>
              <w:spacing w:after="0"/>
            </w:pPr>
            <w:r/>
            <w:r>
              <w:rPr>
                <w:sz w:val="16"/>
              </w:rPr>
              <w:t>1031</w:t>
            </w:r>
          </w:p>
        </w:tc>
        <w:tc>
          <w:tcPr>
            <w:tcW w:type="dxa" w:w="6048"/>
          </w:tcPr>
          <w:p>
            <w:pPr>
              <w:spacing w:after="0"/>
            </w:pPr>
            <w:r/>
            <w:r>
              <w:rPr>
                <w:sz w:val="16"/>
              </w:rPr>
              <w:t>Every column is listed in chapter 18</w:t>
            </w:r>
          </w:p>
        </w:tc>
      </w:tr>
      <w:tr>
        <w:trPr>
          <w:cantSplit/>
        </w:trPr>
        <w:tc>
          <w:tcPr>
            <w:tcW w:type="dxa" w:w="2304"/>
          </w:tcPr>
          <w:p>
            <w:pPr>
              <w:spacing w:after="0"/>
            </w:pPr>
            <w:r/>
            <w:r>
              <w:rPr>
                <w:sz w:val="16"/>
              </w:rPr>
              <w:t>Primary keys</w:t>
            </w:r>
          </w:p>
        </w:tc>
        <w:tc>
          <w:tcPr>
            <w:tcW w:type="dxa" w:w="1008"/>
          </w:tcPr>
          <w:p>
            <w:pPr>
              <w:spacing w:after="0"/>
            </w:pPr>
            <w:r/>
            <w:r>
              <w:rPr>
                <w:sz w:val="16"/>
              </w:rPr>
              <w:t>91</w:t>
            </w:r>
          </w:p>
        </w:tc>
        <w:tc>
          <w:tcPr>
            <w:tcW w:type="dxa" w:w="6048"/>
          </w:tcPr>
          <w:p>
            <w:pPr>
              <w:spacing w:after="0"/>
            </w:pPr>
            <w:r/>
            <w:r>
              <w:rPr>
                <w:sz w:val="16"/>
              </w:rPr>
              <w:t>One per table</w:t>
            </w:r>
          </w:p>
        </w:tc>
      </w:tr>
      <w:tr>
        <w:trPr>
          <w:cantSplit/>
        </w:trPr>
        <w:tc>
          <w:tcPr>
            <w:tcW w:type="dxa" w:w="2304"/>
          </w:tcPr>
          <w:p>
            <w:pPr>
              <w:spacing w:after="0"/>
            </w:pPr>
            <w:r/>
            <w:r>
              <w:rPr>
                <w:sz w:val="16"/>
              </w:rPr>
              <w:t>Foreign keys</w:t>
            </w:r>
          </w:p>
        </w:tc>
        <w:tc>
          <w:tcPr>
            <w:tcW w:type="dxa" w:w="1008"/>
          </w:tcPr>
          <w:p>
            <w:pPr>
              <w:spacing w:after="0"/>
            </w:pPr>
            <w:r/>
            <w:r>
              <w:rPr>
                <w:sz w:val="16"/>
              </w:rPr>
              <w:t>181</w:t>
            </w:r>
          </w:p>
        </w:tc>
        <w:tc>
          <w:tcPr>
            <w:tcW w:type="dxa" w:w="6048"/>
          </w:tcPr>
          <w:p>
            <w:pPr>
              <w:spacing w:after="0"/>
            </w:pPr>
            <w:r/>
            <w:r>
              <w:rPr>
                <w:sz w:val="16"/>
              </w:rPr>
              <w:t>63 reference users; 14 products; 12 employees; 12 warehouses</w:t>
            </w:r>
          </w:p>
        </w:tc>
      </w:tr>
      <w:tr>
        <w:trPr>
          <w:cantSplit/>
        </w:trPr>
        <w:tc>
          <w:tcPr>
            <w:tcW w:type="dxa" w:w="2304"/>
          </w:tcPr>
          <w:p>
            <w:pPr>
              <w:spacing w:after="0"/>
            </w:pPr>
            <w:r/>
            <w:r>
              <w:rPr>
                <w:sz w:val="16"/>
              </w:rPr>
              <w:t>Unique constraints</w:t>
            </w:r>
          </w:p>
        </w:tc>
        <w:tc>
          <w:tcPr>
            <w:tcW w:type="dxa" w:w="1008"/>
          </w:tcPr>
          <w:p>
            <w:pPr>
              <w:spacing w:after="0"/>
            </w:pPr>
            <w:r/>
            <w:r>
              <w:rPr>
                <w:sz w:val="16"/>
              </w:rPr>
              <w:t>56</w:t>
            </w:r>
          </w:p>
        </w:tc>
        <w:tc>
          <w:tcPr>
            <w:tcW w:type="dxa" w:w="6048"/>
          </w:tcPr>
          <w:p>
            <w:pPr>
              <w:spacing w:after="0"/>
            </w:pPr>
            <w:r/>
            <w:r>
              <w:rPr>
                <w:sz w:val="16"/>
              </w:rPr>
              <w:t>Document numbers, (product, warehouse), (employee, period), (store, user)</w:t>
            </w:r>
          </w:p>
        </w:tc>
      </w:tr>
      <w:tr>
        <w:trPr>
          <w:cantSplit/>
        </w:trPr>
        <w:tc>
          <w:tcPr>
            <w:tcW w:type="dxa" w:w="2304"/>
          </w:tcPr>
          <w:p>
            <w:pPr>
              <w:spacing w:after="0"/>
            </w:pPr>
            <w:r/>
            <w:r>
              <w:rPr>
                <w:sz w:val="16"/>
              </w:rPr>
              <w:t>Check constraints</w:t>
            </w:r>
          </w:p>
        </w:tc>
        <w:tc>
          <w:tcPr>
            <w:tcW w:type="dxa" w:w="1008"/>
          </w:tcPr>
          <w:p>
            <w:pPr>
              <w:spacing w:after="0"/>
            </w:pPr>
            <w:r/>
            <w:r>
              <w:rPr>
                <w:sz w:val="16"/>
              </w:rPr>
              <w:t>112</w:t>
            </w:r>
          </w:p>
        </w:tc>
        <w:tc>
          <w:tcPr>
            <w:tcW w:type="dxa" w:w="6048"/>
          </w:tcPr>
          <w:p>
            <w:pPr>
              <w:spacing w:after="0"/>
            </w:pPr>
            <w:r/>
            <w:r>
              <w:rPr>
                <w:sz w:val="16"/>
              </w:rPr>
              <w:t>Status/type vocabularies and numeric guards</w:t>
            </w:r>
          </w:p>
        </w:tc>
      </w:tr>
      <w:tr>
        <w:trPr>
          <w:cantSplit/>
        </w:trPr>
        <w:tc>
          <w:tcPr>
            <w:tcW w:type="dxa" w:w="2304"/>
          </w:tcPr>
          <w:p>
            <w:pPr>
              <w:spacing w:after="0"/>
            </w:pPr>
            <w:r/>
            <w:r>
              <w:rPr>
                <w:sz w:val="16"/>
              </w:rPr>
              <w:t>Indexes</w:t>
            </w:r>
          </w:p>
        </w:tc>
        <w:tc>
          <w:tcPr>
            <w:tcW w:type="dxa" w:w="1008"/>
          </w:tcPr>
          <w:p>
            <w:pPr>
              <w:spacing w:after="0"/>
            </w:pPr>
            <w:r/>
            <w:r>
              <w:rPr>
                <w:sz w:val="16"/>
              </w:rPr>
              <w:t>269</w:t>
            </w:r>
          </w:p>
        </w:tc>
        <w:tc>
          <w:tcPr>
            <w:tcW w:type="dxa" w:w="6048"/>
          </w:tcPr>
          <w:p>
            <w:pPr>
              <w:spacing w:after="0"/>
            </w:pPr>
            <w:r/>
            <w:r>
              <w:rPr>
                <w:sz w:val="16"/>
              </w:rPr>
              <w:t>268 secondary + primary keys; includes 13 unique indexes</w:t>
            </w:r>
          </w:p>
        </w:tc>
      </w:tr>
      <w:tr>
        <w:trPr>
          <w:cantSplit/>
        </w:trPr>
        <w:tc>
          <w:tcPr>
            <w:tcW w:type="dxa" w:w="2304"/>
          </w:tcPr>
          <w:p>
            <w:pPr>
              <w:spacing w:after="0"/>
            </w:pPr>
            <w:r/>
            <w:r>
              <w:rPr>
                <w:sz w:val="16"/>
              </w:rPr>
              <w:t>Sequences</w:t>
            </w:r>
          </w:p>
        </w:tc>
        <w:tc>
          <w:tcPr>
            <w:tcW w:type="dxa" w:w="1008"/>
          </w:tcPr>
          <w:p>
            <w:pPr>
              <w:spacing w:after="0"/>
            </w:pPr>
            <w:r/>
            <w:r>
              <w:rPr>
                <w:sz w:val="16"/>
              </w:rPr>
              <w:t>82</w:t>
            </w:r>
          </w:p>
        </w:tc>
        <w:tc>
          <w:tcPr>
            <w:tcW w:type="dxa" w:w="6048"/>
          </w:tcPr>
          <w:p>
            <w:pPr>
              <w:spacing w:after="0"/>
            </w:pPr>
            <w:r/>
            <w:r>
              <w:rPr>
                <w:sz w:val="16"/>
              </w:rPr>
              <w:t>BIGSERIAL identity sequences (not document numbers)</w:t>
            </w:r>
          </w:p>
        </w:tc>
      </w:tr>
      <w:tr>
        <w:trPr>
          <w:cantSplit/>
        </w:trPr>
        <w:tc>
          <w:tcPr>
            <w:tcW w:type="dxa" w:w="2304"/>
          </w:tcPr>
          <w:p>
            <w:pPr>
              <w:spacing w:after="0"/>
            </w:pPr>
            <w:r/>
            <w:r>
              <w:rPr>
                <w:sz w:val="16"/>
              </w:rPr>
              <w:t>Functions</w:t>
            </w:r>
          </w:p>
        </w:tc>
        <w:tc>
          <w:tcPr>
            <w:tcW w:type="dxa" w:w="1008"/>
          </w:tcPr>
          <w:p>
            <w:pPr>
              <w:spacing w:after="0"/>
            </w:pPr>
            <w:r/>
            <w:r>
              <w:rPr>
                <w:sz w:val="16"/>
              </w:rPr>
              <w:t>2</w:t>
            </w:r>
          </w:p>
        </w:tc>
        <w:tc>
          <w:tcPr>
            <w:tcW w:type="dxa" w:w="6048"/>
          </w:tcPr>
          <w:p>
            <w:pPr>
              <w:spacing w:after="0"/>
            </w:pPr>
            <w:r/>
            <w:r>
              <w:rPr>
                <w:sz w:val="16"/>
              </w:rPr>
              <w:t>enforce_cashflow_contract, sales_order_items_snapshot_guard</w:t>
            </w:r>
          </w:p>
        </w:tc>
      </w:tr>
      <w:tr>
        <w:trPr>
          <w:cantSplit/>
        </w:trPr>
        <w:tc>
          <w:tcPr>
            <w:tcW w:type="dxa" w:w="2304"/>
          </w:tcPr>
          <w:p>
            <w:pPr>
              <w:spacing w:after="0"/>
            </w:pPr>
            <w:r/>
            <w:r>
              <w:rPr>
                <w:sz w:val="16"/>
              </w:rPr>
              <w:t>Triggers</w:t>
            </w:r>
          </w:p>
        </w:tc>
        <w:tc>
          <w:tcPr>
            <w:tcW w:type="dxa" w:w="1008"/>
          </w:tcPr>
          <w:p>
            <w:pPr>
              <w:spacing w:after="0"/>
            </w:pPr>
            <w:r/>
            <w:r>
              <w:rPr>
                <w:sz w:val="16"/>
              </w:rPr>
              <w:t>2</w:t>
            </w:r>
          </w:p>
        </w:tc>
        <w:tc>
          <w:tcPr>
            <w:tcW w:type="dxa" w:w="6048"/>
          </w:tcPr>
          <w:p>
            <w:pPr>
              <w:spacing w:after="0"/>
            </w:pPr>
            <w:r/>
            <w:r>
              <w:rPr>
                <w:sz w:val="16"/>
              </w:rPr>
              <w:t>cashflows_contract_guard (BEFORE INSERT/UPDATE/DELETE), sales_order_items_snapshot_immutable (BEFORE UPDATE)</w:t>
            </w:r>
          </w:p>
        </w:tc>
      </w:tr>
      <w:tr>
        <w:trPr>
          <w:cantSplit/>
        </w:trPr>
        <w:tc>
          <w:tcPr>
            <w:tcW w:type="dxa" w:w="2304"/>
          </w:tcPr>
          <w:p>
            <w:pPr>
              <w:spacing w:after="0"/>
            </w:pPr>
            <w:r/>
            <w:r>
              <w:rPr>
                <w:sz w:val="16"/>
              </w:rPr>
              <w:t>Views / materialized views</w:t>
            </w:r>
          </w:p>
        </w:tc>
        <w:tc>
          <w:tcPr>
            <w:tcW w:type="dxa" w:w="1008"/>
          </w:tcPr>
          <w:p>
            <w:pPr>
              <w:spacing w:after="0"/>
            </w:pPr>
            <w:r/>
            <w:r>
              <w:rPr>
                <w:sz w:val="16"/>
              </w:rPr>
              <w:t>0</w:t>
            </w:r>
          </w:p>
        </w:tc>
        <w:tc>
          <w:tcPr>
            <w:tcW w:type="dxa" w:w="6048"/>
          </w:tcPr>
          <w:p>
            <w:pPr>
              <w:spacing w:after="0"/>
            </w:pPr>
            <w:r/>
            <w:r>
              <w:rPr>
                <w:sz w:val="16"/>
              </w:rPr>
              <w:t>No view objects exist; 'views' in migration names refer to permissions</w:t>
            </w:r>
          </w:p>
        </w:tc>
      </w:tr>
      <w:tr>
        <w:trPr>
          <w:cantSplit/>
        </w:trPr>
        <w:tc>
          <w:tcPr>
            <w:tcW w:type="dxa" w:w="2304"/>
          </w:tcPr>
          <w:p>
            <w:pPr>
              <w:spacing w:after="0"/>
            </w:pPr>
            <w:r/>
            <w:r>
              <w:rPr>
                <w:sz w:val="16"/>
              </w:rPr>
              <w:t>Enums / domains</w:t>
            </w:r>
          </w:p>
        </w:tc>
        <w:tc>
          <w:tcPr>
            <w:tcW w:type="dxa" w:w="1008"/>
          </w:tcPr>
          <w:p>
            <w:pPr>
              <w:spacing w:after="0"/>
            </w:pPr>
            <w:r/>
            <w:r>
              <w:rPr>
                <w:sz w:val="16"/>
              </w:rPr>
              <w:t>0</w:t>
            </w:r>
          </w:p>
        </w:tc>
        <w:tc>
          <w:tcPr>
            <w:tcW w:type="dxa" w:w="6048"/>
          </w:tcPr>
          <w:p>
            <w:pPr>
              <w:spacing w:after="0"/>
            </w:pPr>
            <w:r/>
            <w:r>
              <w:rPr>
                <w:sz w:val="16"/>
              </w:rPr>
              <w:t>All vocabularies are TEXT + CHECK</w:t>
            </w:r>
          </w:p>
        </w:tc>
      </w:tr>
      <w:tr>
        <w:trPr>
          <w:cantSplit/>
        </w:trPr>
        <w:tc>
          <w:tcPr>
            <w:tcW w:type="dxa" w:w="2304"/>
          </w:tcPr>
          <w:p>
            <w:pPr>
              <w:spacing w:after="0"/>
            </w:pPr>
            <w:r/>
            <w:r>
              <w:rPr>
                <w:sz w:val="16"/>
              </w:rPr>
              <w:t>RLS policies</w:t>
            </w:r>
          </w:p>
        </w:tc>
        <w:tc>
          <w:tcPr>
            <w:tcW w:type="dxa" w:w="1008"/>
          </w:tcPr>
          <w:p>
            <w:pPr>
              <w:spacing w:after="0"/>
            </w:pPr>
            <w:r/>
            <w:r>
              <w:rPr>
                <w:sz w:val="16"/>
              </w:rPr>
              <w:t>0</w:t>
            </w:r>
          </w:p>
        </w:tc>
        <w:tc>
          <w:tcPr>
            <w:tcW w:type="dxa" w:w="6048"/>
          </w:tcPr>
          <w:p>
            <w:pPr>
              <w:spacing w:after="0"/>
            </w:pPr>
            <w:r/>
            <w:r>
              <w:rPr>
                <w:sz w:val="16"/>
              </w:rPr>
              <w:t>Tenancy is enforced in the service layer, not by RLS</w:t>
            </w:r>
          </w:p>
        </w:tc>
      </w:tr>
      <w:tr>
        <w:trPr>
          <w:cantSplit/>
        </w:trPr>
        <w:tc>
          <w:tcPr>
            <w:tcW w:type="dxa" w:w="2304"/>
          </w:tcPr>
          <w:p>
            <w:pPr>
              <w:spacing w:after="0"/>
            </w:pPr>
            <w:r/>
            <w:r>
              <w:rPr>
                <w:sz w:val="16"/>
              </w:rPr>
              <w:t>Row-level grants</w:t>
            </w:r>
          </w:p>
        </w:tc>
        <w:tc>
          <w:tcPr>
            <w:tcW w:type="dxa" w:w="1008"/>
          </w:tcPr>
          <w:p>
            <w:pPr>
              <w:spacing w:after="0"/>
            </w:pPr>
            <w:r/>
            <w:r>
              <w:rPr>
                <w:sz w:val="16"/>
              </w:rPr>
              <w:t>Not used</w:t>
            </w:r>
          </w:p>
        </w:tc>
        <w:tc>
          <w:tcPr>
            <w:tcW w:type="dxa" w:w="6048"/>
          </w:tcPr>
          <w:p>
            <w:pPr>
              <w:spacing w:after="0"/>
            </w:pPr>
            <w:r/>
            <w:r>
              <w:rPr>
                <w:sz w:val="16"/>
              </w:rPr>
              <w:t>The application connects as the owner role</w:t>
            </w:r>
          </w:p>
        </w:tc>
      </w:tr>
    </w:tbl>
    <w:p>
      <w:pPr>
        <w:spacing w:after="200"/>
      </w:pPr>
      <w:r>
        <w:rPr>
          <w:i/>
          <w:color w:val="555F6D"/>
          <w:sz w:val="17"/>
        </w:rPr>
        <w:t>Table 50. Database object census (after applying all 123 migrations)</w:t>
      </w:r>
    </w:p>
    <w:p>
      <w:bookmarkStart w:id="1088" w:name="_Toc1088"/>
      <w:pPr>
        <w:pStyle w:val="Heading2"/>
      </w:pPr>
      <w:r>
        <w:t>16.3 Table inventory</w:t>
      </w:r>
      <w:bookmarkEnd w:id="1088"/>
    </w:p>
    <w:p>
      <w:r>
        <w:rPr>
          <w:i w:val="0"/>
        </w:rPr>
        <w:t>The complete table list with purpose, domain, size and sensitivity follows. Sizes are from the audit database (empty except the bootstrap seed), so they describe structure, not production volume.</w:t>
      </w:r>
    </w:p>
    <w:p>
      <w:pPr>
        <w:sectPr>
          <w:headerReference w:type="default" r:id="rId9"/>
          <w:footerReference w:type="default" r:id="rId10"/>
          <w:pgSz w:w="12240" w:h="15840"/>
          <w:pgMar w:top="1224" w:right="1296" w:bottom="1152" w:left="1296" w:header="720" w:footer="720" w:gutter="0"/>
          <w:cols w:space="720"/>
          <w:docGrid w:linePitch="360"/>
        </w:sectPr>
      </w:pP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3967" w:type="dxa"/>
      </w:tblPr>
      <w:tblGrid>
        <w:gridCol w:w="2822"/>
        <w:gridCol w:w="2822"/>
        <w:gridCol w:w="2822"/>
        <w:gridCol w:w="2822"/>
        <w:gridCol w:w="2822"/>
      </w:tblGrid>
      <w:tr>
        <w:trPr>
          <w:tblHeader w:val="true"/>
        </w:trPr>
        <w:tc>
          <w:tcPr>
            <w:tcW w:type="dxa" w:w="2232"/>
            <w:shd w:val="clear" w:color="auto" w:fill="1F3A5F"/>
          </w:tcPr>
          <w:p>
            <w:pPr>
              <w:spacing w:after="0"/>
            </w:pPr>
            <w:r/>
            <w:r>
              <w:rPr>
                <w:b/>
                <w:color w:val="FFFFFF"/>
                <w:sz w:val="14"/>
              </w:rPr>
              <w:t>Table</w:t>
            </w:r>
          </w:p>
        </w:tc>
        <w:tc>
          <w:tcPr>
            <w:tcW w:type="dxa" w:w="1512"/>
            <w:shd w:val="clear" w:color="auto" w:fill="1F3A5F"/>
          </w:tcPr>
          <w:p>
            <w:pPr>
              <w:spacing w:after="0"/>
            </w:pPr>
            <w:r/>
            <w:r>
              <w:rPr>
                <w:b/>
                <w:color w:val="FFFFFF"/>
                <w:sz w:val="14"/>
              </w:rPr>
              <w:t>Domain</w:t>
            </w:r>
          </w:p>
        </w:tc>
        <w:tc>
          <w:tcPr>
            <w:tcW w:type="dxa" w:w="576"/>
            <w:shd w:val="clear" w:color="auto" w:fill="1F3A5F"/>
          </w:tcPr>
          <w:p>
            <w:pPr>
              <w:spacing w:after="0"/>
            </w:pPr>
            <w:r/>
            <w:r>
              <w:rPr>
                <w:b/>
                <w:color w:val="FFFFFF"/>
                <w:sz w:val="14"/>
              </w:rPr>
              <w:t>Cols</w:t>
            </w:r>
          </w:p>
        </w:tc>
        <w:tc>
          <w:tcPr>
            <w:tcW w:type="dxa" w:w="1656"/>
            <w:shd w:val="clear" w:color="auto" w:fill="1F3A5F"/>
          </w:tcPr>
          <w:p>
            <w:pPr>
              <w:spacing w:after="0"/>
            </w:pPr>
            <w:r/>
            <w:r>
              <w:rPr>
                <w:b/>
                <w:color w:val="FFFFFF"/>
                <w:sz w:val="14"/>
              </w:rPr>
              <w:t>Classification</w:t>
            </w:r>
          </w:p>
        </w:tc>
        <w:tc>
          <w:tcPr>
            <w:tcW w:type="dxa" w:w="7992"/>
            <w:shd w:val="clear" w:color="auto" w:fill="1F3A5F"/>
          </w:tcPr>
          <w:p>
            <w:pPr>
              <w:spacing w:after="0"/>
            </w:pPr>
            <w:r/>
            <w:r>
              <w:rPr>
                <w:b/>
                <w:color w:val="FFFFFF"/>
                <w:sz w:val="14"/>
              </w:rPr>
              <w:t>Purpose</w:t>
            </w:r>
          </w:p>
        </w:tc>
      </w:tr>
      <w:tr>
        <w:trPr>
          <w:cantSplit/>
        </w:trPr>
        <w:tc>
          <w:tcPr>
            <w:tcW w:type="dxa" w:w="2232"/>
          </w:tcPr>
          <w:p>
            <w:pPr>
              <w:spacing w:after="0"/>
            </w:pPr>
            <w:r/>
            <w:r>
              <w:rPr>
                <w:sz w:val="14"/>
              </w:rPr>
              <w:t>accounting_departments</w:t>
            </w:r>
          </w:p>
        </w:tc>
        <w:tc>
          <w:tcPr>
            <w:tcW w:type="dxa" w:w="1512"/>
          </w:tcPr>
          <w:p>
            <w:pPr>
              <w:spacing w:after="0"/>
            </w:pPr>
            <w:r/>
            <w:r>
              <w:rPr>
                <w:sz w:val="14"/>
              </w:rPr>
              <w:t>Accounting</w:t>
            </w:r>
          </w:p>
        </w:tc>
        <w:tc>
          <w:tcPr>
            <w:tcW w:type="dxa" w:w="576"/>
          </w:tcPr>
          <w:p>
            <w:pPr>
              <w:spacing w:after="0"/>
            </w:pPr>
            <w:r/>
            <w:r>
              <w:rPr>
                <w:sz w:val="14"/>
              </w:rPr>
              <w:t>6</w:t>
            </w:r>
          </w:p>
        </w:tc>
        <w:tc>
          <w:tcPr>
            <w:tcW w:type="dxa" w:w="1656"/>
          </w:tcPr>
          <w:p>
            <w:pPr>
              <w:spacing w:after="0"/>
            </w:pPr>
            <w:r/>
            <w:r>
              <w:rPr>
                <w:sz w:val="14"/>
              </w:rPr>
              <w:t>Operational</w:t>
            </w:r>
          </w:p>
        </w:tc>
        <w:tc>
          <w:tcPr>
            <w:tcW w:type="dxa" w:w="7992"/>
          </w:tcPr>
          <w:p>
            <w:pPr>
              <w:spacing w:after="0"/>
            </w:pPr>
            <w:r/>
            <w:r>
              <w:rPr>
                <w:sz w:val="14"/>
              </w:rPr>
              <w:t>Cost-centre / department master for journal lines.</w:t>
            </w:r>
          </w:p>
        </w:tc>
      </w:tr>
      <w:tr>
        <w:trPr>
          <w:cantSplit/>
        </w:trPr>
        <w:tc>
          <w:tcPr>
            <w:tcW w:type="dxa" w:w="2232"/>
          </w:tcPr>
          <w:p>
            <w:pPr>
              <w:spacing w:after="0"/>
            </w:pPr>
            <w:r/>
            <w:r>
              <w:rPr>
                <w:sz w:val="14"/>
              </w:rPr>
              <w:t>accounting_periods</w:t>
            </w:r>
          </w:p>
        </w:tc>
        <w:tc>
          <w:tcPr>
            <w:tcW w:type="dxa" w:w="1512"/>
          </w:tcPr>
          <w:p>
            <w:pPr>
              <w:spacing w:after="0"/>
            </w:pPr>
            <w:r/>
            <w:r>
              <w:rPr>
                <w:sz w:val="14"/>
              </w:rPr>
              <w:t>Accounting</w:t>
            </w:r>
          </w:p>
        </w:tc>
        <w:tc>
          <w:tcPr>
            <w:tcW w:type="dxa" w:w="576"/>
          </w:tcPr>
          <w:p>
            <w:pPr>
              <w:spacing w:after="0"/>
            </w:pPr>
            <w:r/>
            <w:r>
              <w:rPr>
                <w:sz w:val="14"/>
              </w:rPr>
              <w:t>8</w:t>
            </w:r>
          </w:p>
        </w:tc>
        <w:tc>
          <w:tcPr>
            <w:tcW w:type="dxa" w:w="1656"/>
          </w:tcPr>
          <w:p>
            <w:pPr>
              <w:spacing w:after="0"/>
            </w:pPr>
            <w:r/>
            <w:r>
              <w:rPr>
                <w:sz w:val="14"/>
              </w:rPr>
              <w:t>Operational</w:t>
            </w:r>
          </w:p>
        </w:tc>
        <w:tc>
          <w:tcPr>
            <w:tcW w:type="dxa" w:w="7992"/>
          </w:tcPr>
          <w:p>
            <w:pPr>
              <w:spacing w:after="0"/>
            </w:pPr>
            <w:r/>
            <w:r>
              <w:rPr>
                <w:sz w:val="14"/>
              </w:rPr>
              <w:t>Monthly period lock; a locked period blocks journal posting.</w:t>
            </w:r>
          </w:p>
        </w:tc>
      </w:tr>
      <w:tr>
        <w:trPr>
          <w:cantSplit/>
        </w:trPr>
        <w:tc>
          <w:tcPr>
            <w:tcW w:type="dxa" w:w="2232"/>
          </w:tcPr>
          <w:p>
            <w:pPr>
              <w:spacing w:after="0"/>
            </w:pPr>
            <w:r/>
            <w:r>
              <w:rPr>
                <w:sz w:val="14"/>
              </w:rPr>
              <w:t>accounts</w:t>
            </w:r>
          </w:p>
        </w:tc>
        <w:tc>
          <w:tcPr>
            <w:tcW w:type="dxa" w:w="1512"/>
          </w:tcPr>
          <w:p>
            <w:pPr>
              <w:spacing w:after="0"/>
            </w:pPr>
            <w:r/>
            <w:r>
              <w:rPr>
                <w:sz w:val="14"/>
              </w:rPr>
              <w:t>Accounting</w:t>
            </w:r>
          </w:p>
        </w:tc>
        <w:tc>
          <w:tcPr>
            <w:tcW w:type="dxa" w:w="576"/>
          </w:tcPr>
          <w:p>
            <w:pPr>
              <w:spacing w:after="0"/>
            </w:pPr>
            <w:r/>
            <w:r>
              <w:rPr>
                <w:sz w:val="14"/>
              </w:rPr>
              <w:t>11</w:t>
            </w:r>
          </w:p>
        </w:tc>
        <w:tc>
          <w:tcPr>
            <w:tcW w:type="dxa" w:w="1656"/>
          </w:tcPr>
          <w:p>
            <w:pPr>
              <w:spacing w:after="0"/>
            </w:pPr>
            <w:r/>
            <w:r>
              <w:rPr>
                <w:sz w:val="14"/>
              </w:rPr>
              <w:t>Operational</w:t>
            </w:r>
          </w:p>
        </w:tc>
        <w:tc>
          <w:tcPr>
            <w:tcW w:type="dxa" w:w="7992"/>
          </w:tcPr>
          <w:p>
            <w:pPr>
              <w:spacing w:after="0"/>
            </w:pPr>
            <w:r/>
            <w:r>
              <w:rPr>
                <w:sz w:val="14"/>
              </w:rPr>
              <w:t>Chart of Accounts (COA) tree with parent_id, type and normal_balance.</w:t>
            </w:r>
          </w:p>
        </w:tc>
      </w:tr>
      <w:tr>
        <w:trPr>
          <w:cantSplit/>
        </w:trPr>
        <w:tc>
          <w:tcPr>
            <w:tcW w:type="dxa" w:w="2232"/>
          </w:tcPr>
          <w:p>
            <w:pPr>
              <w:spacing w:after="0"/>
            </w:pPr>
            <w:r/>
            <w:r>
              <w:rPr>
                <w:sz w:val="14"/>
              </w:rPr>
              <w:t>activity_logs</w:t>
            </w:r>
          </w:p>
        </w:tc>
        <w:tc>
          <w:tcPr>
            <w:tcW w:type="dxa" w:w="1512"/>
          </w:tcPr>
          <w:p>
            <w:pPr>
              <w:spacing w:after="0"/>
            </w:pPr>
            <w:r/>
            <w:r>
              <w:rPr>
                <w:sz w:val="14"/>
              </w:rPr>
              <w:t>System</w:t>
            </w:r>
          </w:p>
        </w:tc>
        <w:tc>
          <w:tcPr>
            <w:tcW w:type="dxa" w:w="576"/>
          </w:tcPr>
          <w:p>
            <w:pPr>
              <w:spacing w:after="0"/>
            </w:pPr>
            <w:r/>
            <w:r>
              <w:rPr>
                <w:sz w:val="14"/>
              </w:rPr>
              <w:t>13</w:t>
            </w:r>
          </w:p>
        </w:tc>
        <w:tc>
          <w:tcPr>
            <w:tcW w:type="dxa" w:w="1656"/>
          </w:tcPr>
          <w:p>
            <w:pPr>
              <w:spacing w:after="0"/>
            </w:pPr>
            <w:r/>
            <w:r>
              <w:rPr>
                <w:sz w:val="14"/>
              </w:rPr>
              <w:t>Operational</w:t>
            </w:r>
          </w:p>
        </w:tc>
        <w:tc>
          <w:tcPr>
            <w:tcW w:type="dxa" w:w="7992"/>
          </w:tcPr>
          <w:p>
            <w:pPr>
              <w:spacing w:after="0"/>
            </w:pPr>
            <w:r/>
            <w:r>
              <w:rPr>
                <w:sz w:val="14"/>
              </w:rPr>
              <w:t>Mutation audit trail written by the actLog middleware and services.</w:t>
            </w:r>
          </w:p>
        </w:tc>
      </w:tr>
      <w:tr>
        <w:trPr>
          <w:cantSplit/>
        </w:trPr>
        <w:tc>
          <w:tcPr>
            <w:tcW w:type="dxa" w:w="2232"/>
          </w:tcPr>
          <w:p>
            <w:pPr>
              <w:spacing w:after="0"/>
            </w:pPr>
            <w:r/>
            <w:r>
              <w:rPr>
                <w:sz w:val="14"/>
              </w:rPr>
              <w:t>advance_transactions</w:t>
            </w:r>
          </w:p>
        </w:tc>
        <w:tc>
          <w:tcPr>
            <w:tcW w:type="dxa" w:w="1512"/>
          </w:tcPr>
          <w:p>
            <w:pPr>
              <w:spacing w:after="0"/>
            </w:pPr>
            <w:r/>
            <w:r>
              <w:rPr>
                <w:sz w:val="14"/>
              </w:rPr>
              <w:t>Accounting</w:t>
            </w:r>
          </w:p>
        </w:tc>
        <w:tc>
          <w:tcPr>
            <w:tcW w:type="dxa" w:w="576"/>
          </w:tcPr>
          <w:p>
            <w:pPr>
              <w:spacing w:after="0"/>
            </w:pPr>
            <w:r/>
            <w:r>
              <w:rPr>
                <w:sz w:val="14"/>
              </w:rPr>
              <w:t>11</w:t>
            </w:r>
          </w:p>
        </w:tc>
        <w:tc>
          <w:tcPr>
            <w:tcW w:type="dxa" w:w="1656"/>
          </w:tcPr>
          <w:p>
            <w:pPr>
              <w:spacing w:after="0"/>
            </w:pPr>
            <w:r/>
            <w:r>
              <w:rPr>
                <w:sz w:val="14"/>
              </w:rPr>
              <w:t>Operational</w:t>
            </w:r>
          </w:p>
        </w:tc>
        <w:tc>
          <w:tcPr>
            <w:tcW w:type="dxa" w:w="7992"/>
          </w:tcPr>
          <w:p>
            <w:pPr>
              <w:spacing w:after="0"/>
            </w:pPr>
            <w:r/>
            <w:r>
              <w:rPr>
                <w:sz w:val="14"/>
              </w:rPr>
              <w:t>Allocation/refund ledger for customer and supplier advances.</w:t>
            </w:r>
          </w:p>
        </w:tc>
      </w:tr>
      <w:tr>
        <w:trPr>
          <w:cantSplit/>
        </w:trPr>
        <w:tc>
          <w:tcPr>
            <w:tcW w:type="dxa" w:w="2232"/>
          </w:tcPr>
          <w:p>
            <w:pPr>
              <w:spacing w:after="0"/>
            </w:pPr>
            <w:r/>
            <w:r>
              <w:rPr>
                <w:sz w:val="14"/>
              </w:rPr>
              <w:t>advances</w:t>
            </w:r>
          </w:p>
        </w:tc>
        <w:tc>
          <w:tcPr>
            <w:tcW w:type="dxa" w:w="1512"/>
          </w:tcPr>
          <w:p>
            <w:pPr>
              <w:spacing w:after="0"/>
            </w:pPr>
            <w:r/>
            <w:r>
              <w:rPr>
                <w:sz w:val="14"/>
              </w:rPr>
              <w:t>Accounting</w:t>
            </w:r>
          </w:p>
        </w:tc>
        <w:tc>
          <w:tcPr>
            <w:tcW w:type="dxa" w:w="576"/>
          </w:tcPr>
          <w:p>
            <w:pPr>
              <w:spacing w:after="0"/>
            </w:pPr>
            <w:r/>
            <w:r>
              <w:rPr>
                <w:sz w:val="14"/>
              </w:rPr>
              <w:t>15</w:t>
            </w:r>
          </w:p>
        </w:tc>
        <w:tc>
          <w:tcPr>
            <w:tcW w:type="dxa" w:w="1656"/>
          </w:tcPr>
          <w:p>
            <w:pPr>
              <w:spacing w:after="0"/>
            </w:pPr>
            <w:r/>
            <w:r>
              <w:rPr>
                <w:sz w:val="14"/>
              </w:rPr>
              <w:t>Operational</w:t>
            </w:r>
          </w:p>
        </w:tc>
        <w:tc>
          <w:tcPr>
            <w:tcW w:type="dxa" w:w="7992"/>
          </w:tcPr>
          <w:p>
            <w:pPr>
              <w:spacing w:after="0"/>
            </w:pPr>
            <w:r/>
            <w:r>
              <w:rPr>
                <w:sz w:val="14"/>
              </w:rPr>
              <w:t>Customer deposits (uang muka) and supplier advances with allocated/refunded totals.</w:t>
            </w:r>
          </w:p>
        </w:tc>
      </w:tr>
      <w:tr>
        <w:trPr>
          <w:cantSplit/>
        </w:trPr>
        <w:tc>
          <w:tcPr>
            <w:tcW w:type="dxa" w:w="2232"/>
          </w:tcPr>
          <w:p>
            <w:pPr>
              <w:spacing w:after="0"/>
            </w:pPr>
            <w:r/>
            <w:r>
              <w:rPr>
                <w:sz w:val="14"/>
              </w:rPr>
              <w:t>app_settings</w:t>
            </w:r>
          </w:p>
        </w:tc>
        <w:tc>
          <w:tcPr>
            <w:tcW w:type="dxa" w:w="1512"/>
          </w:tcPr>
          <w:p>
            <w:pPr>
              <w:spacing w:after="0"/>
            </w:pPr>
            <w:r/>
            <w:r>
              <w:rPr>
                <w:sz w:val="14"/>
              </w:rPr>
              <w:t>System</w:t>
            </w:r>
          </w:p>
        </w:tc>
        <w:tc>
          <w:tcPr>
            <w:tcW w:type="dxa" w:w="576"/>
          </w:tcPr>
          <w:p>
            <w:pPr>
              <w:spacing w:after="0"/>
            </w:pPr>
            <w:r/>
            <w:r>
              <w:rPr>
                <w:sz w:val="14"/>
              </w:rPr>
              <w:t>3</w:t>
            </w:r>
          </w:p>
        </w:tc>
        <w:tc>
          <w:tcPr>
            <w:tcW w:type="dxa" w:w="1656"/>
          </w:tcPr>
          <w:p>
            <w:pPr>
              <w:spacing w:after="0"/>
            </w:pPr>
            <w:r/>
            <w:r>
              <w:rPr>
                <w:sz w:val="14"/>
              </w:rPr>
              <w:t>Operational</w:t>
            </w:r>
          </w:p>
        </w:tc>
        <w:tc>
          <w:tcPr>
            <w:tcW w:type="dxa" w:w="7992"/>
          </w:tcPr>
          <w:p>
            <w:pPr>
              <w:spacing w:after="0"/>
            </w:pPr>
            <w:r/>
            <w:r>
              <w:rPr>
                <w:sz w:val="14"/>
              </w:rPr>
              <w:t>Key/value JSONB application settings (store profile, receipt, tax).</w:t>
            </w:r>
          </w:p>
        </w:tc>
      </w:tr>
      <w:tr>
        <w:trPr>
          <w:cantSplit/>
        </w:trPr>
        <w:tc>
          <w:tcPr>
            <w:tcW w:type="dxa" w:w="2232"/>
          </w:tcPr>
          <w:p>
            <w:pPr>
              <w:spacing w:after="0"/>
            </w:pPr>
            <w:r/>
            <w:r>
              <w:rPr>
                <w:sz w:val="14"/>
              </w:rPr>
              <w:t>attendances</w:t>
            </w:r>
          </w:p>
        </w:tc>
        <w:tc>
          <w:tcPr>
            <w:tcW w:type="dxa" w:w="1512"/>
          </w:tcPr>
          <w:p>
            <w:pPr>
              <w:spacing w:after="0"/>
            </w:pPr>
            <w:r/>
            <w:r>
              <w:rPr>
                <w:sz w:val="14"/>
              </w:rPr>
              <w:t>HR</w:t>
            </w:r>
          </w:p>
        </w:tc>
        <w:tc>
          <w:tcPr>
            <w:tcW w:type="dxa" w:w="576"/>
          </w:tcPr>
          <w:p>
            <w:pPr>
              <w:spacing w:after="0"/>
            </w:pPr>
            <w:r/>
            <w:r>
              <w:rPr>
                <w:sz w:val="14"/>
              </w:rPr>
              <w:t>17</w:t>
            </w:r>
          </w:p>
        </w:tc>
        <w:tc>
          <w:tcPr>
            <w:tcW w:type="dxa" w:w="1656"/>
          </w:tcPr>
          <w:p>
            <w:pPr>
              <w:spacing w:after="0"/>
            </w:pPr>
            <w:r/>
            <w:r>
              <w:rPr>
                <w:sz w:val="14"/>
              </w:rPr>
              <w:t>Operational</w:t>
            </w:r>
          </w:p>
        </w:tc>
        <w:tc>
          <w:tcPr>
            <w:tcW w:type="dxa" w:w="7992"/>
          </w:tcPr>
          <w:p>
            <w:pPr>
              <w:spacing w:after="0"/>
            </w:pPr>
            <w:r/>
            <w:r>
              <w:rPr>
                <w:sz w:val="14"/>
              </w:rPr>
              <w:t>Daily employee attendance with clock in/out and GPS coordinates.</w:t>
            </w:r>
          </w:p>
        </w:tc>
      </w:tr>
      <w:tr>
        <w:trPr>
          <w:cantSplit/>
        </w:trPr>
        <w:tc>
          <w:tcPr>
            <w:tcW w:type="dxa" w:w="2232"/>
          </w:tcPr>
          <w:p>
            <w:pPr>
              <w:spacing w:after="0"/>
            </w:pPr>
            <w:r/>
            <w:r>
              <w:rPr>
                <w:sz w:val="14"/>
              </w:rPr>
              <w:t>brands</w:t>
            </w:r>
          </w:p>
        </w:tc>
        <w:tc>
          <w:tcPr>
            <w:tcW w:type="dxa" w:w="1512"/>
          </w:tcPr>
          <w:p>
            <w:pPr>
              <w:spacing w:after="0"/>
            </w:pPr>
            <w:r/>
            <w:r>
              <w:rPr>
                <w:sz w:val="14"/>
              </w:rPr>
              <w:t>Catalog</w:t>
            </w:r>
          </w:p>
        </w:tc>
        <w:tc>
          <w:tcPr>
            <w:tcW w:type="dxa" w:w="576"/>
          </w:tcPr>
          <w:p>
            <w:pPr>
              <w:spacing w:after="0"/>
            </w:pPr>
            <w:r/>
            <w:r>
              <w:rPr>
                <w:sz w:val="14"/>
              </w:rPr>
              <w:t>6</w:t>
            </w:r>
          </w:p>
        </w:tc>
        <w:tc>
          <w:tcPr>
            <w:tcW w:type="dxa" w:w="1656"/>
          </w:tcPr>
          <w:p>
            <w:pPr>
              <w:spacing w:after="0"/>
            </w:pPr>
            <w:r/>
            <w:r>
              <w:rPr>
                <w:sz w:val="14"/>
              </w:rPr>
              <w:t>Operational</w:t>
            </w:r>
          </w:p>
        </w:tc>
        <w:tc>
          <w:tcPr>
            <w:tcW w:type="dxa" w:w="7992"/>
          </w:tcPr>
          <w:p>
            <w:pPr>
              <w:spacing w:after="0"/>
            </w:pPr>
            <w:r/>
            <w:r>
              <w:rPr>
                <w:sz w:val="14"/>
              </w:rPr>
              <w:t>Product brand master (B2B filtering and catalog grouping).</w:t>
            </w:r>
          </w:p>
        </w:tc>
      </w:tr>
      <w:tr>
        <w:trPr>
          <w:cantSplit/>
        </w:trPr>
        <w:tc>
          <w:tcPr>
            <w:tcW w:type="dxa" w:w="2232"/>
          </w:tcPr>
          <w:p>
            <w:pPr>
              <w:spacing w:after="0"/>
            </w:pPr>
            <w:r/>
            <w:r>
              <w:rPr>
                <w:sz w:val="14"/>
              </w:rPr>
              <w:t>buyer_addresses</w:t>
            </w:r>
          </w:p>
        </w:tc>
        <w:tc>
          <w:tcPr>
            <w:tcW w:type="dxa" w:w="1512"/>
          </w:tcPr>
          <w:p>
            <w:pPr>
              <w:spacing w:after="0"/>
            </w:pPr>
            <w:r/>
            <w:r>
              <w:rPr>
                <w:sz w:val="14"/>
              </w:rPr>
              <w:t>E-commerce</w:t>
            </w:r>
          </w:p>
        </w:tc>
        <w:tc>
          <w:tcPr>
            <w:tcW w:type="dxa" w:w="576"/>
          </w:tcPr>
          <w:p>
            <w:pPr>
              <w:spacing w:after="0"/>
            </w:pPr>
            <w:r/>
            <w:r>
              <w:rPr>
                <w:sz w:val="14"/>
              </w:rPr>
              <w:t>17</w:t>
            </w:r>
          </w:p>
        </w:tc>
        <w:tc>
          <w:tcPr>
            <w:tcW w:type="dxa" w:w="1656"/>
          </w:tcPr>
          <w:p>
            <w:pPr>
              <w:spacing w:after="0"/>
            </w:pPr>
            <w:r/>
            <w:r>
              <w:rPr>
                <w:sz w:val="14"/>
              </w:rPr>
              <w:t>Operational</w:t>
            </w:r>
          </w:p>
        </w:tc>
        <w:tc>
          <w:tcPr>
            <w:tcW w:type="dxa" w:w="7992"/>
          </w:tcPr>
          <w:p>
            <w:pPr>
              <w:spacing w:after="0"/>
            </w:pPr>
            <w:r/>
            <w:r>
              <w:rPr>
                <w:sz w:val="14"/>
              </w:rPr>
              <w:t>B2B buyer address book (shipping/billing defaults).</w:t>
            </w:r>
          </w:p>
        </w:tc>
      </w:tr>
      <w:tr>
        <w:trPr>
          <w:cantSplit/>
        </w:trPr>
        <w:tc>
          <w:tcPr>
            <w:tcW w:type="dxa" w:w="2232"/>
          </w:tcPr>
          <w:p>
            <w:pPr>
              <w:spacing w:after="0"/>
            </w:pPr>
            <w:r/>
            <w:r>
              <w:rPr>
                <w:sz w:val="14"/>
              </w:rPr>
              <w:t>cache</w:t>
            </w:r>
          </w:p>
        </w:tc>
        <w:tc>
          <w:tcPr>
            <w:tcW w:type="dxa" w:w="1512"/>
          </w:tcPr>
          <w:p>
            <w:pPr>
              <w:spacing w:after="0"/>
            </w:pPr>
            <w:r/>
            <w:r>
              <w:rPr>
                <w:sz w:val="14"/>
              </w:rPr>
              <w:t>Framework</w:t>
            </w:r>
          </w:p>
        </w:tc>
        <w:tc>
          <w:tcPr>
            <w:tcW w:type="dxa" w:w="576"/>
          </w:tcPr>
          <w:p>
            <w:pPr>
              <w:spacing w:after="0"/>
            </w:pPr>
            <w:r/>
            <w:r>
              <w:rPr>
                <w:sz w:val="14"/>
              </w:rPr>
              <w:t>3</w:t>
            </w:r>
          </w:p>
        </w:tc>
        <w:tc>
          <w:tcPr>
            <w:tcW w:type="dxa" w:w="1656"/>
          </w:tcPr>
          <w:p>
            <w:pPr>
              <w:spacing w:after="0"/>
            </w:pPr>
            <w:r/>
            <w:r>
              <w:rPr>
                <w:sz w:val="14"/>
              </w:rPr>
              <w:t>Framework/internal</w:t>
            </w:r>
          </w:p>
        </w:tc>
        <w:tc>
          <w:tcPr>
            <w:tcW w:type="dxa" w:w="7992"/>
          </w:tcPr>
          <w:p>
            <w:pPr>
              <w:spacing w:after="0"/>
            </w:pPr>
            <w:r/>
            <w:r>
              <w:rPr>
                <w:sz w:val="14"/>
              </w:rPr>
              <w:t>Laravel framework cache table; unused by the Go backend (Redis replaces it).</w:t>
            </w:r>
          </w:p>
        </w:tc>
      </w:tr>
      <w:tr>
        <w:trPr>
          <w:cantSplit/>
        </w:trPr>
        <w:tc>
          <w:tcPr>
            <w:tcW w:type="dxa" w:w="2232"/>
          </w:tcPr>
          <w:p>
            <w:pPr>
              <w:spacing w:after="0"/>
            </w:pPr>
            <w:r/>
            <w:r>
              <w:rPr>
                <w:sz w:val="14"/>
              </w:rPr>
              <w:t>cache_locks</w:t>
            </w:r>
          </w:p>
        </w:tc>
        <w:tc>
          <w:tcPr>
            <w:tcW w:type="dxa" w:w="1512"/>
          </w:tcPr>
          <w:p>
            <w:pPr>
              <w:spacing w:after="0"/>
            </w:pPr>
            <w:r/>
            <w:r>
              <w:rPr>
                <w:sz w:val="14"/>
              </w:rPr>
              <w:t>Framework</w:t>
            </w:r>
          </w:p>
        </w:tc>
        <w:tc>
          <w:tcPr>
            <w:tcW w:type="dxa" w:w="576"/>
          </w:tcPr>
          <w:p>
            <w:pPr>
              <w:spacing w:after="0"/>
            </w:pPr>
            <w:r/>
            <w:r>
              <w:rPr>
                <w:sz w:val="14"/>
              </w:rPr>
              <w:t>3</w:t>
            </w:r>
          </w:p>
        </w:tc>
        <w:tc>
          <w:tcPr>
            <w:tcW w:type="dxa" w:w="1656"/>
          </w:tcPr>
          <w:p>
            <w:pPr>
              <w:spacing w:after="0"/>
            </w:pPr>
            <w:r/>
            <w:r>
              <w:rPr>
                <w:sz w:val="14"/>
              </w:rPr>
              <w:t>Framework/internal</w:t>
            </w:r>
          </w:p>
        </w:tc>
        <w:tc>
          <w:tcPr>
            <w:tcW w:type="dxa" w:w="7992"/>
          </w:tcPr>
          <w:p>
            <w:pPr>
              <w:spacing w:after="0"/>
            </w:pPr>
            <w:r/>
            <w:r>
              <w:rPr>
                <w:sz w:val="14"/>
              </w:rPr>
              <w:t>Laravel framework cache-lock table; unused by the Go backend.</w:t>
            </w:r>
          </w:p>
        </w:tc>
      </w:tr>
      <w:tr>
        <w:trPr>
          <w:cantSplit/>
        </w:trPr>
        <w:tc>
          <w:tcPr>
            <w:tcW w:type="dxa" w:w="2232"/>
          </w:tcPr>
          <w:p>
            <w:pPr>
              <w:spacing w:after="0"/>
            </w:pPr>
            <w:r/>
            <w:r>
              <w:rPr>
                <w:sz w:val="14"/>
              </w:rPr>
              <w:t>cart_items</w:t>
            </w:r>
          </w:p>
        </w:tc>
        <w:tc>
          <w:tcPr>
            <w:tcW w:type="dxa" w:w="1512"/>
          </w:tcPr>
          <w:p>
            <w:pPr>
              <w:spacing w:after="0"/>
            </w:pPr>
            <w:r/>
            <w:r>
              <w:rPr>
                <w:sz w:val="14"/>
              </w:rPr>
              <w:t>E-commerce</w:t>
            </w:r>
          </w:p>
        </w:tc>
        <w:tc>
          <w:tcPr>
            <w:tcW w:type="dxa" w:w="576"/>
          </w:tcPr>
          <w:p>
            <w:pPr>
              <w:spacing w:after="0"/>
            </w:pPr>
            <w:r/>
            <w:r>
              <w:rPr>
                <w:sz w:val="14"/>
              </w:rPr>
              <w:t>6</w:t>
            </w:r>
          </w:p>
        </w:tc>
        <w:tc>
          <w:tcPr>
            <w:tcW w:type="dxa" w:w="1656"/>
          </w:tcPr>
          <w:p>
            <w:pPr>
              <w:spacing w:after="0"/>
            </w:pPr>
            <w:r/>
            <w:r>
              <w:rPr>
                <w:sz w:val="14"/>
              </w:rPr>
              <w:t>Operational</w:t>
            </w:r>
          </w:p>
        </w:tc>
        <w:tc>
          <w:tcPr>
            <w:tcW w:type="dxa" w:w="7992"/>
          </w:tcPr>
          <w:p>
            <w:pPr>
              <w:spacing w:after="0"/>
            </w:pPr>
            <w:r/>
            <w:r>
              <w:rPr>
                <w:sz w:val="14"/>
              </w:rPr>
              <w:t>Line items of an e-commerce cart.</w:t>
            </w:r>
          </w:p>
        </w:tc>
      </w:tr>
      <w:tr>
        <w:trPr>
          <w:cantSplit/>
        </w:trPr>
        <w:tc>
          <w:tcPr>
            <w:tcW w:type="dxa" w:w="2232"/>
          </w:tcPr>
          <w:p>
            <w:pPr>
              <w:spacing w:after="0"/>
            </w:pPr>
            <w:r/>
            <w:r>
              <w:rPr>
                <w:sz w:val="14"/>
              </w:rPr>
              <w:t>carts</w:t>
            </w:r>
          </w:p>
        </w:tc>
        <w:tc>
          <w:tcPr>
            <w:tcW w:type="dxa" w:w="1512"/>
          </w:tcPr>
          <w:p>
            <w:pPr>
              <w:spacing w:after="0"/>
            </w:pPr>
            <w:r/>
            <w:r>
              <w:rPr>
                <w:sz w:val="14"/>
              </w:rPr>
              <w:t>E-commerce</w:t>
            </w:r>
          </w:p>
        </w:tc>
        <w:tc>
          <w:tcPr>
            <w:tcW w:type="dxa" w:w="576"/>
          </w:tcPr>
          <w:p>
            <w:pPr>
              <w:spacing w:after="0"/>
            </w:pPr>
            <w:r/>
            <w:r>
              <w:rPr>
                <w:sz w:val="14"/>
              </w:rPr>
              <w:t>4</w:t>
            </w:r>
          </w:p>
        </w:tc>
        <w:tc>
          <w:tcPr>
            <w:tcW w:type="dxa" w:w="1656"/>
          </w:tcPr>
          <w:p>
            <w:pPr>
              <w:spacing w:after="0"/>
            </w:pPr>
            <w:r/>
            <w:r>
              <w:rPr>
                <w:sz w:val="14"/>
              </w:rPr>
              <w:t>Operational</w:t>
            </w:r>
          </w:p>
        </w:tc>
        <w:tc>
          <w:tcPr>
            <w:tcW w:type="dxa" w:w="7992"/>
          </w:tcPr>
          <w:p>
            <w:pPr>
              <w:spacing w:after="0"/>
            </w:pPr>
            <w:r/>
            <w:r>
              <w:rPr>
                <w:sz w:val="14"/>
              </w:rPr>
              <w:t>One cart per buyer user (unique user_id).</w:t>
            </w:r>
          </w:p>
        </w:tc>
      </w:tr>
      <w:tr>
        <w:trPr>
          <w:cantSplit/>
        </w:trPr>
        <w:tc>
          <w:tcPr>
            <w:tcW w:type="dxa" w:w="2232"/>
          </w:tcPr>
          <w:p>
            <w:pPr>
              <w:spacing w:after="0"/>
            </w:pPr>
            <w:r/>
            <w:r>
              <w:rPr>
                <w:sz w:val="14"/>
              </w:rPr>
              <w:t>cash_accounts</w:t>
            </w:r>
          </w:p>
        </w:tc>
        <w:tc>
          <w:tcPr>
            <w:tcW w:type="dxa" w:w="1512"/>
          </w:tcPr>
          <w:p>
            <w:pPr>
              <w:spacing w:after="0"/>
            </w:pPr>
            <w:r/>
            <w:r>
              <w:rPr>
                <w:sz w:val="14"/>
              </w:rPr>
              <w:t>Finance</w:t>
            </w:r>
          </w:p>
        </w:tc>
        <w:tc>
          <w:tcPr>
            <w:tcW w:type="dxa" w:w="576"/>
          </w:tcPr>
          <w:p>
            <w:pPr>
              <w:spacing w:after="0"/>
            </w:pPr>
            <w:r/>
            <w:r>
              <w:rPr>
                <w:sz w:val="14"/>
              </w:rPr>
              <w:t>9</w:t>
            </w:r>
          </w:p>
        </w:tc>
        <w:tc>
          <w:tcPr>
            <w:tcW w:type="dxa" w:w="1656"/>
          </w:tcPr>
          <w:p>
            <w:pPr>
              <w:spacing w:after="0"/>
            </w:pPr>
            <w:r/>
            <w:r>
              <w:rPr>
                <w:sz w:val="14"/>
              </w:rPr>
              <w:t>Operational</w:t>
            </w:r>
          </w:p>
        </w:tc>
        <w:tc>
          <w:tcPr>
            <w:tcW w:type="dxa" w:w="7992"/>
          </w:tcPr>
          <w:p>
            <w:pPr>
              <w:spacing w:after="0"/>
            </w:pPr>
            <w:r/>
            <w:r>
              <w:rPr>
                <w:sz w:val="14"/>
              </w:rPr>
              <w:t>Cash/bank accounts used by cashflow and payment vouchers.</w:t>
            </w:r>
          </w:p>
        </w:tc>
      </w:tr>
      <w:tr>
        <w:trPr>
          <w:cantSplit/>
        </w:trPr>
        <w:tc>
          <w:tcPr>
            <w:tcW w:type="dxa" w:w="2232"/>
          </w:tcPr>
          <w:p>
            <w:pPr>
              <w:spacing w:after="0"/>
            </w:pPr>
            <w:r/>
            <w:r>
              <w:rPr>
                <w:sz w:val="14"/>
              </w:rPr>
              <w:t>cashflows</w:t>
            </w:r>
          </w:p>
        </w:tc>
        <w:tc>
          <w:tcPr>
            <w:tcW w:type="dxa" w:w="1512"/>
          </w:tcPr>
          <w:p>
            <w:pPr>
              <w:spacing w:after="0"/>
            </w:pPr>
            <w:r/>
            <w:r>
              <w:rPr>
                <w:sz w:val="14"/>
              </w:rPr>
              <w:t>Finance</w:t>
            </w:r>
          </w:p>
        </w:tc>
        <w:tc>
          <w:tcPr>
            <w:tcW w:type="dxa" w:w="576"/>
          </w:tcPr>
          <w:p>
            <w:pPr>
              <w:spacing w:after="0"/>
            </w:pPr>
            <w:r/>
            <w:r>
              <w:rPr>
                <w:sz w:val="14"/>
              </w:rPr>
              <w:t>24</w:t>
            </w:r>
          </w:p>
        </w:tc>
        <w:tc>
          <w:tcPr>
            <w:tcW w:type="dxa" w:w="1656"/>
          </w:tcPr>
          <w:p>
            <w:pPr>
              <w:spacing w:after="0"/>
            </w:pPr>
            <w:r/>
            <w:r>
              <w:rPr>
                <w:sz w:val="14"/>
              </w:rPr>
              <w:t>Sensitive (PII/financial)</w:t>
            </w:r>
          </w:p>
        </w:tc>
        <w:tc>
          <w:tcPr>
            <w:tcW w:type="dxa" w:w="7992"/>
          </w:tcPr>
          <w:p>
            <w:pPr>
              <w:spacing w:after="0"/>
            </w:pPr>
            <w:r/>
            <w:r>
              <w:rPr>
                <w:sz w:val="14"/>
              </w:rPr>
              <w:t>Cash in/out ledger with reversal chain, outlet scope and attachment metadata.</w:t>
            </w:r>
          </w:p>
        </w:tc>
      </w:tr>
      <w:tr>
        <w:trPr>
          <w:cantSplit/>
        </w:trPr>
        <w:tc>
          <w:tcPr>
            <w:tcW w:type="dxa" w:w="2232"/>
          </w:tcPr>
          <w:p>
            <w:pPr>
              <w:spacing w:after="0"/>
            </w:pPr>
            <w:r/>
            <w:r>
              <w:rPr>
                <w:sz w:val="14"/>
              </w:rPr>
              <w:t>cashier_drawer_entries</w:t>
            </w:r>
          </w:p>
        </w:tc>
        <w:tc>
          <w:tcPr>
            <w:tcW w:type="dxa" w:w="1512"/>
          </w:tcPr>
          <w:p>
            <w:pPr>
              <w:spacing w:after="0"/>
            </w:pPr>
            <w:r/>
            <w:r>
              <w:rPr>
                <w:sz w:val="14"/>
              </w:rPr>
              <w:t>POS</w:t>
            </w:r>
          </w:p>
        </w:tc>
        <w:tc>
          <w:tcPr>
            <w:tcW w:type="dxa" w:w="576"/>
          </w:tcPr>
          <w:p>
            <w:pPr>
              <w:spacing w:after="0"/>
            </w:pPr>
            <w:r/>
            <w:r>
              <w:rPr>
                <w:sz w:val="14"/>
              </w:rPr>
              <w:t>7</w:t>
            </w:r>
          </w:p>
        </w:tc>
        <w:tc>
          <w:tcPr>
            <w:tcW w:type="dxa" w:w="1656"/>
          </w:tcPr>
          <w:p>
            <w:pPr>
              <w:spacing w:after="0"/>
            </w:pPr>
            <w:r/>
            <w:r>
              <w:rPr>
                <w:sz w:val="14"/>
              </w:rPr>
              <w:t>Operational</w:t>
            </w:r>
          </w:p>
        </w:tc>
        <w:tc>
          <w:tcPr>
            <w:tcW w:type="dxa" w:w="7992"/>
          </w:tcPr>
          <w:p>
            <w:pPr>
              <w:spacing w:after="0"/>
            </w:pPr>
            <w:r/>
            <w:r>
              <w:rPr>
                <w:sz w:val="14"/>
              </w:rPr>
              <w:t>Cash drawer movements (cash in/out) recorded inside a shift.</w:t>
            </w:r>
          </w:p>
        </w:tc>
      </w:tr>
      <w:tr>
        <w:trPr>
          <w:cantSplit/>
        </w:trPr>
        <w:tc>
          <w:tcPr>
            <w:tcW w:type="dxa" w:w="2232"/>
          </w:tcPr>
          <w:p>
            <w:pPr>
              <w:spacing w:after="0"/>
            </w:pPr>
            <w:r/>
            <w:r>
              <w:rPr>
                <w:sz w:val="14"/>
              </w:rPr>
              <w:t>cashier_shifts</w:t>
            </w:r>
          </w:p>
        </w:tc>
        <w:tc>
          <w:tcPr>
            <w:tcW w:type="dxa" w:w="1512"/>
          </w:tcPr>
          <w:p>
            <w:pPr>
              <w:spacing w:after="0"/>
            </w:pPr>
            <w:r/>
            <w:r>
              <w:rPr>
                <w:sz w:val="14"/>
              </w:rPr>
              <w:t>POS</w:t>
            </w:r>
          </w:p>
        </w:tc>
        <w:tc>
          <w:tcPr>
            <w:tcW w:type="dxa" w:w="576"/>
          </w:tcPr>
          <w:p>
            <w:pPr>
              <w:spacing w:after="0"/>
            </w:pPr>
            <w:r/>
            <w:r>
              <w:rPr>
                <w:sz w:val="14"/>
              </w:rPr>
              <w:t>14</w:t>
            </w:r>
          </w:p>
        </w:tc>
        <w:tc>
          <w:tcPr>
            <w:tcW w:type="dxa" w:w="1656"/>
          </w:tcPr>
          <w:p>
            <w:pPr>
              <w:spacing w:after="0"/>
            </w:pPr>
            <w:r/>
            <w:r>
              <w:rPr>
                <w:sz w:val="14"/>
              </w:rPr>
              <w:t>Operational</w:t>
            </w:r>
          </w:p>
        </w:tc>
        <w:tc>
          <w:tcPr>
            <w:tcW w:type="dxa" w:w="7992"/>
          </w:tcPr>
          <w:p>
            <w:pPr>
              <w:spacing w:after="0"/>
            </w:pPr>
            <w:r/>
            <w:r>
              <w:rPr>
                <w:sz w:val="14"/>
              </w:rPr>
              <w:t>Cashier shift open/close with opening cash, actual cash and variance.</w:t>
            </w:r>
          </w:p>
        </w:tc>
      </w:tr>
      <w:tr>
        <w:trPr>
          <w:cantSplit/>
        </w:trPr>
        <w:tc>
          <w:tcPr>
            <w:tcW w:type="dxa" w:w="2232"/>
          </w:tcPr>
          <w:p>
            <w:pPr>
              <w:spacing w:after="0"/>
            </w:pPr>
            <w:r/>
            <w:r>
              <w:rPr>
                <w:sz w:val="14"/>
              </w:rPr>
              <w:t>categories</w:t>
            </w:r>
          </w:p>
        </w:tc>
        <w:tc>
          <w:tcPr>
            <w:tcW w:type="dxa" w:w="1512"/>
          </w:tcPr>
          <w:p>
            <w:pPr>
              <w:spacing w:after="0"/>
            </w:pPr>
            <w:r/>
            <w:r>
              <w:rPr>
                <w:sz w:val="14"/>
              </w:rPr>
              <w:t>Catalog</w:t>
            </w:r>
          </w:p>
        </w:tc>
        <w:tc>
          <w:tcPr>
            <w:tcW w:type="dxa" w:w="576"/>
          </w:tcPr>
          <w:p>
            <w:pPr>
              <w:spacing w:after="0"/>
            </w:pPr>
            <w:r/>
            <w:r>
              <w:rPr>
                <w:sz w:val="14"/>
              </w:rPr>
              <w:t>6</w:t>
            </w:r>
          </w:p>
        </w:tc>
        <w:tc>
          <w:tcPr>
            <w:tcW w:type="dxa" w:w="1656"/>
          </w:tcPr>
          <w:p>
            <w:pPr>
              <w:spacing w:after="0"/>
            </w:pPr>
            <w:r/>
            <w:r>
              <w:rPr>
                <w:sz w:val="14"/>
              </w:rPr>
              <w:t>Operational</w:t>
            </w:r>
          </w:p>
        </w:tc>
        <w:tc>
          <w:tcPr>
            <w:tcW w:type="dxa" w:w="7992"/>
          </w:tcPr>
          <w:p>
            <w:pPr>
              <w:spacing w:after="0"/>
            </w:pPr>
            <w:r/>
            <w:r>
              <w:rPr>
                <w:sz w:val="14"/>
              </w:rPr>
              <w:t>Product category master; also drives product-code prefixes.</w:t>
            </w:r>
          </w:p>
        </w:tc>
      </w:tr>
      <w:tr>
        <w:trPr>
          <w:cantSplit/>
        </w:trPr>
        <w:tc>
          <w:tcPr>
            <w:tcW w:type="dxa" w:w="2232"/>
          </w:tcPr>
          <w:p>
            <w:pPr>
              <w:spacing w:after="0"/>
            </w:pPr>
            <w:r/>
            <w:r>
              <w:rPr>
                <w:sz w:val="14"/>
              </w:rPr>
              <w:t>customers</w:t>
            </w:r>
          </w:p>
        </w:tc>
        <w:tc>
          <w:tcPr>
            <w:tcW w:type="dxa" w:w="1512"/>
          </w:tcPr>
          <w:p>
            <w:pPr>
              <w:spacing w:after="0"/>
            </w:pPr>
            <w:r/>
            <w:r>
              <w:rPr>
                <w:sz w:val="14"/>
              </w:rPr>
              <w:t>Partners</w:t>
            </w:r>
          </w:p>
        </w:tc>
        <w:tc>
          <w:tcPr>
            <w:tcW w:type="dxa" w:w="576"/>
          </w:tcPr>
          <w:p>
            <w:pPr>
              <w:spacing w:after="0"/>
            </w:pPr>
            <w:r/>
            <w:r>
              <w:rPr>
                <w:sz w:val="14"/>
              </w:rPr>
              <w:t>28</w:t>
            </w:r>
          </w:p>
        </w:tc>
        <w:tc>
          <w:tcPr>
            <w:tcW w:type="dxa" w:w="1656"/>
          </w:tcPr>
          <w:p>
            <w:pPr>
              <w:spacing w:after="0"/>
            </w:pPr>
            <w:r/>
            <w:r>
              <w:rPr>
                <w:sz w:val="14"/>
              </w:rPr>
              <w:t>Sensitive (PII/financial)</w:t>
            </w:r>
          </w:p>
        </w:tc>
        <w:tc>
          <w:tcPr>
            <w:tcW w:type="dxa" w:w="7992"/>
          </w:tcPr>
          <w:p>
            <w:pPr>
              <w:spacing w:after="0"/>
            </w:pPr>
            <w:r/>
            <w:r>
              <w:rPr>
                <w:sz w:val="14"/>
              </w:rPr>
              <w:t>Customer master, including B2B portal link (user_id) and geo area.</w:t>
            </w:r>
          </w:p>
        </w:tc>
      </w:tr>
      <w:tr>
        <w:trPr>
          <w:cantSplit/>
        </w:trPr>
        <w:tc>
          <w:tcPr>
            <w:tcW w:type="dxa" w:w="2232"/>
          </w:tcPr>
          <w:p>
            <w:pPr>
              <w:spacing w:after="0"/>
            </w:pPr>
            <w:r/>
            <w:r>
              <w:rPr>
                <w:sz w:val="14"/>
              </w:rPr>
              <w:t>delivery_order_items</w:t>
            </w:r>
          </w:p>
        </w:tc>
        <w:tc>
          <w:tcPr>
            <w:tcW w:type="dxa" w:w="1512"/>
          </w:tcPr>
          <w:p>
            <w:pPr>
              <w:spacing w:after="0"/>
            </w:pPr>
            <w:r/>
            <w:r>
              <w:rPr>
                <w:sz w:val="14"/>
              </w:rPr>
              <w:t>Distribution</w:t>
            </w:r>
          </w:p>
        </w:tc>
        <w:tc>
          <w:tcPr>
            <w:tcW w:type="dxa" w:w="576"/>
          </w:tcPr>
          <w:p>
            <w:pPr>
              <w:spacing w:after="0"/>
            </w:pPr>
            <w:r/>
            <w:r>
              <w:rPr>
                <w:sz w:val="14"/>
              </w:rPr>
              <w:t>7</w:t>
            </w:r>
          </w:p>
        </w:tc>
        <w:tc>
          <w:tcPr>
            <w:tcW w:type="dxa" w:w="1656"/>
          </w:tcPr>
          <w:p>
            <w:pPr>
              <w:spacing w:after="0"/>
            </w:pPr>
            <w:r/>
            <w:r>
              <w:rPr>
                <w:sz w:val="14"/>
              </w:rPr>
              <w:t>Operational</w:t>
            </w:r>
          </w:p>
        </w:tc>
        <w:tc>
          <w:tcPr>
            <w:tcW w:type="dxa" w:w="7992"/>
          </w:tcPr>
          <w:p>
            <w:pPr>
              <w:spacing w:after="0"/>
            </w:pPr>
            <w:r/>
            <w:r>
              <w:rPr>
                <w:sz w:val="14"/>
              </w:rPr>
              <w:t>Per-product requested/shipped/delivered quantities on a DO.</w:t>
            </w:r>
          </w:p>
        </w:tc>
      </w:tr>
      <w:tr>
        <w:trPr>
          <w:cantSplit/>
        </w:trPr>
        <w:tc>
          <w:tcPr>
            <w:tcW w:type="dxa" w:w="2232"/>
          </w:tcPr>
          <w:p>
            <w:pPr>
              <w:spacing w:after="0"/>
            </w:pPr>
            <w:r/>
            <w:r>
              <w:rPr>
                <w:sz w:val="14"/>
              </w:rPr>
              <w:t>delivery_orders</w:t>
            </w:r>
          </w:p>
        </w:tc>
        <w:tc>
          <w:tcPr>
            <w:tcW w:type="dxa" w:w="1512"/>
          </w:tcPr>
          <w:p>
            <w:pPr>
              <w:spacing w:after="0"/>
            </w:pPr>
            <w:r/>
            <w:r>
              <w:rPr>
                <w:sz w:val="14"/>
              </w:rPr>
              <w:t>Distribution</w:t>
            </w:r>
          </w:p>
        </w:tc>
        <w:tc>
          <w:tcPr>
            <w:tcW w:type="dxa" w:w="576"/>
          </w:tcPr>
          <w:p>
            <w:pPr>
              <w:spacing w:after="0"/>
            </w:pPr>
            <w:r/>
            <w:r>
              <w:rPr>
                <w:sz w:val="14"/>
              </w:rPr>
              <w:t>16</w:t>
            </w:r>
          </w:p>
        </w:tc>
        <w:tc>
          <w:tcPr>
            <w:tcW w:type="dxa" w:w="1656"/>
          </w:tcPr>
          <w:p>
            <w:pPr>
              <w:spacing w:after="0"/>
            </w:pPr>
            <w:r/>
            <w:r>
              <w:rPr>
                <w:sz w:val="14"/>
              </w:rPr>
              <w:t>Operational</w:t>
            </w:r>
          </w:p>
        </w:tc>
        <w:tc>
          <w:tcPr>
            <w:tcW w:type="dxa" w:w="7992"/>
          </w:tcPr>
          <w:p>
            <w:pPr>
              <w:spacing w:after="0"/>
            </w:pPr>
            <w:r/>
            <w:r>
              <w:rPr>
                <w:sz w:val="14"/>
              </w:rPr>
              <w:t>Delivery order (Surat Jalan) derived from a sales order.</w:t>
            </w:r>
          </w:p>
        </w:tc>
      </w:tr>
      <w:tr>
        <w:trPr>
          <w:cantSplit/>
        </w:trPr>
        <w:tc>
          <w:tcPr>
            <w:tcW w:type="dxa" w:w="2232"/>
          </w:tcPr>
          <w:p>
            <w:pPr>
              <w:spacing w:after="0"/>
            </w:pPr>
            <w:r/>
            <w:r>
              <w:rPr>
                <w:sz w:val="14"/>
              </w:rPr>
              <w:t>delivery_status_history</w:t>
            </w:r>
          </w:p>
        </w:tc>
        <w:tc>
          <w:tcPr>
            <w:tcW w:type="dxa" w:w="1512"/>
          </w:tcPr>
          <w:p>
            <w:pPr>
              <w:spacing w:after="0"/>
            </w:pPr>
            <w:r/>
            <w:r>
              <w:rPr>
                <w:sz w:val="14"/>
              </w:rPr>
              <w:t>Distribution</w:t>
            </w:r>
          </w:p>
        </w:tc>
        <w:tc>
          <w:tcPr>
            <w:tcW w:type="dxa" w:w="576"/>
          </w:tcPr>
          <w:p>
            <w:pPr>
              <w:spacing w:after="0"/>
            </w:pPr>
            <w:r/>
            <w:r>
              <w:rPr>
                <w:sz w:val="14"/>
              </w:rPr>
              <w:t>9</w:t>
            </w:r>
          </w:p>
        </w:tc>
        <w:tc>
          <w:tcPr>
            <w:tcW w:type="dxa" w:w="1656"/>
          </w:tcPr>
          <w:p>
            <w:pPr>
              <w:spacing w:after="0"/>
            </w:pPr>
            <w:r/>
            <w:r>
              <w:rPr>
                <w:sz w:val="14"/>
              </w:rPr>
              <w:t>Operational</w:t>
            </w:r>
          </w:p>
        </w:tc>
        <w:tc>
          <w:tcPr>
            <w:tcW w:type="dxa" w:w="7992"/>
          </w:tcPr>
          <w:p>
            <w:pPr>
              <w:spacing w:after="0"/>
            </w:pPr>
            <w:r/>
            <w:r>
              <w:rPr>
                <w:sz w:val="14"/>
              </w:rPr>
              <w:t>Status transition log for delivery orders.</w:t>
            </w:r>
          </w:p>
        </w:tc>
      </w:tr>
      <w:tr>
        <w:trPr>
          <w:cantSplit/>
        </w:trPr>
        <w:tc>
          <w:tcPr>
            <w:tcW w:type="dxa" w:w="2232"/>
          </w:tcPr>
          <w:p>
            <w:pPr>
              <w:spacing w:after="0"/>
            </w:pPr>
            <w:r/>
            <w:r>
              <w:rPr>
                <w:sz w:val="14"/>
              </w:rPr>
              <w:t>dispatches</w:t>
            </w:r>
          </w:p>
        </w:tc>
        <w:tc>
          <w:tcPr>
            <w:tcW w:type="dxa" w:w="1512"/>
          </w:tcPr>
          <w:p>
            <w:pPr>
              <w:spacing w:after="0"/>
            </w:pPr>
            <w:r/>
            <w:r>
              <w:rPr>
                <w:sz w:val="14"/>
              </w:rPr>
              <w:t>Distribution</w:t>
            </w:r>
          </w:p>
        </w:tc>
        <w:tc>
          <w:tcPr>
            <w:tcW w:type="dxa" w:w="576"/>
          </w:tcPr>
          <w:p>
            <w:pPr>
              <w:spacing w:after="0"/>
            </w:pPr>
            <w:r/>
            <w:r>
              <w:rPr>
                <w:sz w:val="14"/>
              </w:rPr>
              <w:t>13</w:t>
            </w:r>
          </w:p>
        </w:tc>
        <w:tc>
          <w:tcPr>
            <w:tcW w:type="dxa" w:w="1656"/>
          </w:tcPr>
          <w:p>
            <w:pPr>
              <w:spacing w:after="0"/>
            </w:pPr>
            <w:r/>
            <w:r>
              <w:rPr>
                <w:sz w:val="14"/>
              </w:rPr>
              <w:t>Operational</w:t>
            </w:r>
          </w:p>
        </w:tc>
        <w:tc>
          <w:tcPr>
            <w:tcW w:type="dxa" w:w="7992"/>
          </w:tcPr>
          <w:p>
            <w:pPr>
              <w:spacing w:after="0"/>
            </w:pPr>
            <w:r/>
            <w:r>
              <w:rPr>
                <w:sz w:val="14"/>
              </w:rPr>
              <w:t>Dispatch queue entry binding a DO to a shipment, fleet and driver.</w:t>
            </w:r>
          </w:p>
        </w:tc>
      </w:tr>
      <w:tr>
        <w:trPr>
          <w:cantSplit/>
        </w:trPr>
        <w:tc>
          <w:tcPr>
            <w:tcW w:type="dxa" w:w="2232"/>
          </w:tcPr>
          <w:p>
            <w:pPr>
              <w:spacing w:after="0"/>
            </w:pPr>
            <w:r/>
            <w:r>
              <w:rPr>
                <w:sz w:val="14"/>
              </w:rPr>
              <w:t>document_number_sequences</w:t>
            </w:r>
          </w:p>
        </w:tc>
        <w:tc>
          <w:tcPr>
            <w:tcW w:type="dxa" w:w="1512"/>
          </w:tcPr>
          <w:p>
            <w:pPr>
              <w:spacing w:after="0"/>
            </w:pPr>
            <w:r/>
            <w:r>
              <w:rPr>
                <w:sz w:val="14"/>
              </w:rPr>
              <w:t>System</w:t>
            </w:r>
          </w:p>
        </w:tc>
        <w:tc>
          <w:tcPr>
            <w:tcW w:type="dxa" w:w="576"/>
          </w:tcPr>
          <w:p>
            <w:pPr>
              <w:spacing w:after="0"/>
            </w:pPr>
            <w:r/>
            <w:r>
              <w:rPr>
                <w:sz w:val="14"/>
              </w:rPr>
              <w:t>3</w:t>
            </w:r>
          </w:p>
        </w:tc>
        <w:tc>
          <w:tcPr>
            <w:tcW w:type="dxa" w:w="1656"/>
          </w:tcPr>
          <w:p>
            <w:pPr>
              <w:spacing w:after="0"/>
            </w:pPr>
            <w:r/>
            <w:r>
              <w:rPr>
                <w:sz w:val="14"/>
              </w:rPr>
              <w:t>Operational</w:t>
            </w:r>
          </w:p>
        </w:tc>
        <w:tc>
          <w:tcPr>
            <w:tcW w:type="dxa" w:w="7992"/>
          </w:tcPr>
          <w:p>
            <w:pPr>
              <w:spacing w:after="0"/>
            </w:pPr>
            <w:r/>
            <w:r>
              <w:rPr>
                <w:sz w:val="14"/>
              </w:rPr>
              <w:t>Per-prefix, per-date counter backing atomic document numbers.</w:t>
            </w:r>
          </w:p>
        </w:tc>
      </w:tr>
      <w:tr>
        <w:trPr>
          <w:cantSplit/>
        </w:trPr>
        <w:tc>
          <w:tcPr>
            <w:tcW w:type="dxa" w:w="2232"/>
          </w:tcPr>
          <w:p>
            <w:pPr>
              <w:spacing w:after="0"/>
            </w:pPr>
            <w:r/>
            <w:r>
              <w:rPr>
                <w:sz w:val="14"/>
              </w:rPr>
              <w:t>employees</w:t>
            </w:r>
          </w:p>
        </w:tc>
        <w:tc>
          <w:tcPr>
            <w:tcW w:type="dxa" w:w="1512"/>
          </w:tcPr>
          <w:p>
            <w:pPr>
              <w:spacing w:after="0"/>
            </w:pPr>
            <w:r/>
            <w:r>
              <w:rPr>
                <w:sz w:val="14"/>
              </w:rPr>
              <w:t>HR</w:t>
            </w:r>
          </w:p>
        </w:tc>
        <w:tc>
          <w:tcPr>
            <w:tcW w:type="dxa" w:w="576"/>
          </w:tcPr>
          <w:p>
            <w:pPr>
              <w:spacing w:after="0"/>
            </w:pPr>
            <w:r/>
            <w:r>
              <w:rPr>
                <w:sz w:val="14"/>
              </w:rPr>
              <w:t>30</w:t>
            </w:r>
          </w:p>
        </w:tc>
        <w:tc>
          <w:tcPr>
            <w:tcW w:type="dxa" w:w="1656"/>
          </w:tcPr>
          <w:p>
            <w:pPr>
              <w:spacing w:after="0"/>
            </w:pPr>
            <w:r/>
            <w:r>
              <w:rPr>
                <w:sz w:val="14"/>
              </w:rPr>
              <w:t>Sensitive (PII/financial)</w:t>
            </w:r>
          </w:p>
        </w:tc>
        <w:tc>
          <w:tcPr>
            <w:tcW w:type="dxa" w:w="7992"/>
          </w:tcPr>
          <w:p>
            <w:pPr>
              <w:spacing w:after="0"/>
            </w:pPr>
            <w:r/>
            <w:r>
              <w:rPr>
                <w:sz w:val="14"/>
              </w:rPr>
              <w:t>Employee master; also the FK target for sales_id and driver_id.</w:t>
            </w:r>
          </w:p>
        </w:tc>
      </w:tr>
      <w:tr>
        <w:trPr>
          <w:cantSplit/>
        </w:trPr>
        <w:tc>
          <w:tcPr>
            <w:tcW w:type="dxa" w:w="2232"/>
          </w:tcPr>
          <w:p>
            <w:pPr>
              <w:spacing w:after="0"/>
            </w:pPr>
            <w:r/>
            <w:r>
              <w:rPr>
                <w:sz w:val="14"/>
              </w:rPr>
              <w:t>failed_jobs</w:t>
            </w:r>
          </w:p>
        </w:tc>
        <w:tc>
          <w:tcPr>
            <w:tcW w:type="dxa" w:w="1512"/>
          </w:tcPr>
          <w:p>
            <w:pPr>
              <w:spacing w:after="0"/>
            </w:pPr>
            <w:r/>
            <w:r>
              <w:rPr>
                <w:sz w:val="14"/>
              </w:rPr>
              <w:t>Framework</w:t>
            </w:r>
          </w:p>
        </w:tc>
        <w:tc>
          <w:tcPr>
            <w:tcW w:type="dxa" w:w="576"/>
          </w:tcPr>
          <w:p>
            <w:pPr>
              <w:spacing w:after="0"/>
            </w:pPr>
            <w:r/>
            <w:r>
              <w:rPr>
                <w:sz w:val="14"/>
              </w:rPr>
              <w:t>7</w:t>
            </w:r>
          </w:p>
        </w:tc>
        <w:tc>
          <w:tcPr>
            <w:tcW w:type="dxa" w:w="1656"/>
          </w:tcPr>
          <w:p>
            <w:pPr>
              <w:spacing w:after="0"/>
            </w:pPr>
            <w:r/>
            <w:r>
              <w:rPr>
                <w:sz w:val="14"/>
              </w:rPr>
              <w:t>Framework/internal</w:t>
            </w:r>
          </w:p>
        </w:tc>
        <w:tc>
          <w:tcPr>
            <w:tcW w:type="dxa" w:w="7992"/>
          </w:tcPr>
          <w:p>
            <w:pPr>
              <w:spacing w:after="0"/>
            </w:pPr>
            <w:r/>
            <w:r>
              <w:rPr>
                <w:sz w:val="14"/>
              </w:rPr>
              <w:t>Laravel framework failed-job table; unused by the Go backend.</w:t>
            </w:r>
          </w:p>
        </w:tc>
      </w:tr>
      <w:tr>
        <w:trPr>
          <w:cantSplit/>
        </w:trPr>
        <w:tc>
          <w:tcPr>
            <w:tcW w:type="dxa" w:w="2232"/>
          </w:tcPr>
          <w:p>
            <w:pPr>
              <w:spacing w:after="0"/>
            </w:pPr>
            <w:r/>
            <w:r>
              <w:rPr>
                <w:sz w:val="14"/>
              </w:rPr>
              <w:t>fleet</w:t>
            </w:r>
          </w:p>
        </w:tc>
        <w:tc>
          <w:tcPr>
            <w:tcW w:type="dxa" w:w="1512"/>
          </w:tcPr>
          <w:p>
            <w:pPr>
              <w:spacing w:after="0"/>
            </w:pPr>
            <w:r/>
            <w:r>
              <w:rPr>
                <w:sz w:val="14"/>
              </w:rPr>
              <w:t>Distribution</w:t>
            </w:r>
          </w:p>
        </w:tc>
        <w:tc>
          <w:tcPr>
            <w:tcW w:type="dxa" w:w="576"/>
          </w:tcPr>
          <w:p>
            <w:pPr>
              <w:spacing w:after="0"/>
            </w:pPr>
            <w:r/>
            <w:r>
              <w:rPr>
                <w:sz w:val="14"/>
              </w:rPr>
              <w:t>9</w:t>
            </w:r>
          </w:p>
        </w:tc>
        <w:tc>
          <w:tcPr>
            <w:tcW w:type="dxa" w:w="1656"/>
          </w:tcPr>
          <w:p>
            <w:pPr>
              <w:spacing w:after="0"/>
            </w:pPr>
            <w:r/>
            <w:r>
              <w:rPr>
                <w:sz w:val="14"/>
              </w:rPr>
              <w:t>Operational</w:t>
            </w:r>
          </w:p>
        </w:tc>
        <w:tc>
          <w:tcPr>
            <w:tcW w:type="dxa" w:w="7992"/>
          </w:tcPr>
          <w:p>
            <w:pPr>
              <w:spacing w:after="0"/>
            </w:pPr>
            <w:r/>
            <w:r>
              <w:rPr>
                <w:sz w:val="14"/>
              </w:rPr>
              <w:t>Vehicle master for dispatches.</w:t>
            </w:r>
          </w:p>
        </w:tc>
      </w:tr>
      <w:tr>
        <w:trPr>
          <w:cantSplit/>
        </w:trPr>
        <w:tc>
          <w:tcPr>
            <w:tcW w:type="dxa" w:w="2232"/>
          </w:tcPr>
          <w:p>
            <w:pPr>
              <w:spacing w:after="0"/>
            </w:pPr>
            <w:r/>
            <w:r>
              <w:rPr>
                <w:sz w:val="14"/>
              </w:rPr>
              <w:t>galon_transactions</w:t>
            </w:r>
          </w:p>
        </w:tc>
        <w:tc>
          <w:tcPr>
            <w:tcW w:type="dxa" w:w="1512"/>
          </w:tcPr>
          <w:p>
            <w:pPr>
              <w:spacing w:after="0"/>
            </w:pPr>
            <w:r/>
            <w:r>
              <w:rPr>
                <w:sz w:val="14"/>
              </w:rPr>
              <w:t>Galon</w:t>
            </w:r>
          </w:p>
        </w:tc>
        <w:tc>
          <w:tcPr>
            <w:tcW w:type="dxa" w:w="576"/>
          </w:tcPr>
          <w:p>
            <w:pPr>
              <w:spacing w:after="0"/>
            </w:pPr>
            <w:r/>
            <w:r>
              <w:rPr>
                <w:sz w:val="14"/>
              </w:rPr>
              <w:t>18</w:t>
            </w:r>
          </w:p>
        </w:tc>
        <w:tc>
          <w:tcPr>
            <w:tcW w:type="dxa" w:w="1656"/>
          </w:tcPr>
          <w:p>
            <w:pPr>
              <w:spacing w:after="0"/>
            </w:pPr>
            <w:r/>
            <w:r>
              <w:rPr>
                <w:sz w:val="14"/>
              </w:rPr>
              <w:t>Operational</w:t>
            </w:r>
          </w:p>
        </w:tc>
        <w:tc>
          <w:tcPr>
            <w:tcW w:type="dxa" w:w="7992"/>
          </w:tcPr>
          <w:p>
            <w:pPr>
              <w:spacing w:after="0"/>
            </w:pPr>
            <w:r/>
            <w:r>
              <w:rPr>
                <w:sz w:val="14"/>
              </w:rPr>
              <w:t>Refill/new-gallon transactions with container loan tracking.</w:t>
            </w:r>
          </w:p>
        </w:tc>
      </w:tr>
      <w:tr>
        <w:trPr>
          <w:cantSplit/>
        </w:trPr>
        <w:tc>
          <w:tcPr>
            <w:tcW w:type="dxa" w:w="2232"/>
          </w:tcPr>
          <w:p>
            <w:pPr>
              <w:spacing w:after="0"/>
            </w:pPr>
            <w:r/>
            <w:r>
              <w:rPr>
                <w:sz w:val="14"/>
              </w:rPr>
              <w:t>goods_receipt_items</w:t>
            </w:r>
          </w:p>
        </w:tc>
        <w:tc>
          <w:tcPr>
            <w:tcW w:type="dxa" w:w="1512"/>
          </w:tcPr>
          <w:p>
            <w:pPr>
              <w:spacing w:after="0"/>
            </w:pPr>
            <w:r/>
            <w:r>
              <w:rPr>
                <w:sz w:val="14"/>
              </w:rPr>
              <w:t>Purchasing</w:t>
            </w:r>
          </w:p>
        </w:tc>
        <w:tc>
          <w:tcPr>
            <w:tcW w:type="dxa" w:w="576"/>
          </w:tcPr>
          <w:p>
            <w:pPr>
              <w:spacing w:after="0"/>
            </w:pPr>
            <w:r/>
            <w:r>
              <w:rPr>
                <w:sz w:val="14"/>
              </w:rPr>
              <w:t>8</w:t>
            </w:r>
          </w:p>
        </w:tc>
        <w:tc>
          <w:tcPr>
            <w:tcW w:type="dxa" w:w="1656"/>
          </w:tcPr>
          <w:p>
            <w:pPr>
              <w:spacing w:after="0"/>
            </w:pPr>
            <w:r/>
            <w:r>
              <w:rPr>
                <w:sz w:val="14"/>
              </w:rPr>
              <w:t>Operational</w:t>
            </w:r>
          </w:p>
        </w:tc>
        <w:tc>
          <w:tcPr>
            <w:tcW w:type="dxa" w:w="7992"/>
          </w:tcPr>
          <w:p>
            <w:pPr>
              <w:spacing w:after="0"/>
            </w:pPr>
            <w:r/>
            <w:r>
              <w:rPr>
                <w:sz w:val="14"/>
              </w:rPr>
              <w:t>Received lines per goods receipt, with batch and expiry.</w:t>
            </w:r>
          </w:p>
        </w:tc>
      </w:tr>
      <w:tr>
        <w:trPr>
          <w:cantSplit/>
        </w:trPr>
        <w:tc>
          <w:tcPr>
            <w:tcW w:type="dxa" w:w="2232"/>
          </w:tcPr>
          <w:p>
            <w:pPr>
              <w:spacing w:after="0"/>
            </w:pPr>
            <w:r/>
            <w:r>
              <w:rPr>
                <w:sz w:val="14"/>
              </w:rPr>
              <w:t>goods_receipts</w:t>
            </w:r>
          </w:p>
        </w:tc>
        <w:tc>
          <w:tcPr>
            <w:tcW w:type="dxa" w:w="1512"/>
          </w:tcPr>
          <w:p>
            <w:pPr>
              <w:spacing w:after="0"/>
            </w:pPr>
            <w:r/>
            <w:r>
              <w:rPr>
                <w:sz w:val="14"/>
              </w:rPr>
              <w:t>Purchasing</w:t>
            </w:r>
          </w:p>
        </w:tc>
        <w:tc>
          <w:tcPr>
            <w:tcW w:type="dxa" w:w="576"/>
          </w:tcPr>
          <w:p>
            <w:pPr>
              <w:spacing w:after="0"/>
            </w:pPr>
            <w:r/>
            <w:r>
              <w:rPr>
                <w:sz w:val="14"/>
              </w:rPr>
              <w:t>10</w:t>
            </w:r>
          </w:p>
        </w:tc>
        <w:tc>
          <w:tcPr>
            <w:tcW w:type="dxa" w:w="1656"/>
          </w:tcPr>
          <w:p>
            <w:pPr>
              <w:spacing w:after="0"/>
            </w:pPr>
            <w:r/>
            <w:r>
              <w:rPr>
                <w:sz w:val="14"/>
              </w:rPr>
              <w:t>Operational</w:t>
            </w:r>
          </w:p>
        </w:tc>
        <w:tc>
          <w:tcPr>
            <w:tcW w:type="dxa" w:w="7992"/>
          </w:tcPr>
          <w:p>
            <w:pPr>
              <w:spacing w:after="0"/>
            </w:pPr>
            <w:r/>
            <w:r>
              <w:rPr>
                <w:sz w:val="14"/>
              </w:rPr>
              <w:t>Goods receipt header (GR-...) against a purchase order.</w:t>
            </w:r>
          </w:p>
        </w:tc>
      </w:tr>
      <w:tr>
        <w:trPr>
          <w:cantSplit/>
        </w:trPr>
        <w:tc>
          <w:tcPr>
            <w:tcW w:type="dxa" w:w="2232"/>
          </w:tcPr>
          <w:p>
            <w:pPr>
              <w:spacing w:after="0"/>
            </w:pPr>
            <w:r/>
            <w:r>
              <w:rPr>
                <w:sz w:val="14"/>
              </w:rPr>
              <w:t>invoices</w:t>
            </w:r>
          </w:p>
        </w:tc>
        <w:tc>
          <w:tcPr>
            <w:tcW w:type="dxa" w:w="1512"/>
          </w:tcPr>
          <w:p>
            <w:pPr>
              <w:spacing w:after="0"/>
            </w:pPr>
            <w:r/>
            <w:r>
              <w:rPr>
                <w:sz w:val="14"/>
              </w:rPr>
              <w:t>Finance</w:t>
            </w:r>
          </w:p>
        </w:tc>
        <w:tc>
          <w:tcPr>
            <w:tcW w:type="dxa" w:w="576"/>
          </w:tcPr>
          <w:p>
            <w:pPr>
              <w:spacing w:after="0"/>
            </w:pPr>
            <w:r/>
            <w:r>
              <w:rPr>
                <w:sz w:val="14"/>
              </w:rPr>
              <w:t>19</w:t>
            </w:r>
          </w:p>
        </w:tc>
        <w:tc>
          <w:tcPr>
            <w:tcW w:type="dxa" w:w="1656"/>
          </w:tcPr>
          <w:p>
            <w:pPr>
              <w:spacing w:after="0"/>
            </w:pPr>
            <w:r/>
            <w:r>
              <w:rPr>
                <w:sz w:val="14"/>
              </w:rPr>
              <w:t>Sensitive (PII/financial)</w:t>
            </w:r>
          </w:p>
        </w:tc>
        <w:tc>
          <w:tcPr>
            <w:tcW w:type="dxa" w:w="7992"/>
          </w:tcPr>
          <w:p>
            <w:pPr>
              <w:spacing w:after="0"/>
            </w:pPr>
            <w:r/>
            <w:r>
              <w:rPr>
                <w:sz w:val="14"/>
              </w:rPr>
              <w:t>Sales invoices (INV-...) with gateway reconciliation columns.</w:t>
            </w:r>
          </w:p>
        </w:tc>
      </w:tr>
      <w:tr>
        <w:trPr>
          <w:cantSplit/>
        </w:trPr>
        <w:tc>
          <w:tcPr>
            <w:tcW w:type="dxa" w:w="2232"/>
          </w:tcPr>
          <w:p>
            <w:pPr>
              <w:spacing w:after="0"/>
            </w:pPr>
            <w:r/>
            <w:r>
              <w:rPr>
                <w:sz w:val="14"/>
              </w:rPr>
              <w:t>job_batches</w:t>
            </w:r>
          </w:p>
        </w:tc>
        <w:tc>
          <w:tcPr>
            <w:tcW w:type="dxa" w:w="1512"/>
          </w:tcPr>
          <w:p>
            <w:pPr>
              <w:spacing w:after="0"/>
            </w:pPr>
            <w:r/>
            <w:r>
              <w:rPr>
                <w:sz w:val="14"/>
              </w:rPr>
              <w:t>Framework</w:t>
            </w:r>
          </w:p>
        </w:tc>
        <w:tc>
          <w:tcPr>
            <w:tcW w:type="dxa" w:w="576"/>
          </w:tcPr>
          <w:p>
            <w:pPr>
              <w:spacing w:after="0"/>
            </w:pPr>
            <w:r/>
            <w:r>
              <w:rPr>
                <w:sz w:val="14"/>
              </w:rPr>
              <w:t>10</w:t>
            </w:r>
          </w:p>
        </w:tc>
        <w:tc>
          <w:tcPr>
            <w:tcW w:type="dxa" w:w="1656"/>
          </w:tcPr>
          <w:p>
            <w:pPr>
              <w:spacing w:after="0"/>
            </w:pPr>
            <w:r/>
            <w:r>
              <w:rPr>
                <w:sz w:val="14"/>
              </w:rPr>
              <w:t>Framework/internal</w:t>
            </w:r>
          </w:p>
        </w:tc>
        <w:tc>
          <w:tcPr>
            <w:tcW w:type="dxa" w:w="7992"/>
          </w:tcPr>
          <w:p>
            <w:pPr>
              <w:spacing w:after="0"/>
            </w:pPr>
            <w:r/>
            <w:r>
              <w:rPr>
                <w:sz w:val="14"/>
              </w:rPr>
              <w:t>Laravel framework job-batch table; unused by the Go backend.</w:t>
            </w:r>
          </w:p>
        </w:tc>
      </w:tr>
      <w:tr>
        <w:trPr>
          <w:cantSplit/>
        </w:trPr>
        <w:tc>
          <w:tcPr>
            <w:tcW w:type="dxa" w:w="2232"/>
          </w:tcPr>
          <w:p>
            <w:pPr>
              <w:spacing w:after="0"/>
            </w:pPr>
            <w:r/>
            <w:r>
              <w:rPr>
                <w:sz w:val="14"/>
              </w:rPr>
              <w:t>jobs</w:t>
            </w:r>
          </w:p>
        </w:tc>
        <w:tc>
          <w:tcPr>
            <w:tcW w:type="dxa" w:w="1512"/>
          </w:tcPr>
          <w:p>
            <w:pPr>
              <w:spacing w:after="0"/>
            </w:pPr>
            <w:r/>
            <w:r>
              <w:rPr>
                <w:sz w:val="14"/>
              </w:rPr>
              <w:t>Framework</w:t>
            </w:r>
          </w:p>
        </w:tc>
        <w:tc>
          <w:tcPr>
            <w:tcW w:type="dxa" w:w="576"/>
          </w:tcPr>
          <w:p>
            <w:pPr>
              <w:spacing w:after="0"/>
            </w:pPr>
            <w:r/>
            <w:r>
              <w:rPr>
                <w:sz w:val="14"/>
              </w:rPr>
              <w:t>7</w:t>
            </w:r>
          </w:p>
        </w:tc>
        <w:tc>
          <w:tcPr>
            <w:tcW w:type="dxa" w:w="1656"/>
          </w:tcPr>
          <w:p>
            <w:pPr>
              <w:spacing w:after="0"/>
            </w:pPr>
            <w:r/>
            <w:r>
              <w:rPr>
                <w:sz w:val="14"/>
              </w:rPr>
              <w:t>Framework/internal</w:t>
            </w:r>
          </w:p>
        </w:tc>
        <w:tc>
          <w:tcPr>
            <w:tcW w:type="dxa" w:w="7992"/>
          </w:tcPr>
          <w:p>
            <w:pPr>
              <w:spacing w:after="0"/>
            </w:pPr>
            <w:r/>
            <w:r>
              <w:rPr>
                <w:sz w:val="14"/>
              </w:rPr>
              <w:t>Laravel framework queue table; unused by the Go backend.</w:t>
            </w:r>
          </w:p>
        </w:tc>
      </w:tr>
      <w:tr>
        <w:trPr>
          <w:cantSplit/>
        </w:trPr>
        <w:tc>
          <w:tcPr>
            <w:tcW w:type="dxa" w:w="2232"/>
          </w:tcPr>
          <w:p>
            <w:pPr>
              <w:spacing w:after="0"/>
            </w:pPr>
            <w:r/>
            <w:r>
              <w:rPr>
                <w:sz w:val="14"/>
              </w:rPr>
              <w:t>journal_entries</w:t>
            </w:r>
          </w:p>
        </w:tc>
        <w:tc>
          <w:tcPr>
            <w:tcW w:type="dxa" w:w="1512"/>
          </w:tcPr>
          <w:p>
            <w:pPr>
              <w:spacing w:after="0"/>
            </w:pPr>
            <w:r/>
            <w:r>
              <w:rPr>
                <w:sz w:val="14"/>
              </w:rPr>
              <w:t>Accounting</w:t>
            </w:r>
          </w:p>
        </w:tc>
        <w:tc>
          <w:tcPr>
            <w:tcW w:type="dxa" w:w="576"/>
          </w:tcPr>
          <w:p>
            <w:pPr>
              <w:spacing w:after="0"/>
            </w:pPr>
            <w:r/>
            <w:r>
              <w:rPr>
                <w:sz w:val="14"/>
              </w:rPr>
              <w:t>20</w:t>
            </w:r>
          </w:p>
        </w:tc>
        <w:tc>
          <w:tcPr>
            <w:tcW w:type="dxa" w:w="1656"/>
          </w:tcPr>
          <w:p>
            <w:pPr>
              <w:spacing w:after="0"/>
            </w:pPr>
            <w:r/>
            <w:r>
              <w:rPr>
                <w:sz w:val="14"/>
              </w:rPr>
              <w:t>Sensitive (PII/financial)</w:t>
            </w:r>
          </w:p>
        </w:tc>
        <w:tc>
          <w:tcPr>
            <w:tcW w:type="dxa" w:w="7992"/>
          </w:tcPr>
          <w:p>
            <w:pPr>
              <w:spacing w:after="0"/>
            </w:pPr>
            <w:r/>
            <w:r>
              <w:rPr>
                <w:sz w:val="14"/>
              </w:rPr>
              <w:t>Double-entry journal header with posting/reversal state.</w:t>
            </w:r>
          </w:p>
        </w:tc>
      </w:tr>
      <w:tr>
        <w:trPr>
          <w:cantSplit/>
        </w:trPr>
        <w:tc>
          <w:tcPr>
            <w:tcW w:type="dxa" w:w="2232"/>
          </w:tcPr>
          <w:p>
            <w:pPr>
              <w:spacing w:after="0"/>
            </w:pPr>
            <w:r/>
            <w:r>
              <w:rPr>
                <w:sz w:val="14"/>
              </w:rPr>
              <w:t>journal_lines</w:t>
            </w:r>
          </w:p>
        </w:tc>
        <w:tc>
          <w:tcPr>
            <w:tcW w:type="dxa" w:w="1512"/>
          </w:tcPr>
          <w:p>
            <w:pPr>
              <w:spacing w:after="0"/>
            </w:pPr>
            <w:r/>
            <w:r>
              <w:rPr>
                <w:sz w:val="14"/>
              </w:rPr>
              <w:t>Accounting</w:t>
            </w:r>
          </w:p>
        </w:tc>
        <w:tc>
          <w:tcPr>
            <w:tcW w:type="dxa" w:w="576"/>
          </w:tcPr>
          <w:p>
            <w:pPr>
              <w:spacing w:after="0"/>
            </w:pPr>
            <w:r/>
            <w:r>
              <w:rPr>
                <w:sz w:val="14"/>
              </w:rPr>
              <w:t>7</w:t>
            </w:r>
          </w:p>
        </w:tc>
        <w:tc>
          <w:tcPr>
            <w:tcW w:type="dxa" w:w="1656"/>
          </w:tcPr>
          <w:p>
            <w:pPr>
              <w:spacing w:after="0"/>
            </w:pPr>
            <w:r/>
            <w:r>
              <w:rPr>
                <w:sz w:val="14"/>
              </w:rPr>
              <w:t>Operational</w:t>
            </w:r>
          </w:p>
        </w:tc>
        <w:tc>
          <w:tcPr>
            <w:tcW w:type="dxa" w:w="7992"/>
          </w:tcPr>
          <w:p>
            <w:pPr>
              <w:spacing w:after="0"/>
            </w:pPr>
            <w:r/>
            <w:r>
              <w:rPr>
                <w:sz w:val="14"/>
              </w:rPr>
              <w:t>Debit/credit lines of a journal entry.</w:t>
            </w:r>
          </w:p>
        </w:tc>
      </w:tr>
      <w:tr>
        <w:trPr>
          <w:cantSplit/>
        </w:trPr>
        <w:tc>
          <w:tcPr>
            <w:tcW w:type="dxa" w:w="2232"/>
          </w:tcPr>
          <w:p>
            <w:pPr>
              <w:spacing w:after="0"/>
            </w:pPr>
            <w:r/>
            <w:r>
              <w:rPr>
                <w:sz w:val="14"/>
              </w:rPr>
              <w:t>leaves</w:t>
            </w:r>
          </w:p>
        </w:tc>
        <w:tc>
          <w:tcPr>
            <w:tcW w:type="dxa" w:w="1512"/>
          </w:tcPr>
          <w:p>
            <w:pPr>
              <w:spacing w:after="0"/>
            </w:pPr>
            <w:r/>
            <w:r>
              <w:rPr>
                <w:sz w:val="14"/>
              </w:rPr>
              <w:t>HR</w:t>
            </w:r>
          </w:p>
        </w:tc>
        <w:tc>
          <w:tcPr>
            <w:tcW w:type="dxa" w:w="576"/>
          </w:tcPr>
          <w:p>
            <w:pPr>
              <w:spacing w:after="0"/>
            </w:pPr>
            <w:r/>
            <w:r>
              <w:rPr>
                <w:sz w:val="14"/>
              </w:rPr>
              <w:t>13</w:t>
            </w:r>
          </w:p>
        </w:tc>
        <w:tc>
          <w:tcPr>
            <w:tcW w:type="dxa" w:w="1656"/>
          </w:tcPr>
          <w:p>
            <w:pPr>
              <w:spacing w:after="0"/>
            </w:pPr>
            <w:r/>
            <w:r>
              <w:rPr>
                <w:sz w:val="14"/>
              </w:rPr>
              <w:t>Operational</w:t>
            </w:r>
          </w:p>
        </w:tc>
        <w:tc>
          <w:tcPr>
            <w:tcW w:type="dxa" w:w="7992"/>
          </w:tcPr>
          <w:p>
            <w:pPr>
              <w:spacing w:after="0"/>
            </w:pPr>
            <w:r/>
            <w:r>
              <w:rPr>
                <w:sz w:val="14"/>
              </w:rPr>
              <w:t>Employee leave requests with approval state.</w:t>
            </w:r>
          </w:p>
        </w:tc>
      </w:tr>
      <w:tr>
        <w:trPr>
          <w:cantSplit/>
        </w:trPr>
        <w:tc>
          <w:tcPr>
            <w:tcW w:type="dxa" w:w="2232"/>
          </w:tcPr>
          <w:p>
            <w:pPr>
              <w:spacing w:after="0"/>
            </w:pPr>
            <w:r/>
            <w:r>
              <w:rPr>
                <w:sz w:val="14"/>
              </w:rPr>
              <w:t>lhpp_group_history</w:t>
            </w:r>
          </w:p>
        </w:tc>
        <w:tc>
          <w:tcPr>
            <w:tcW w:type="dxa" w:w="1512"/>
          </w:tcPr>
          <w:p>
            <w:pPr>
              <w:spacing w:after="0"/>
            </w:pPr>
            <w:r/>
            <w:r>
              <w:rPr>
                <w:sz w:val="14"/>
              </w:rPr>
              <w:t>Distribution</w:t>
            </w:r>
          </w:p>
        </w:tc>
        <w:tc>
          <w:tcPr>
            <w:tcW w:type="dxa" w:w="576"/>
          </w:tcPr>
          <w:p>
            <w:pPr>
              <w:spacing w:after="0"/>
            </w:pPr>
            <w:r/>
            <w:r>
              <w:rPr>
                <w:sz w:val="14"/>
              </w:rPr>
              <w:t>10</w:t>
            </w:r>
          </w:p>
        </w:tc>
        <w:tc>
          <w:tcPr>
            <w:tcW w:type="dxa" w:w="1656"/>
          </w:tcPr>
          <w:p>
            <w:pPr>
              <w:spacing w:after="0"/>
            </w:pPr>
            <w:r/>
            <w:r>
              <w:rPr>
                <w:sz w:val="14"/>
              </w:rPr>
              <w:t>Operational</w:t>
            </w:r>
          </w:p>
        </w:tc>
        <w:tc>
          <w:tcPr>
            <w:tcW w:type="dxa" w:w="7992"/>
          </w:tcPr>
          <w:p>
            <w:pPr>
              <w:spacing w:after="0"/>
            </w:pPr>
            <w:r/>
            <w:r>
              <w:rPr>
                <w:sz w:val="14"/>
              </w:rPr>
              <w:t>Audit trail for LHPP group membership changes.</w:t>
            </w:r>
          </w:p>
        </w:tc>
      </w:tr>
      <w:tr>
        <w:trPr>
          <w:cantSplit/>
        </w:trPr>
        <w:tc>
          <w:tcPr>
            <w:tcW w:type="dxa" w:w="2232"/>
          </w:tcPr>
          <w:p>
            <w:pPr>
              <w:spacing w:after="0"/>
            </w:pPr>
            <w:r/>
            <w:r>
              <w:rPr>
                <w:sz w:val="14"/>
              </w:rPr>
              <w:t>lhpp_group_items</w:t>
            </w:r>
          </w:p>
        </w:tc>
        <w:tc>
          <w:tcPr>
            <w:tcW w:type="dxa" w:w="1512"/>
          </w:tcPr>
          <w:p>
            <w:pPr>
              <w:spacing w:after="0"/>
            </w:pPr>
            <w:r/>
            <w:r>
              <w:rPr>
                <w:sz w:val="14"/>
              </w:rPr>
              <w:t>Distribution</w:t>
            </w:r>
          </w:p>
        </w:tc>
        <w:tc>
          <w:tcPr>
            <w:tcW w:type="dxa" w:w="576"/>
          </w:tcPr>
          <w:p>
            <w:pPr>
              <w:spacing w:after="0"/>
            </w:pPr>
            <w:r/>
            <w:r>
              <w:rPr>
                <w:sz w:val="14"/>
              </w:rPr>
              <w:t>5</w:t>
            </w:r>
          </w:p>
        </w:tc>
        <w:tc>
          <w:tcPr>
            <w:tcW w:type="dxa" w:w="1656"/>
          </w:tcPr>
          <w:p>
            <w:pPr>
              <w:spacing w:after="0"/>
            </w:pPr>
            <w:r/>
            <w:r>
              <w:rPr>
                <w:sz w:val="14"/>
              </w:rPr>
              <w:t>Operational</w:t>
            </w:r>
          </w:p>
        </w:tc>
        <w:tc>
          <w:tcPr>
            <w:tcW w:type="dxa" w:w="7992"/>
          </w:tcPr>
          <w:p>
            <w:pPr>
              <w:spacing w:after="0"/>
            </w:pPr>
            <w:r/>
            <w:r>
              <w:rPr>
                <w:sz w:val="14"/>
              </w:rPr>
              <w:t>Delivery orders assigned to an LHPP group.</w:t>
            </w:r>
          </w:p>
        </w:tc>
      </w:tr>
      <w:tr>
        <w:trPr>
          <w:cantSplit/>
        </w:trPr>
        <w:tc>
          <w:tcPr>
            <w:tcW w:type="dxa" w:w="2232"/>
          </w:tcPr>
          <w:p>
            <w:pPr>
              <w:spacing w:after="0"/>
            </w:pPr>
            <w:r/>
            <w:r>
              <w:rPr>
                <w:sz w:val="14"/>
              </w:rPr>
              <w:t>lhpp_groups</w:t>
            </w:r>
          </w:p>
        </w:tc>
        <w:tc>
          <w:tcPr>
            <w:tcW w:type="dxa" w:w="1512"/>
          </w:tcPr>
          <w:p>
            <w:pPr>
              <w:spacing w:after="0"/>
            </w:pPr>
            <w:r/>
            <w:r>
              <w:rPr>
                <w:sz w:val="14"/>
              </w:rPr>
              <w:t>Distribution</w:t>
            </w:r>
          </w:p>
        </w:tc>
        <w:tc>
          <w:tcPr>
            <w:tcW w:type="dxa" w:w="576"/>
          </w:tcPr>
          <w:p>
            <w:pPr>
              <w:spacing w:after="0"/>
            </w:pPr>
            <w:r/>
            <w:r>
              <w:rPr>
                <w:sz w:val="14"/>
              </w:rPr>
              <w:t>10</w:t>
            </w:r>
          </w:p>
        </w:tc>
        <w:tc>
          <w:tcPr>
            <w:tcW w:type="dxa" w:w="1656"/>
          </w:tcPr>
          <w:p>
            <w:pPr>
              <w:spacing w:after="0"/>
            </w:pPr>
            <w:r/>
            <w:r>
              <w:rPr>
                <w:sz w:val="14"/>
              </w:rPr>
              <w:t>Operational</w:t>
            </w:r>
          </w:p>
        </w:tc>
        <w:tc>
          <w:tcPr>
            <w:tcW w:type="dxa" w:w="7992"/>
          </w:tcPr>
          <w:p>
            <w:pPr>
              <w:spacing w:after="0"/>
            </w:pPr>
            <w:r/>
            <w:r>
              <w:rPr>
                <w:sz w:val="14"/>
              </w:rPr>
              <w:t>LHPP (delivery/route settlement) group per driver and date.</w:t>
            </w:r>
          </w:p>
        </w:tc>
      </w:tr>
      <w:tr>
        <w:trPr>
          <w:cantSplit/>
        </w:trPr>
        <w:tc>
          <w:tcPr>
            <w:tcW w:type="dxa" w:w="2232"/>
          </w:tcPr>
          <w:p>
            <w:pPr>
              <w:spacing w:after="0"/>
            </w:pPr>
            <w:r/>
            <w:r>
              <w:rPr>
                <w:sz w:val="14"/>
              </w:rPr>
              <w:t>membership_tier_config_history</w:t>
            </w:r>
          </w:p>
        </w:tc>
        <w:tc>
          <w:tcPr>
            <w:tcW w:type="dxa" w:w="1512"/>
          </w:tcPr>
          <w:p>
            <w:pPr>
              <w:spacing w:after="0"/>
            </w:pPr>
            <w:r/>
            <w:r>
              <w:rPr>
                <w:sz w:val="14"/>
              </w:rPr>
              <w:t>Membership</w:t>
            </w:r>
          </w:p>
        </w:tc>
        <w:tc>
          <w:tcPr>
            <w:tcW w:type="dxa" w:w="576"/>
          </w:tcPr>
          <w:p>
            <w:pPr>
              <w:spacing w:after="0"/>
            </w:pPr>
            <w:r/>
            <w:r>
              <w:rPr>
                <w:sz w:val="14"/>
              </w:rPr>
              <w:t>13</w:t>
            </w:r>
          </w:p>
        </w:tc>
        <w:tc>
          <w:tcPr>
            <w:tcW w:type="dxa" w:w="1656"/>
          </w:tcPr>
          <w:p>
            <w:pPr>
              <w:spacing w:after="0"/>
            </w:pPr>
            <w:r/>
            <w:r>
              <w:rPr>
                <w:sz w:val="14"/>
              </w:rPr>
              <w:t>Operational</w:t>
            </w:r>
          </w:p>
        </w:tc>
        <w:tc>
          <w:tcPr>
            <w:tcW w:type="dxa" w:w="7992"/>
          </w:tcPr>
          <w:p>
            <w:pPr>
              <w:spacing w:after="0"/>
            </w:pPr>
            <w:r/>
            <w:r>
              <w:rPr>
                <w:sz w:val="14"/>
              </w:rPr>
              <w:t>Audit trail of tier discount/requirement changes.</w:t>
            </w:r>
          </w:p>
        </w:tc>
      </w:tr>
      <w:tr>
        <w:trPr>
          <w:cantSplit/>
        </w:trPr>
        <w:tc>
          <w:tcPr>
            <w:tcW w:type="dxa" w:w="2232"/>
          </w:tcPr>
          <w:p>
            <w:pPr>
              <w:spacing w:after="0"/>
            </w:pPr>
            <w:r/>
            <w:r>
              <w:rPr>
                <w:sz w:val="14"/>
              </w:rPr>
              <w:t>membership_tier_history</w:t>
            </w:r>
          </w:p>
        </w:tc>
        <w:tc>
          <w:tcPr>
            <w:tcW w:type="dxa" w:w="1512"/>
          </w:tcPr>
          <w:p>
            <w:pPr>
              <w:spacing w:after="0"/>
            </w:pPr>
            <w:r/>
            <w:r>
              <w:rPr>
                <w:sz w:val="14"/>
              </w:rPr>
              <w:t>Membership</w:t>
            </w:r>
          </w:p>
        </w:tc>
        <w:tc>
          <w:tcPr>
            <w:tcW w:type="dxa" w:w="576"/>
          </w:tcPr>
          <w:p>
            <w:pPr>
              <w:spacing w:after="0"/>
            </w:pPr>
            <w:r/>
            <w:r>
              <w:rPr>
                <w:sz w:val="14"/>
              </w:rPr>
              <w:t>7</w:t>
            </w:r>
          </w:p>
        </w:tc>
        <w:tc>
          <w:tcPr>
            <w:tcW w:type="dxa" w:w="1656"/>
          </w:tcPr>
          <w:p>
            <w:pPr>
              <w:spacing w:after="0"/>
            </w:pPr>
            <w:r/>
            <w:r>
              <w:rPr>
                <w:sz w:val="14"/>
              </w:rPr>
              <w:t>Operational</w:t>
            </w:r>
          </w:p>
        </w:tc>
        <w:tc>
          <w:tcPr>
            <w:tcW w:type="dxa" w:w="7992"/>
          </w:tcPr>
          <w:p>
            <w:pPr>
              <w:spacing w:after="0"/>
            </w:pPr>
            <w:r/>
            <w:r>
              <w:rPr>
                <w:sz w:val="14"/>
              </w:rPr>
              <w:t>Audit trail of a member's tier changes.</w:t>
            </w:r>
          </w:p>
        </w:tc>
      </w:tr>
      <w:tr>
        <w:trPr>
          <w:cantSplit/>
        </w:trPr>
        <w:tc>
          <w:tcPr>
            <w:tcW w:type="dxa" w:w="2232"/>
          </w:tcPr>
          <w:p>
            <w:pPr>
              <w:spacing w:after="0"/>
            </w:pPr>
            <w:r/>
            <w:r>
              <w:rPr>
                <w:sz w:val="14"/>
              </w:rPr>
              <w:t>membership_tiers</w:t>
            </w:r>
          </w:p>
        </w:tc>
        <w:tc>
          <w:tcPr>
            <w:tcW w:type="dxa" w:w="1512"/>
          </w:tcPr>
          <w:p>
            <w:pPr>
              <w:spacing w:after="0"/>
            </w:pPr>
            <w:r/>
            <w:r>
              <w:rPr>
                <w:sz w:val="14"/>
              </w:rPr>
              <w:t>Membership</w:t>
            </w:r>
          </w:p>
        </w:tc>
        <w:tc>
          <w:tcPr>
            <w:tcW w:type="dxa" w:w="576"/>
          </w:tcPr>
          <w:p>
            <w:pPr>
              <w:spacing w:after="0"/>
            </w:pPr>
            <w:r/>
            <w:r>
              <w:rPr>
                <w:sz w:val="14"/>
              </w:rPr>
              <w:t>10</w:t>
            </w:r>
          </w:p>
        </w:tc>
        <w:tc>
          <w:tcPr>
            <w:tcW w:type="dxa" w:w="1656"/>
          </w:tcPr>
          <w:p>
            <w:pPr>
              <w:spacing w:after="0"/>
            </w:pPr>
            <w:r/>
            <w:r>
              <w:rPr>
                <w:sz w:val="14"/>
              </w:rPr>
              <w:t>Operational</w:t>
            </w:r>
          </w:p>
        </w:tc>
        <w:tc>
          <w:tcPr>
            <w:tcW w:type="dxa" w:w="7992"/>
          </w:tcPr>
          <w:p>
            <w:pPr>
              <w:spacing w:after="0"/>
            </w:pPr>
            <w:r/>
            <w:r>
              <w:rPr>
                <w:sz w:val="14"/>
              </w:rPr>
              <w:t>Tier catalogue with discount_type/value and promotion thresholds.</w:t>
            </w:r>
          </w:p>
        </w:tc>
      </w:tr>
      <w:tr>
        <w:trPr>
          <w:cantSplit/>
        </w:trPr>
        <w:tc>
          <w:tcPr>
            <w:tcW w:type="dxa" w:w="2232"/>
          </w:tcPr>
          <w:p>
            <w:pPr>
              <w:spacing w:after="0"/>
            </w:pPr>
            <w:r/>
            <w:r>
              <w:rPr>
                <w:sz w:val="14"/>
              </w:rPr>
              <w:t>memberships</w:t>
            </w:r>
          </w:p>
        </w:tc>
        <w:tc>
          <w:tcPr>
            <w:tcW w:type="dxa" w:w="1512"/>
          </w:tcPr>
          <w:p>
            <w:pPr>
              <w:spacing w:after="0"/>
            </w:pPr>
            <w:r/>
            <w:r>
              <w:rPr>
                <w:sz w:val="14"/>
              </w:rPr>
              <w:t>Membership</w:t>
            </w:r>
          </w:p>
        </w:tc>
        <w:tc>
          <w:tcPr>
            <w:tcW w:type="dxa" w:w="576"/>
          </w:tcPr>
          <w:p>
            <w:pPr>
              <w:spacing w:after="0"/>
            </w:pPr>
            <w:r/>
            <w:r>
              <w:rPr>
                <w:sz w:val="14"/>
              </w:rPr>
              <w:t>11</w:t>
            </w:r>
          </w:p>
        </w:tc>
        <w:tc>
          <w:tcPr>
            <w:tcW w:type="dxa" w:w="1656"/>
          </w:tcPr>
          <w:p>
            <w:pPr>
              <w:spacing w:after="0"/>
            </w:pPr>
            <w:r/>
            <w:r>
              <w:rPr>
                <w:sz w:val="14"/>
              </w:rPr>
              <w:t>Operational</w:t>
            </w:r>
          </w:p>
        </w:tc>
        <w:tc>
          <w:tcPr>
            <w:tcW w:type="dxa" w:w="7992"/>
          </w:tcPr>
          <w:p>
            <w:pPr>
              <w:spacing w:after="0"/>
            </w:pPr>
            <w:r/>
            <w:r>
              <w:rPr>
                <w:sz w:val="14"/>
              </w:rPr>
              <w:t>Customer membership identity, tier and points.</w:t>
            </w:r>
          </w:p>
        </w:tc>
      </w:tr>
      <w:tr>
        <w:trPr>
          <w:cantSplit/>
        </w:trPr>
        <w:tc>
          <w:tcPr>
            <w:tcW w:type="dxa" w:w="2232"/>
          </w:tcPr>
          <w:p>
            <w:pPr>
              <w:spacing w:after="0"/>
            </w:pPr>
            <w:r/>
            <w:r>
              <w:rPr>
                <w:sz w:val="14"/>
              </w:rPr>
              <w:t>migrations</w:t>
            </w:r>
          </w:p>
        </w:tc>
        <w:tc>
          <w:tcPr>
            <w:tcW w:type="dxa" w:w="1512"/>
          </w:tcPr>
          <w:p>
            <w:pPr>
              <w:spacing w:after="0"/>
            </w:pPr>
            <w:r/>
            <w:r>
              <w:rPr>
                <w:sz w:val="14"/>
              </w:rPr>
              <w:t>Framework</w:t>
            </w:r>
          </w:p>
        </w:tc>
        <w:tc>
          <w:tcPr>
            <w:tcW w:type="dxa" w:w="576"/>
          </w:tcPr>
          <w:p>
            <w:pPr>
              <w:spacing w:after="0"/>
            </w:pPr>
            <w:r/>
            <w:r>
              <w:rPr>
                <w:sz w:val="14"/>
              </w:rPr>
              <w:t>3</w:t>
            </w:r>
          </w:p>
        </w:tc>
        <w:tc>
          <w:tcPr>
            <w:tcW w:type="dxa" w:w="1656"/>
          </w:tcPr>
          <w:p>
            <w:pPr>
              <w:spacing w:after="0"/>
            </w:pPr>
            <w:r/>
            <w:r>
              <w:rPr>
                <w:sz w:val="14"/>
              </w:rPr>
              <w:t>Framework/internal</w:t>
            </w:r>
          </w:p>
        </w:tc>
        <w:tc>
          <w:tcPr>
            <w:tcW w:type="dxa" w:w="7992"/>
          </w:tcPr>
          <w:p>
            <w:pPr>
              <w:spacing w:after="0"/>
            </w:pPr>
            <w:r/>
            <w:r>
              <w:rPr>
                <w:sz w:val="14"/>
              </w:rPr>
              <w:t>Legacy Laravel migration bookkeeping table (not used by dbmigrate).</w:t>
            </w:r>
          </w:p>
        </w:tc>
      </w:tr>
      <w:tr>
        <w:trPr>
          <w:cantSplit/>
        </w:trPr>
        <w:tc>
          <w:tcPr>
            <w:tcW w:type="dxa" w:w="2232"/>
          </w:tcPr>
          <w:p>
            <w:pPr>
              <w:spacing w:after="0"/>
            </w:pPr>
            <w:r/>
            <w:r>
              <w:rPr>
                <w:sz w:val="14"/>
              </w:rPr>
              <w:t>password_reset_tokens</w:t>
            </w:r>
          </w:p>
        </w:tc>
        <w:tc>
          <w:tcPr>
            <w:tcW w:type="dxa" w:w="1512"/>
          </w:tcPr>
          <w:p>
            <w:pPr>
              <w:spacing w:after="0"/>
            </w:pPr>
            <w:r/>
            <w:r>
              <w:rPr>
                <w:sz w:val="14"/>
              </w:rPr>
              <w:t>Auth</w:t>
            </w:r>
          </w:p>
        </w:tc>
        <w:tc>
          <w:tcPr>
            <w:tcW w:type="dxa" w:w="576"/>
          </w:tcPr>
          <w:p>
            <w:pPr>
              <w:spacing w:after="0"/>
            </w:pPr>
            <w:r/>
            <w:r>
              <w:rPr>
                <w:sz w:val="14"/>
              </w:rPr>
              <w:t>3</w:t>
            </w:r>
          </w:p>
        </w:tc>
        <w:tc>
          <w:tcPr>
            <w:tcW w:type="dxa" w:w="1656"/>
          </w:tcPr>
          <w:p>
            <w:pPr>
              <w:spacing w:after="0"/>
            </w:pPr>
            <w:r/>
            <w:r>
              <w:rPr>
                <w:sz w:val="14"/>
              </w:rPr>
              <w:t>Framework/internal</w:t>
            </w:r>
          </w:p>
        </w:tc>
        <w:tc>
          <w:tcPr>
            <w:tcW w:type="dxa" w:w="7992"/>
          </w:tcPr>
          <w:p>
            <w:pPr>
              <w:spacing w:after="0"/>
            </w:pPr>
            <w:r/>
            <w:r>
              <w:rPr>
                <w:sz w:val="14"/>
              </w:rPr>
              <w:t>Single-use password reset token per email.</w:t>
            </w:r>
          </w:p>
        </w:tc>
      </w:tr>
      <w:tr>
        <w:trPr>
          <w:cantSplit/>
        </w:trPr>
        <w:tc>
          <w:tcPr>
            <w:tcW w:type="dxa" w:w="2232"/>
          </w:tcPr>
          <w:p>
            <w:pPr>
              <w:spacing w:after="0"/>
            </w:pPr>
            <w:r/>
            <w:r>
              <w:rPr>
                <w:sz w:val="14"/>
              </w:rPr>
              <w:t>payment_voucher_lines</w:t>
            </w:r>
          </w:p>
        </w:tc>
        <w:tc>
          <w:tcPr>
            <w:tcW w:type="dxa" w:w="1512"/>
          </w:tcPr>
          <w:p>
            <w:pPr>
              <w:spacing w:after="0"/>
            </w:pPr>
            <w:r/>
            <w:r>
              <w:rPr>
                <w:sz w:val="14"/>
              </w:rPr>
              <w:t>Accounting</w:t>
            </w:r>
          </w:p>
        </w:tc>
        <w:tc>
          <w:tcPr>
            <w:tcW w:type="dxa" w:w="576"/>
          </w:tcPr>
          <w:p>
            <w:pPr>
              <w:spacing w:after="0"/>
            </w:pPr>
            <w:r/>
            <w:r>
              <w:rPr>
                <w:sz w:val="14"/>
              </w:rPr>
              <w:t>6</w:t>
            </w:r>
          </w:p>
        </w:tc>
        <w:tc>
          <w:tcPr>
            <w:tcW w:type="dxa" w:w="1656"/>
          </w:tcPr>
          <w:p>
            <w:pPr>
              <w:spacing w:after="0"/>
            </w:pPr>
            <w:r/>
            <w:r>
              <w:rPr>
                <w:sz w:val="14"/>
              </w:rPr>
              <w:t>Operational</w:t>
            </w:r>
          </w:p>
        </w:tc>
        <w:tc>
          <w:tcPr>
            <w:tcW w:type="dxa" w:w="7992"/>
          </w:tcPr>
          <w:p>
            <w:pPr>
              <w:spacing w:after="0"/>
            </w:pPr>
            <w:r/>
            <w:r>
              <w:rPr>
                <w:sz w:val="14"/>
              </w:rPr>
              <w:t>Expense allocation lines of a payment voucher.</w:t>
            </w:r>
          </w:p>
        </w:tc>
      </w:tr>
      <w:tr>
        <w:trPr>
          <w:cantSplit/>
        </w:trPr>
        <w:tc>
          <w:tcPr>
            <w:tcW w:type="dxa" w:w="2232"/>
          </w:tcPr>
          <w:p>
            <w:pPr>
              <w:spacing w:after="0"/>
            </w:pPr>
            <w:r/>
            <w:r>
              <w:rPr>
                <w:sz w:val="14"/>
              </w:rPr>
              <w:t>payment_vouchers</w:t>
            </w:r>
          </w:p>
        </w:tc>
        <w:tc>
          <w:tcPr>
            <w:tcW w:type="dxa" w:w="1512"/>
          </w:tcPr>
          <w:p>
            <w:pPr>
              <w:spacing w:after="0"/>
            </w:pPr>
            <w:r/>
            <w:r>
              <w:rPr>
                <w:sz w:val="14"/>
              </w:rPr>
              <w:t>Accounting</w:t>
            </w:r>
          </w:p>
        </w:tc>
        <w:tc>
          <w:tcPr>
            <w:tcW w:type="dxa" w:w="576"/>
          </w:tcPr>
          <w:p>
            <w:pPr>
              <w:spacing w:after="0"/>
            </w:pPr>
            <w:r/>
            <w:r>
              <w:rPr>
                <w:sz w:val="14"/>
              </w:rPr>
              <w:t>16</w:t>
            </w:r>
          </w:p>
        </w:tc>
        <w:tc>
          <w:tcPr>
            <w:tcW w:type="dxa" w:w="1656"/>
          </w:tcPr>
          <w:p>
            <w:pPr>
              <w:spacing w:after="0"/>
            </w:pPr>
            <w:r/>
            <w:r>
              <w:rPr>
                <w:sz w:val="14"/>
              </w:rPr>
              <w:t>Operational</w:t>
            </w:r>
          </w:p>
        </w:tc>
        <w:tc>
          <w:tcPr>
            <w:tcW w:type="dxa" w:w="7992"/>
          </w:tcPr>
          <w:p>
            <w:pPr>
              <w:spacing w:after="0"/>
            </w:pPr>
            <w:r/>
            <w:r>
              <w:rPr>
                <w:sz w:val="14"/>
              </w:rPr>
              <w:t>Cash/bank payment voucher (PV-) with approval state.</w:t>
            </w:r>
          </w:p>
        </w:tc>
      </w:tr>
      <w:tr>
        <w:trPr>
          <w:cantSplit/>
        </w:trPr>
        <w:tc>
          <w:tcPr>
            <w:tcW w:type="dxa" w:w="2232"/>
          </w:tcPr>
          <w:p>
            <w:pPr>
              <w:spacing w:after="0"/>
            </w:pPr>
            <w:r/>
            <w:r>
              <w:rPr>
                <w:sz w:val="14"/>
              </w:rPr>
              <w:t>payments</w:t>
            </w:r>
          </w:p>
        </w:tc>
        <w:tc>
          <w:tcPr>
            <w:tcW w:type="dxa" w:w="1512"/>
          </w:tcPr>
          <w:p>
            <w:pPr>
              <w:spacing w:after="0"/>
            </w:pPr>
            <w:r/>
            <w:r>
              <w:rPr>
                <w:sz w:val="14"/>
              </w:rPr>
              <w:t>Finance</w:t>
            </w:r>
          </w:p>
        </w:tc>
        <w:tc>
          <w:tcPr>
            <w:tcW w:type="dxa" w:w="576"/>
          </w:tcPr>
          <w:p>
            <w:pPr>
              <w:spacing w:after="0"/>
            </w:pPr>
            <w:r/>
            <w:r>
              <w:rPr>
                <w:sz w:val="14"/>
              </w:rPr>
              <w:t>19</w:t>
            </w:r>
          </w:p>
        </w:tc>
        <w:tc>
          <w:tcPr>
            <w:tcW w:type="dxa" w:w="1656"/>
          </w:tcPr>
          <w:p>
            <w:pPr>
              <w:spacing w:after="0"/>
            </w:pPr>
            <w:r/>
            <w:r>
              <w:rPr>
                <w:sz w:val="14"/>
              </w:rPr>
              <w:t>Sensitive (PII/financial)</w:t>
            </w:r>
          </w:p>
        </w:tc>
        <w:tc>
          <w:tcPr>
            <w:tcW w:type="dxa" w:w="7992"/>
          </w:tcPr>
          <w:p>
            <w:pPr>
              <w:spacing w:after="0"/>
            </w:pPr>
            <w:r/>
            <w:r>
              <w:rPr>
                <w:sz w:val="14"/>
              </w:rPr>
              <w:t>Polymorphic payment rows (payable_type/payable_id) plus gateway metadata.</w:t>
            </w:r>
          </w:p>
        </w:tc>
      </w:tr>
      <w:tr>
        <w:trPr>
          <w:cantSplit/>
        </w:trPr>
        <w:tc>
          <w:tcPr>
            <w:tcW w:type="dxa" w:w="2232"/>
          </w:tcPr>
          <w:p>
            <w:pPr>
              <w:spacing w:after="0"/>
            </w:pPr>
            <w:r/>
            <w:r>
              <w:rPr>
                <w:sz w:val="14"/>
              </w:rPr>
              <w:t>payrolls</w:t>
            </w:r>
          </w:p>
        </w:tc>
        <w:tc>
          <w:tcPr>
            <w:tcW w:type="dxa" w:w="1512"/>
          </w:tcPr>
          <w:p>
            <w:pPr>
              <w:spacing w:after="0"/>
            </w:pPr>
            <w:r/>
            <w:r>
              <w:rPr>
                <w:sz w:val="14"/>
              </w:rPr>
              <w:t>HR</w:t>
            </w:r>
          </w:p>
        </w:tc>
        <w:tc>
          <w:tcPr>
            <w:tcW w:type="dxa" w:w="576"/>
          </w:tcPr>
          <w:p>
            <w:pPr>
              <w:spacing w:after="0"/>
            </w:pPr>
            <w:r/>
            <w:r>
              <w:rPr>
                <w:sz w:val="14"/>
              </w:rPr>
              <w:t>19</w:t>
            </w:r>
          </w:p>
        </w:tc>
        <w:tc>
          <w:tcPr>
            <w:tcW w:type="dxa" w:w="1656"/>
          </w:tcPr>
          <w:p>
            <w:pPr>
              <w:spacing w:after="0"/>
            </w:pPr>
            <w:r/>
            <w:r>
              <w:rPr>
                <w:sz w:val="14"/>
              </w:rPr>
              <w:t>Sensitive (PII/financial)</w:t>
            </w:r>
          </w:p>
        </w:tc>
        <w:tc>
          <w:tcPr>
            <w:tcW w:type="dxa" w:w="7992"/>
          </w:tcPr>
          <w:p>
            <w:pPr>
              <w:spacing w:after="0"/>
            </w:pPr>
            <w:r/>
            <w:r>
              <w:rPr>
                <w:sz w:val="14"/>
              </w:rPr>
              <w:t>Monthly payroll per employee with BPJS/PPh21 components.</w:t>
            </w:r>
          </w:p>
        </w:tc>
      </w:tr>
      <w:tr>
        <w:trPr>
          <w:cantSplit/>
        </w:trPr>
        <w:tc>
          <w:tcPr>
            <w:tcW w:type="dxa" w:w="2232"/>
          </w:tcPr>
          <w:p>
            <w:pPr>
              <w:spacing w:after="0"/>
            </w:pPr>
            <w:r/>
            <w:r>
              <w:rPr>
                <w:sz w:val="14"/>
              </w:rPr>
              <w:t>performances</w:t>
            </w:r>
          </w:p>
        </w:tc>
        <w:tc>
          <w:tcPr>
            <w:tcW w:type="dxa" w:w="1512"/>
          </w:tcPr>
          <w:p>
            <w:pPr>
              <w:spacing w:after="0"/>
            </w:pPr>
            <w:r/>
            <w:r>
              <w:rPr>
                <w:sz w:val="14"/>
              </w:rPr>
              <w:t>HR</w:t>
            </w:r>
          </w:p>
        </w:tc>
        <w:tc>
          <w:tcPr>
            <w:tcW w:type="dxa" w:w="576"/>
          </w:tcPr>
          <w:p>
            <w:pPr>
              <w:spacing w:after="0"/>
            </w:pPr>
            <w:r/>
            <w:r>
              <w:rPr>
                <w:sz w:val="14"/>
              </w:rPr>
              <w:t>16</w:t>
            </w:r>
          </w:p>
        </w:tc>
        <w:tc>
          <w:tcPr>
            <w:tcW w:type="dxa" w:w="1656"/>
          </w:tcPr>
          <w:p>
            <w:pPr>
              <w:spacing w:after="0"/>
            </w:pPr>
            <w:r/>
            <w:r>
              <w:rPr>
                <w:sz w:val="14"/>
              </w:rPr>
              <w:t>Operational</w:t>
            </w:r>
          </w:p>
        </w:tc>
        <w:tc>
          <w:tcPr>
            <w:tcW w:type="dxa" w:w="7992"/>
          </w:tcPr>
          <w:p>
            <w:pPr>
              <w:spacing w:after="0"/>
            </w:pPr>
            <w:r/>
            <w:r>
              <w:rPr>
                <w:sz w:val="14"/>
              </w:rPr>
              <w:t>Periodic employee performance evaluation scores and grade.</w:t>
            </w:r>
          </w:p>
        </w:tc>
      </w:tr>
      <w:tr>
        <w:trPr>
          <w:cantSplit/>
        </w:trPr>
        <w:tc>
          <w:tcPr>
            <w:tcW w:type="dxa" w:w="2232"/>
          </w:tcPr>
          <w:p>
            <w:pPr>
              <w:spacing w:after="0"/>
            </w:pPr>
            <w:r/>
            <w:r>
              <w:rPr>
                <w:sz w:val="14"/>
              </w:rPr>
              <w:t>personal_access_tokens</w:t>
            </w:r>
          </w:p>
        </w:tc>
        <w:tc>
          <w:tcPr>
            <w:tcW w:type="dxa" w:w="1512"/>
          </w:tcPr>
          <w:p>
            <w:pPr>
              <w:spacing w:after="0"/>
            </w:pPr>
            <w:r/>
            <w:r>
              <w:rPr>
                <w:sz w:val="14"/>
              </w:rPr>
              <w:t>Auth</w:t>
            </w:r>
          </w:p>
        </w:tc>
        <w:tc>
          <w:tcPr>
            <w:tcW w:type="dxa" w:w="576"/>
          </w:tcPr>
          <w:p>
            <w:pPr>
              <w:spacing w:after="0"/>
            </w:pPr>
            <w:r/>
            <w:r>
              <w:rPr>
                <w:sz w:val="14"/>
              </w:rPr>
              <w:t>10</w:t>
            </w:r>
          </w:p>
        </w:tc>
        <w:tc>
          <w:tcPr>
            <w:tcW w:type="dxa" w:w="1656"/>
          </w:tcPr>
          <w:p>
            <w:pPr>
              <w:spacing w:after="0"/>
            </w:pPr>
            <w:r/>
            <w:r>
              <w:rPr>
                <w:sz w:val="14"/>
              </w:rPr>
              <w:t>Sensitive (PII/financial)</w:t>
            </w:r>
          </w:p>
        </w:tc>
        <w:tc>
          <w:tcPr>
            <w:tcW w:type="dxa" w:w="7992"/>
          </w:tcPr>
          <w:p>
            <w:pPr>
              <w:spacing w:after="0"/>
            </w:pPr>
            <w:r/>
            <w:r>
              <w:rPr>
                <w:sz w:val="14"/>
              </w:rPr>
              <w:t>Opaque bearer tokens (sha256 hash), expiry and last use.</w:t>
            </w:r>
          </w:p>
        </w:tc>
      </w:tr>
      <w:tr>
        <w:trPr>
          <w:cantSplit/>
        </w:trPr>
        <w:tc>
          <w:tcPr>
            <w:tcW w:type="dxa" w:w="2232"/>
          </w:tcPr>
          <w:p>
            <w:pPr>
              <w:spacing w:after="0"/>
            </w:pPr>
            <w:r/>
            <w:r>
              <w:rPr>
                <w:sz w:val="14"/>
              </w:rPr>
              <w:t>product_barcodes</w:t>
            </w:r>
          </w:p>
        </w:tc>
        <w:tc>
          <w:tcPr>
            <w:tcW w:type="dxa" w:w="1512"/>
          </w:tcPr>
          <w:p>
            <w:pPr>
              <w:spacing w:after="0"/>
            </w:pPr>
            <w:r/>
            <w:r>
              <w:rPr>
                <w:sz w:val="14"/>
              </w:rPr>
              <w:t>Catalog</w:t>
            </w:r>
          </w:p>
        </w:tc>
        <w:tc>
          <w:tcPr>
            <w:tcW w:type="dxa" w:w="576"/>
          </w:tcPr>
          <w:p>
            <w:pPr>
              <w:spacing w:after="0"/>
            </w:pPr>
            <w:r/>
            <w:r>
              <w:rPr>
                <w:sz w:val="14"/>
              </w:rPr>
              <w:t>7</w:t>
            </w:r>
          </w:p>
        </w:tc>
        <w:tc>
          <w:tcPr>
            <w:tcW w:type="dxa" w:w="1656"/>
          </w:tcPr>
          <w:p>
            <w:pPr>
              <w:spacing w:after="0"/>
            </w:pPr>
            <w:r/>
            <w:r>
              <w:rPr>
                <w:sz w:val="14"/>
              </w:rPr>
              <w:t>Operational</w:t>
            </w:r>
          </w:p>
        </w:tc>
        <w:tc>
          <w:tcPr>
            <w:tcW w:type="dxa" w:w="7992"/>
          </w:tcPr>
          <w:p>
            <w:pPr>
              <w:spacing w:after="0"/>
            </w:pPr>
            <w:r/>
            <w:r>
              <w:rPr>
                <w:sz w:val="14"/>
              </w:rPr>
              <w:t>Barcodes per product (and optional per unit) for scanning.</w:t>
            </w:r>
          </w:p>
        </w:tc>
      </w:tr>
      <w:tr>
        <w:trPr>
          <w:cantSplit/>
        </w:trPr>
        <w:tc>
          <w:tcPr>
            <w:tcW w:type="dxa" w:w="2232"/>
          </w:tcPr>
          <w:p>
            <w:pPr>
              <w:spacing w:after="0"/>
            </w:pPr>
            <w:r/>
            <w:r>
              <w:rPr>
                <w:sz w:val="14"/>
              </w:rPr>
              <w:t>product_units</w:t>
            </w:r>
          </w:p>
        </w:tc>
        <w:tc>
          <w:tcPr>
            <w:tcW w:type="dxa" w:w="1512"/>
          </w:tcPr>
          <w:p>
            <w:pPr>
              <w:spacing w:after="0"/>
            </w:pPr>
            <w:r/>
            <w:r>
              <w:rPr>
                <w:sz w:val="14"/>
              </w:rPr>
              <w:t>Catalog</w:t>
            </w:r>
          </w:p>
        </w:tc>
        <w:tc>
          <w:tcPr>
            <w:tcW w:type="dxa" w:w="576"/>
          </w:tcPr>
          <w:p>
            <w:pPr>
              <w:spacing w:after="0"/>
            </w:pPr>
            <w:r/>
            <w:r>
              <w:rPr>
                <w:sz w:val="14"/>
              </w:rPr>
              <w:t>10</w:t>
            </w:r>
          </w:p>
        </w:tc>
        <w:tc>
          <w:tcPr>
            <w:tcW w:type="dxa" w:w="1656"/>
          </w:tcPr>
          <w:p>
            <w:pPr>
              <w:spacing w:after="0"/>
            </w:pPr>
            <w:r/>
            <w:r>
              <w:rPr>
                <w:sz w:val="14"/>
              </w:rPr>
              <w:t>Operational</w:t>
            </w:r>
          </w:p>
        </w:tc>
        <w:tc>
          <w:tcPr>
            <w:tcW w:type="dxa" w:w="7992"/>
          </w:tcPr>
          <w:p>
            <w:pPr>
              <w:spacing w:after="0"/>
            </w:pPr>
            <w:r/>
            <w:r>
              <w:rPr>
                <w:sz w:val="14"/>
              </w:rPr>
              <w:t>Per-product unit configurations with conversion factor and price.</w:t>
            </w:r>
          </w:p>
        </w:tc>
      </w:tr>
      <w:tr>
        <w:trPr>
          <w:cantSplit/>
        </w:trPr>
        <w:tc>
          <w:tcPr>
            <w:tcW w:type="dxa" w:w="2232"/>
          </w:tcPr>
          <w:p>
            <w:pPr>
              <w:spacing w:after="0"/>
            </w:pPr>
            <w:r/>
            <w:r>
              <w:rPr>
                <w:sz w:val="14"/>
              </w:rPr>
              <w:t>products</w:t>
            </w:r>
          </w:p>
        </w:tc>
        <w:tc>
          <w:tcPr>
            <w:tcW w:type="dxa" w:w="1512"/>
          </w:tcPr>
          <w:p>
            <w:pPr>
              <w:spacing w:after="0"/>
            </w:pPr>
            <w:r/>
            <w:r>
              <w:rPr>
                <w:sz w:val="14"/>
              </w:rPr>
              <w:t>Catalog</w:t>
            </w:r>
          </w:p>
        </w:tc>
        <w:tc>
          <w:tcPr>
            <w:tcW w:type="dxa" w:w="576"/>
          </w:tcPr>
          <w:p>
            <w:pPr>
              <w:spacing w:after="0"/>
            </w:pPr>
            <w:r/>
            <w:r>
              <w:rPr>
                <w:sz w:val="14"/>
              </w:rPr>
              <w:t>17</w:t>
            </w:r>
          </w:p>
        </w:tc>
        <w:tc>
          <w:tcPr>
            <w:tcW w:type="dxa" w:w="1656"/>
          </w:tcPr>
          <w:p>
            <w:pPr>
              <w:spacing w:after="0"/>
            </w:pPr>
            <w:r/>
            <w:r>
              <w:rPr>
                <w:sz w:val="14"/>
              </w:rPr>
              <w:t>Operational</w:t>
            </w:r>
          </w:p>
        </w:tc>
        <w:tc>
          <w:tcPr>
            <w:tcW w:type="dxa" w:w="7992"/>
          </w:tcPr>
          <w:p>
            <w:pPr>
              <w:spacing w:after="0"/>
            </w:pPr>
            <w:r/>
            <w:r>
              <w:rPr>
                <w:sz w:val="14"/>
              </w:rPr>
              <w:t>Central product catalogue (shared by every outlet).</w:t>
            </w:r>
          </w:p>
        </w:tc>
      </w:tr>
      <w:tr>
        <w:trPr>
          <w:cantSplit/>
        </w:trPr>
        <w:tc>
          <w:tcPr>
            <w:tcW w:type="dxa" w:w="2232"/>
          </w:tcPr>
          <w:p>
            <w:pPr>
              <w:spacing w:after="0"/>
            </w:pPr>
            <w:r/>
            <w:r>
              <w:rPr>
                <w:sz w:val="14"/>
              </w:rPr>
              <w:t>purchase_order_items</w:t>
            </w:r>
          </w:p>
        </w:tc>
        <w:tc>
          <w:tcPr>
            <w:tcW w:type="dxa" w:w="1512"/>
          </w:tcPr>
          <w:p>
            <w:pPr>
              <w:spacing w:after="0"/>
            </w:pPr>
            <w:r/>
            <w:r>
              <w:rPr>
                <w:sz w:val="14"/>
              </w:rPr>
              <w:t>Purchasing</w:t>
            </w:r>
          </w:p>
        </w:tc>
        <w:tc>
          <w:tcPr>
            <w:tcW w:type="dxa" w:w="576"/>
          </w:tcPr>
          <w:p>
            <w:pPr>
              <w:spacing w:after="0"/>
            </w:pPr>
            <w:r/>
            <w:r>
              <w:rPr>
                <w:sz w:val="14"/>
              </w:rPr>
              <w:t>8</w:t>
            </w:r>
          </w:p>
        </w:tc>
        <w:tc>
          <w:tcPr>
            <w:tcW w:type="dxa" w:w="1656"/>
          </w:tcPr>
          <w:p>
            <w:pPr>
              <w:spacing w:after="0"/>
            </w:pPr>
            <w:r/>
            <w:r>
              <w:rPr>
                <w:sz w:val="14"/>
              </w:rPr>
              <w:t>Operational</w:t>
            </w:r>
          </w:p>
        </w:tc>
        <w:tc>
          <w:tcPr>
            <w:tcW w:type="dxa" w:w="7992"/>
          </w:tcPr>
          <w:p>
            <w:pPr>
              <w:spacing w:after="0"/>
            </w:pPr>
            <w:r/>
            <w:r>
              <w:rPr>
                <w:sz w:val="14"/>
              </w:rPr>
              <w:t>Ordered lines with received_quantity progress.</w:t>
            </w:r>
          </w:p>
        </w:tc>
      </w:tr>
      <w:tr>
        <w:trPr>
          <w:cantSplit/>
        </w:trPr>
        <w:tc>
          <w:tcPr>
            <w:tcW w:type="dxa" w:w="2232"/>
          </w:tcPr>
          <w:p>
            <w:pPr>
              <w:spacing w:after="0"/>
            </w:pPr>
            <w:r/>
            <w:r>
              <w:rPr>
                <w:sz w:val="14"/>
              </w:rPr>
              <w:t>purchase_orders</w:t>
            </w:r>
          </w:p>
        </w:tc>
        <w:tc>
          <w:tcPr>
            <w:tcW w:type="dxa" w:w="1512"/>
          </w:tcPr>
          <w:p>
            <w:pPr>
              <w:spacing w:after="0"/>
            </w:pPr>
            <w:r/>
            <w:r>
              <w:rPr>
                <w:sz w:val="14"/>
              </w:rPr>
              <w:t>Purchasing</w:t>
            </w:r>
          </w:p>
        </w:tc>
        <w:tc>
          <w:tcPr>
            <w:tcW w:type="dxa" w:w="576"/>
          </w:tcPr>
          <w:p>
            <w:pPr>
              <w:spacing w:after="0"/>
            </w:pPr>
            <w:r/>
            <w:r>
              <w:rPr>
                <w:sz w:val="14"/>
              </w:rPr>
              <w:t>20</w:t>
            </w:r>
          </w:p>
        </w:tc>
        <w:tc>
          <w:tcPr>
            <w:tcW w:type="dxa" w:w="1656"/>
          </w:tcPr>
          <w:p>
            <w:pPr>
              <w:spacing w:after="0"/>
            </w:pPr>
            <w:r/>
            <w:r>
              <w:rPr>
                <w:sz w:val="14"/>
              </w:rPr>
              <w:t>Operational</w:t>
            </w:r>
          </w:p>
        </w:tc>
        <w:tc>
          <w:tcPr>
            <w:tcW w:type="dxa" w:w="7992"/>
          </w:tcPr>
          <w:p>
            <w:pPr>
              <w:spacing w:after="0"/>
            </w:pPr>
            <w:r/>
            <w:r>
              <w:rPr>
                <w:sz w:val="14"/>
              </w:rPr>
              <w:t>Purchase order (PO-) with approval and payment progress.</w:t>
            </w:r>
          </w:p>
        </w:tc>
      </w:tr>
      <w:tr>
        <w:trPr>
          <w:cantSplit/>
        </w:trPr>
        <w:tc>
          <w:tcPr>
            <w:tcW w:type="dxa" w:w="2232"/>
          </w:tcPr>
          <w:p>
            <w:pPr>
              <w:spacing w:after="0"/>
            </w:pPr>
            <w:r/>
            <w:r>
              <w:rPr>
                <w:sz w:val="14"/>
              </w:rPr>
              <w:t>report_templates</w:t>
            </w:r>
          </w:p>
        </w:tc>
        <w:tc>
          <w:tcPr>
            <w:tcW w:type="dxa" w:w="1512"/>
          </w:tcPr>
          <w:p>
            <w:pPr>
              <w:spacing w:after="0"/>
            </w:pPr>
            <w:r/>
            <w:r>
              <w:rPr>
                <w:sz w:val="14"/>
              </w:rPr>
              <w:t>Reports</w:t>
            </w:r>
          </w:p>
        </w:tc>
        <w:tc>
          <w:tcPr>
            <w:tcW w:type="dxa" w:w="576"/>
          </w:tcPr>
          <w:p>
            <w:pPr>
              <w:spacing w:after="0"/>
            </w:pPr>
            <w:r/>
            <w:r>
              <w:rPr>
                <w:sz w:val="14"/>
              </w:rPr>
              <w:t>13</w:t>
            </w:r>
          </w:p>
        </w:tc>
        <w:tc>
          <w:tcPr>
            <w:tcW w:type="dxa" w:w="1656"/>
          </w:tcPr>
          <w:p>
            <w:pPr>
              <w:spacing w:after="0"/>
            </w:pPr>
            <w:r/>
            <w:r>
              <w:rPr>
                <w:sz w:val="14"/>
              </w:rPr>
              <w:t>Operational</w:t>
            </w:r>
          </w:p>
        </w:tc>
        <w:tc>
          <w:tcPr>
            <w:tcW w:type="dxa" w:w="7992"/>
          </w:tcPr>
          <w:p>
            <w:pPr>
              <w:spacing w:after="0"/>
            </w:pPr>
            <w:r/>
            <w:r>
              <w:rPr>
                <w:sz w:val="14"/>
              </w:rPr>
              <w:t>Versioned NextReport JSON templates (active/draft per report_code).</w:t>
            </w:r>
          </w:p>
        </w:tc>
      </w:tr>
      <w:tr>
        <w:trPr>
          <w:cantSplit/>
        </w:trPr>
        <w:tc>
          <w:tcPr>
            <w:tcW w:type="dxa" w:w="2232"/>
          </w:tcPr>
          <w:p>
            <w:pPr>
              <w:spacing w:after="0"/>
            </w:pPr>
            <w:r/>
            <w:r>
              <w:rPr>
                <w:sz w:val="14"/>
              </w:rPr>
              <w:t>role_permissions</w:t>
            </w:r>
          </w:p>
        </w:tc>
        <w:tc>
          <w:tcPr>
            <w:tcW w:type="dxa" w:w="1512"/>
          </w:tcPr>
          <w:p>
            <w:pPr>
              <w:spacing w:after="0"/>
            </w:pPr>
            <w:r/>
            <w:r>
              <w:rPr>
                <w:sz w:val="14"/>
              </w:rPr>
              <w:t>Auth</w:t>
            </w:r>
          </w:p>
        </w:tc>
        <w:tc>
          <w:tcPr>
            <w:tcW w:type="dxa" w:w="576"/>
          </w:tcPr>
          <w:p>
            <w:pPr>
              <w:spacing w:after="0"/>
            </w:pPr>
            <w:r/>
            <w:r>
              <w:rPr>
                <w:sz w:val="14"/>
              </w:rPr>
              <w:t>3</w:t>
            </w:r>
          </w:p>
        </w:tc>
        <w:tc>
          <w:tcPr>
            <w:tcW w:type="dxa" w:w="1656"/>
          </w:tcPr>
          <w:p>
            <w:pPr>
              <w:spacing w:after="0"/>
            </w:pPr>
            <w:r/>
            <w:r>
              <w:rPr>
                <w:sz w:val="14"/>
              </w:rPr>
              <w:t>Operational</w:t>
            </w:r>
          </w:p>
        </w:tc>
        <w:tc>
          <w:tcPr>
            <w:tcW w:type="dxa" w:w="7992"/>
          </w:tcPr>
          <w:p>
            <w:pPr>
              <w:spacing w:after="0"/>
            </w:pPr>
            <w:r/>
            <w:r>
              <w:rPr>
                <w:sz w:val="14"/>
              </w:rPr>
              <w:t>Role → permission glob rows; the only role-permission source.</w:t>
            </w:r>
          </w:p>
        </w:tc>
      </w:tr>
      <w:tr>
        <w:trPr>
          <w:cantSplit/>
        </w:trPr>
        <w:tc>
          <w:tcPr>
            <w:tcW w:type="dxa" w:w="2232"/>
          </w:tcPr>
          <w:p>
            <w:pPr>
              <w:spacing w:after="0"/>
            </w:pPr>
            <w:r/>
            <w:r>
              <w:rPr>
                <w:sz w:val="14"/>
              </w:rPr>
              <w:t>roles</w:t>
            </w:r>
          </w:p>
        </w:tc>
        <w:tc>
          <w:tcPr>
            <w:tcW w:type="dxa" w:w="1512"/>
          </w:tcPr>
          <w:p>
            <w:pPr>
              <w:spacing w:after="0"/>
            </w:pPr>
            <w:r/>
            <w:r>
              <w:rPr>
                <w:sz w:val="14"/>
              </w:rPr>
              <w:t>Auth</w:t>
            </w:r>
          </w:p>
        </w:tc>
        <w:tc>
          <w:tcPr>
            <w:tcW w:type="dxa" w:w="576"/>
          </w:tcPr>
          <w:p>
            <w:pPr>
              <w:spacing w:after="0"/>
            </w:pPr>
            <w:r/>
            <w:r>
              <w:rPr>
                <w:sz w:val="14"/>
              </w:rPr>
              <w:t>4</w:t>
            </w:r>
          </w:p>
        </w:tc>
        <w:tc>
          <w:tcPr>
            <w:tcW w:type="dxa" w:w="1656"/>
          </w:tcPr>
          <w:p>
            <w:pPr>
              <w:spacing w:after="0"/>
            </w:pPr>
            <w:r/>
            <w:r>
              <w:rPr>
                <w:sz w:val="14"/>
              </w:rPr>
              <w:t>Operational</w:t>
            </w:r>
          </w:p>
        </w:tc>
        <w:tc>
          <w:tcPr>
            <w:tcW w:type="dxa" w:w="7992"/>
          </w:tcPr>
          <w:p>
            <w:pPr>
              <w:spacing w:after="0"/>
            </w:pPr>
            <w:r/>
            <w:r>
              <w:rPr>
                <w:sz w:val="14"/>
              </w:rPr>
              <w:t>Role registry (builtin + custom roles).</w:t>
            </w:r>
          </w:p>
        </w:tc>
      </w:tr>
      <w:tr>
        <w:trPr>
          <w:cantSplit/>
        </w:trPr>
        <w:tc>
          <w:tcPr>
            <w:tcW w:type="dxa" w:w="2232"/>
          </w:tcPr>
          <w:p>
            <w:pPr>
              <w:spacing w:after="0"/>
            </w:pPr>
            <w:r/>
            <w:r>
              <w:rPr>
                <w:sz w:val="14"/>
              </w:rPr>
              <w:t>sales_activities</w:t>
            </w:r>
          </w:p>
        </w:tc>
        <w:tc>
          <w:tcPr>
            <w:tcW w:type="dxa" w:w="1512"/>
          </w:tcPr>
          <w:p>
            <w:pPr>
              <w:spacing w:after="0"/>
            </w:pPr>
            <w:r/>
            <w:r>
              <w:rPr>
                <w:sz w:val="14"/>
              </w:rPr>
              <w:t>Sales tracking</w:t>
            </w:r>
          </w:p>
        </w:tc>
        <w:tc>
          <w:tcPr>
            <w:tcW w:type="dxa" w:w="576"/>
          </w:tcPr>
          <w:p>
            <w:pPr>
              <w:spacing w:after="0"/>
            </w:pPr>
            <w:r/>
            <w:r>
              <w:rPr>
                <w:sz w:val="14"/>
              </w:rPr>
              <w:t>12</w:t>
            </w:r>
          </w:p>
        </w:tc>
        <w:tc>
          <w:tcPr>
            <w:tcW w:type="dxa" w:w="1656"/>
          </w:tcPr>
          <w:p>
            <w:pPr>
              <w:spacing w:after="0"/>
            </w:pPr>
            <w:r/>
            <w:r>
              <w:rPr>
                <w:sz w:val="14"/>
              </w:rPr>
              <w:t>Operational</w:t>
            </w:r>
          </w:p>
        </w:tc>
        <w:tc>
          <w:tcPr>
            <w:tcW w:type="dxa" w:w="7992"/>
          </w:tcPr>
          <w:p>
            <w:pPr>
              <w:spacing w:after="0"/>
            </w:pPr>
            <w:r/>
            <w:r>
              <w:rPr>
                <w:sz w:val="14"/>
              </w:rPr>
              <w:t>Sales activity log (call/meeting/follow-up) per salesperson.</w:t>
            </w:r>
          </w:p>
        </w:tc>
      </w:tr>
      <w:tr>
        <w:trPr>
          <w:cantSplit/>
        </w:trPr>
        <w:tc>
          <w:tcPr>
            <w:tcW w:type="dxa" w:w="2232"/>
          </w:tcPr>
          <w:p>
            <w:pPr>
              <w:spacing w:after="0"/>
            </w:pPr>
            <w:r/>
            <w:r>
              <w:rPr>
                <w:sz w:val="14"/>
              </w:rPr>
              <w:t>sales_locations</w:t>
            </w:r>
          </w:p>
        </w:tc>
        <w:tc>
          <w:tcPr>
            <w:tcW w:type="dxa" w:w="1512"/>
          </w:tcPr>
          <w:p>
            <w:pPr>
              <w:spacing w:after="0"/>
            </w:pPr>
            <w:r/>
            <w:r>
              <w:rPr>
                <w:sz w:val="14"/>
              </w:rPr>
              <w:t>Sales tracking</w:t>
            </w:r>
          </w:p>
        </w:tc>
        <w:tc>
          <w:tcPr>
            <w:tcW w:type="dxa" w:w="576"/>
          </w:tcPr>
          <w:p>
            <w:pPr>
              <w:spacing w:after="0"/>
            </w:pPr>
            <w:r/>
            <w:r>
              <w:rPr>
                <w:sz w:val="14"/>
              </w:rPr>
              <w:t>11</w:t>
            </w:r>
          </w:p>
        </w:tc>
        <w:tc>
          <w:tcPr>
            <w:tcW w:type="dxa" w:w="1656"/>
          </w:tcPr>
          <w:p>
            <w:pPr>
              <w:spacing w:after="0"/>
            </w:pPr>
            <w:r/>
            <w:r>
              <w:rPr>
                <w:sz w:val="14"/>
              </w:rPr>
              <w:t>Operational</w:t>
            </w:r>
          </w:p>
        </w:tc>
        <w:tc>
          <w:tcPr>
            <w:tcW w:type="dxa" w:w="7992"/>
          </w:tcPr>
          <w:p>
            <w:pPr>
              <w:spacing w:after="0"/>
            </w:pPr>
            <w:r/>
            <w:r>
              <w:rPr>
                <w:sz w:val="14"/>
              </w:rPr>
              <w:t>GPS pings from the sales mobile app.</w:t>
            </w:r>
          </w:p>
        </w:tc>
      </w:tr>
      <w:tr>
        <w:trPr>
          <w:cantSplit/>
        </w:trPr>
        <w:tc>
          <w:tcPr>
            <w:tcW w:type="dxa" w:w="2232"/>
          </w:tcPr>
          <w:p>
            <w:pPr>
              <w:spacing w:after="0"/>
            </w:pPr>
            <w:r/>
            <w:r>
              <w:rPr>
                <w:sz w:val="14"/>
              </w:rPr>
              <w:t>sales_order_items</w:t>
            </w:r>
          </w:p>
        </w:tc>
        <w:tc>
          <w:tcPr>
            <w:tcW w:type="dxa" w:w="1512"/>
          </w:tcPr>
          <w:p>
            <w:pPr>
              <w:spacing w:after="0"/>
            </w:pPr>
            <w:r/>
            <w:r>
              <w:rPr>
                <w:sz w:val="14"/>
              </w:rPr>
              <w:t>Sales</w:t>
            </w:r>
          </w:p>
        </w:tc>
        <w:tc>
          <w:tcPr>
            <w:tcW w:type="dxa" w:w="576"/>
          </w:tcPr>
          <w:p>
            <w:pPr>
              <w:spacing w:after="0"/>
            </w:pPr>
            <w:r/>
            <w:r>
              <w:rPr>
                <w:sz w:val="14"/>
              </w:rPr>
              <w:t>17</w:t>
            </w:r>
          </w:p>
        </w:tc>
        <w:tc>
          <w:tcPr>
            <w:tcW w:type="dxa" w:w="1656"/>
          </w:tcPr>
          <w:p>
            <w:pPr>
              <w:spacing w:after="0"/>
            </w:pPr>
            <w:r/>
            <w:r>
              <w:rPr>
                <w:sz w:val="14"/>
              </w:rPr>
              <w:t>Operational</w:t>
            </w:r>
          </w:p>
        </w:tc>
        <w:tc>
          <w:tcPr>
            <w:tcW w:type="dxa" w:w="7992"/>
          </w:tcPr>
          <w:p>
            <w:pPr>
              <w:spacing w:after="0"/>
            </w:pPr>
            <w:r/>
            <w:r>
              <w:rPr>
                <w:sz w:val="14"/>
              </w:rPr>
              <w:t>Immutable priced line snapshots (unit, conversion, membership discount).</w:t>
            </w:r>
          </w:p>
        </w:tc>
      </w:tr>
      <w:tr>
        <w:trPr>
          <w:cantSplit/>
        </w:trPr>
        <w:tc>
          <w:tcPr>
            <w:tcW w:type="dxa" w:w="2232"/>
          </w:tcPr>
          <w:p>
            <w:pPr>
              <w:spacing w:after="0"/>
            </w:pPr>
            <w:r/>
            <w:r>
              <w:rPr>
                <w:sz w:val="14"/>
              </w:rPr>
              <w:t>sales_order_status_history</w:t>
            </w:r>
          </w:p>
        </w:tc>
        <w:tc>
          <w:tcPr>
            <w:tcW w:type="dxa" w:w="1512"/>
          </w:tcPr>
          <w:p>
            <w:pPr>
              <w:spacing w:after="0"/>
            </w:pPr>
            <w:r/>
            <w:r>
              <w:rPr>
                <w:sz w:val="14"/>
              </w:rPr>
              <w:t>Sales</w:t>
            </w:r>
          </w:p>
        </w:tc>
        <w:tc>
          <w:tcPr>
            <w:tcW w:type="dxa" w:w="576"/>
          </w:tcPr>
          <w:p>
            <w:pPr>
              <w:spacing w:after="0"/>
            </w:pPr>
            <w:r/>
            <w:r>
              <w:rPr>
                <w:sz w:val="14"/>
              </w:rPr>
              <w:t>9</w:t>
            </w:r>
          </w:p>
        </w:tc>
        <w:tc>
          <w:tcPr>
            <w:tcW w:type="dxa" w:w="1656"/>
          </w:tcPr>
          <w:p>
            <w:pPr>
              <w:spacing w:after="0"/>
            </w:pPr>
            <w:r/>
            <w:r>
              <w:rPr>
                <w:sz w:val="14"/>
              </w:rPr>
              <w:t>Operational</w:t>
            </w:r>
          </w:p>
        </w:tc>
        <w:tc>
          <w:tcPr>
            <w:tcW w:type="dxa" w:w="7992"/>
          </w:tcPr>
          <w:p>
            <w:pPr>
              <w:spacing w:after="0"/>
            </w:pPr>
            <w:r/>
            <w:r>
              <w:rPr>
                <w:sz w:val="14"/>
              </w:rPr>
              <w:t>Status transition log for sales orders.</w:t>
            </w:r>
          </w:p>
        </w:tc>
      </w:tr>
      <w:tr>
        <w:trPr>
          <w:cantSplit/>
        </w:trPr>
        <w:tc>
          <w:tcPr>
            <w:tcW w:type="dxa" w:w="2232"/>
          </w:tcPr>
          <w:p>
            <w:pPr>
              <w:spacing w:after="0"/>
            </w:pPr>
            <w:r/>
            <w:r>
              <w:rPr>
                <w:sz w:val="14"/>
              </w:rPr>
              <w:t>sales_orders</w:t>
            </w:r>
          </w:p>
        </w:tc>
        <w:tc>
          <w:tcPr>
            <w:tcW w:type="dxa" w:w="1512"/>
          </w:tcPr>
          <w:p>
            <w:pPr>
              <w:spacing w:after="0"/>
            </w:pPr>
            <w:r/>
            <w:r>
              <w:rPr>
                <w:sz w:val="14"/>
              </w:rPr>
              <w:t>Sales</w:t>
            </w:r>
          </w:p>
        </w:tc>
        <w:tc>
          <w:tcPr>
            <w:tcW w:type="dxa" w:w="576"/>
          </w:tcPr>
          <w:p>
            <w:pPr>
              <w:spacing w:after="0"/>
            </w:pPr>
            <w:r/>
            <w:r>
              <w:rPr>
                <w:sz w:val="14"/>
              </w:rPr>
              <w:t>28</w:t>
            </w:r>
          </w:p>
        </w:tc>
        <w:tc>
          <w:tcPr>
            <w:tcW w:type="dxa" w:w="1656"/>
          </w:tcPr>
          <w:p>
            <w:pPr>
              <w:spacing w:after="0"/>
            </w:pPr>
            <w:r/>
            <w:r>
              <w:rPr>
                <w:sz w:val="14"/>
              </w:rPr>
              <w:t>Operational</w:t>
            </w:r>
          </w:p>
        </w:tc>
        <w:tc>
          <w:tcPr>
            <w:tcW w:type="dxa" w:w="7992"/>
          </w:tcPr>
          <w:p>
            <w:pPr>
              <w:spacing w:after="0"/>
            </w:pPr>
            <w:r/>
            <w:r>
              <w:rPr>
                <w:sz w:val="14"/>
              </w:rPr>
              <w:t>Sales order header for every channel (regular/pos/ecommerce).</w:t>
            </w:r>
          </w:p>
        </w:tc>
      </w:tr>
      <w:tr>
        <w:trPr>
          <w:cantSplit/>
        </w:trPr>
        <w:tc>
          <w:tcPr>
            <w:tcW w:type="dxa" w:w="2232"/>
          </w:tcPr>
          <w:p>
            <w:pPr>
              <w:spacing w:after="0"/>
            </w:pPr>
            <w:r/>
            <w:r>
              <w:rPr>
                <w:sz w:val="14"/>
              </w:rPr>
              <w:t>sales_return_items</w:t>
            </w:r>
          </w:p>
        </w:tc>
        <w:tc>
          <w:tcPr>
            <w:tcW w:type="dxa" w:w="1512"/>
          </w:tcPr>
          <w:p>
            <w:pPr>
              <w:spacing w:after="0"/>
            </w:pPr>
            <w:r/>
            <w:r>
              <w:rPr>
                <w:sz w:val="14"/>
              </w:rPr>
              <w:t>Sales</w:t>
            </w:r>
          </w:p>
        </w:tc>
        <w:tc>
          <w:tcPr>
            <w:tcW w:type="dxa" w:w="576"/>
          </w:tcPr>
          <w:p>
            <w:pPr>
              <w:spacing w:after="0"/>
            </w:pPr>
            <w:r/>
            <w:r>
              <w:rPr>
                <w:sz w:val="14"/>
              </w:rPr>
              <w:t>11</w:t>
            </w:r>
          </w:p>
        </w:tc>
        <w:tc>
          <w:tcPr>
            <w:tcW w:type="dxa" w:w="1656"/>
          </w:tcPr>
          <w:p>
            <w:pPr>
              <w:spacing w:after="0"/>
            </w:pPr>
            <w:r/>
            <w:r>
              <w:rPr>
                <w:sz w:val="14"/>
              </w:rPr>
              <w:t>Operational</w:t>
            </w:r>
          </w:p>
        </w:tc>
        <w:tc>
          <w:tcPr>
            <w:tcW w:type="dxa" w:w="7992"/>
          </w:tcPr>
          <w:p>
            <w:pPr>
              <w:spacing w:after="0"/>
            </w:pPr>
            <w:r/>
            <w:r>
              <w:rPr>
                <w:sz w:val="14"/>
              </w:rPr>
              <w:t>Returned lines with condition and restock flag.</w:t>
            </w:r>
          </w:p>
        </w:tc>
      </w:tr>
      <w:tr>
        <w:trPr>
          <w:cantSplit/>
        </w:trPr>
        <w:tc>
          <w:tcPr>
            <w:tcW w:type="dxa" w:w="2232"/>
          </w:tcPr>
          <w:p>
            <w:pPr>
              <w:spacing w:after="0"/>
            </w:pPr>
            <w:r/>
            <w:r>
              <w:rPr>
                <w:sz w:val="14"/>
              </w:rPr>
              <w:t>sales_returns</w:t>
            </w:r>
          </w:p>
        </w:tc>
        <w:tc>
          <w:tcPr>
            <w:tcW w:type="dxa" w:w="1512"/>
          </w:tcPr>
          <w:p>
            <w:pPr>
              <w:spacing w:after="0"/>
            </w:pPr>
            <w:r/>
            <w:r>
              <w:rPr>
                <w:sz w:val="14"/>
              </w:rPr>
              <w:t>Sales</w:t>
            </w:r>
          </w:p>
        </w:tc>
        <w:tc>
          <w:tcPr>
            <w:tcW w:type="dxa" w:w="576"/>
          </w:tcPr>
          <w:p>
            <w:pPr>
              <w:spacing w:after="0"/>
            </w:pPr>
            <w:r/>
            <w:r>
              <w:rPr>
                <w:sz w:val="14"/>
              </w:rPr>
              <w:t>13</w:t>
            </w:r>
          </w:p>
        </w:tc>
        <w:tc>
          <w:tcPr>
            <w:tcW w:type="dxa" w:w="1656"/>
          </w:tcPr>
          <w:p>
            <w:pPr>
              <w:spacing w:after="0"/>
            </w:pPr>
            <w:r/>
            <w:r>
              <w:rPr>
                <w:sz w:val="14"/>
              </w:rPr>
              <w:t>Operational</w:t>
            </w:r>
          </w:p>
        </w:tc>
        <w:tc>
          <w:tcPr>
            <w:tcW w:type="dxa" w:w="7992"/>
          </w:tcPr>
          <w:p>
            <w:pPr>
              <w:spacing w:after="0"/>
            </w:pPr>
            <w:r/>
            <w:r>
              <w:rPr>
                <w:sz w:val="14"/>
              </w:rPr>
              <w:t>Sales return header with refund method and amount.</w:t>
            </w:r>
          </w:p>
        </w:tc>
      </w:tr>
      <w:tr>
        <w:trPr>
          <w:cantSplit/>
        </w:trPr>
        <w:tc>
          <w:tcPr>
            <w:tcW w:type="dxa" w:w="2232"/>
          </w:tcPr>
          <w:p>
            <w:pPr>
              <w:spacing w:after="0"/>
            </w:pPr>
            <w:r/>
            <w:r>
              <w:rPr>
                <w:sz w:val="14"/>
              </w:rPr>
              <w:t>sales_routes</w:t>
            </w:r>
          </w:p>
        </w:tc>
        <w:tc>
          <w:tcPr>
            <w:tcW w:type="dxa" w:w="1512"/>
          </w:tcPr>
          <w:p>
            <w:pPr>
              <w:spacing w:after="0"/>
            </w:pPr>
            <w:r/>
            <w:r>
              <w:rPr>
                <w:sz w:val="14"/>
              </w:rPr>
              <w:t>Sales tracking</w:t>
            </w:r>
          </w:p>
        </w:tc>
        <w:tc>
          <w:tcPr>
            <w:tcW w:type="dxa" w:w="576"/>
          </w:tcPr>
          <w:p>
            <w:pPr>
              <w:spacing w:after="0"/>
            </w:pPr>
            <w:r/>
            <w:r>
              <w:rPr>
                <w:sz w:val="14"/>
              </w:rPr>
              <w:t>9</w:t>
            </w:r>
          </w:p>
        </w:tc>
        <w:tc>
          <w:tcPr>
            <w:tcW w:type="dxa" w:w="1656"/>
          </w:tcPr>
          <w:p>
            <w:pPr>
              <w:spacing w:after="0"/>
            </w:pPr>
            <w:r/>
            <w:r>
              <w:rPr>
                <w:sz w:val="14"/>
              </w:rPr>
              <w:t>Operational</w:t>
            </w:r>
          </w:p>
        </w:tc>
        <w:tc>
          <w:tcPr>
            <w:tcW w:type="dxa" w:w="7992"/>
          </w:tcPr>
          <w:p>
            <w:pPr>
              <w:spacing w:after="0"/>
            </w:pPr>
            <w:r/>
            <w:r>
              <w:rPr>
                <w:sz w:val="14"/>
              </w:rPr>
              <w:t>Planned daily route per salesperson (JSONB customer list).</w:t>
            </w:r>
          </w:p>
        </w:tc>
      </w:tr>
      <w:tr>
        <w:trPr>
          <w:cantSplit/>
        </w:trPr>
        <w:tc>
          <w:tcPr>
            <w:tcW w:type="dxa" w:w="2232"/>
          </w:tcPr>
          <w:p>
            <w:pPr>
              <w:spacing w:after="0"/>
            </w:pPr>
            <w:r/>
            <w:r>
              <w:rPr>
                <w:sz w:val="14"/>
              </w:rPr>
              <w:t>sales_targets</w:t>
            </w:r>
          </w:p>
        </w:tc>
        <w:tc>
          <w:tcPr>
            <w:tcW w:type="dxa" w:w="1512"/>
          </w:tcPr>
          <w:p>
            <w:pPr>
              <w:spacing w:after="0"/>
            </w:pPr>
            <w:r/>
            <w:r>
              <w:rPr>
                <w:sz w:val="14"/>
              </w:rPr>
              <w:t>Sales</w:t>
            </w:r>
          </w:p>
        </w:tc>
        <w:tc>
          <w:tcPr>
            <w:tcW w:type="dxa" w:w="576"/>
          </w:tcPr>
          <w:p>
            <w:pPr>
              <w:spacing w:after="0"/>
            </w:pPr>
            <w:r/>
            <w:r>
              <w:rPr>
                <w:sz w:val="14"/>
              </w:rPr>
              <w:t>16</w:t>
            </w:r>
          </w:p>
        </w:tc>
        <w:tc>
          <w:tcPr>
            <w:tcW w:type="dxa" w:w="1656"/>
          </w:tcPr>
          <w:p>
            <w:pPr>
              <w:spacing w:after="0"/>
            </w:pPr>
            <w:r/>
            <w:r>
              <w:rPr>
                <w:sz w:val="14"/>
              </w:rPr>
              <w:t>Operational</w:t>
            </w:r>
          </w:p>
        </w:tc>
        <w:tc>
          <w:tcPr>
            <w:tcW w:type="dxa" w:w="7992"/>
          </w:tcPr>
          <w:p>
            <w:pPr>
              <w:spacing w:after="0"/>
            </w:pPr>
            <w:r/>
            <w:r>
              <w:rPr>
                <w:sz w:val="14"/>
              </w:rPr>
              <w:t>Sales targets per period, role level and scope.</w:t>
            </w:r>
          </w:p>
        </w:tc>
      </w:tr>
      <w:tr>
        <w:trPr>
          <w:cantSplit/>
        </w:trPr>
        <w:tc>
          <w:tcPr>
            <w:tcW w:type="dxa" w:w="2232"/>
          </w:tcPr>
          <w:p>
            <w:pPr>
              <w:spacing w:after="0"/>
            </w:pPr>
            <w:r/>
            <w:r>
              <w:rPr>
                <w:sz w:val="14"/>
              </w:rPr>
              <w:t>sales_visits</w:t>
            </w:r>
          </w:p>
        </w:tc>
        <w:tc>
          <w:tcPr>
            <w:tcW w:type="dxa" w:w="1512"/>
          </w:tcPr>
          <w:p>
            <w:pPr>
              <w:spacing w:after="0"/>
            </w:pPr>
            <w:r/>
            <w:r>
              <w:rPr>
                <w:sz w:val="14"/>
              </w:rPr>
              <w:t>Sales tracking</w:t>
            </w:r>
          </w:p>
        </w:tc>
        <w:tc>
          <w:tcPr>
            <w:tcW w:type="dxa" w:w="576"/>
          </w:tcPr>
          <w:p>
            <w:pPr>
              <w:spacing w:after="0"/>
            </w:pPr>
            <w:r/>
            <w:r>
              <w:rPr>
                <w:sz w:val="14"/>
              </w:rPr>
              <w:t>21</w:t>
            </w:r>
          </w:p>
        </w:tc>
        <w:tc>
          <w:tcPr>
            <w:tcW w:type="dxa" w:w="1656"/>
          </w:tcPr>
          <w:p>
            <w:pPr>
              <w:spacing w:after="0"/>
            </w:pPr>
            <w:r/>
            <w:r>
              <w:rPr>
                <w:sz w:val="14"/>
              </w:rPr>
              <w:t>Operational</w:t>
            </w:r>
          </w:p>
        </w:tc>
        <w:tc>
          <w:tcPr>
            <w:tcW w:type="dxa" w:w="7992"/>
          </w:tcPr>
          <w:p>
            <w:pPr>
              <w:spacing w:after="0"/>
            </w:pPr>
            <w:r/>
            <w:r>
              <w:rPr>
                <w:sz w:val="14"/>
              </w:rPr>
              <w:t>Planned/actual customer visits with GPS check-in/out.</w:t>
            </w:r>
          </w:p>
        </w:tc>
      </w:tr>
      <w:tr>
        <w:trPr>
          <w:cantSplit/>
        </w:trPr>
        <w:tc>
          <w:tcPr>
            <w:tcW w:type="dxa" w:w="2232"/>
          </w:tcPr>
          <w:p>
            <w:pPr>
              <w:spacing w:after="0"/>
            </w:pPr>
            <w:r/>
            <w:r>
              <w:rPr>
                <w:sz w:val="14"/>
              </w:rPr>
              <w:t>sales_vouchers</w:t>
            </w:r>
          </w:p>
        </w:tc>
        <w:tc>
          <w:tcPr>
            <w:tcW w:type="dxa" w:w="1512"/>
          </w:tcPr>
          <w:p>
            <w:pPr>
              <w:spacing w:after="0"/>
            </w:pPr>
            <w:r/>
            <w:r>
              <w:rPr>
                <w:sz w:val="14"/>
              </w:rPr>
              <w:t>Sales</w:t>
            </w:r>
          </w:p>
        </w:tc>
        <w:tc>
          <w:tcPr>
            <w:tcW w:type="dxa" w:w="576"/>
          </w:tcPr>
          <w:p>
            <w:pPr>
              <w:spacing w:after="0"/>
            </w:pPr>
            <w:r/>
            <w:r>
              <w:rPr>
                <w:sz w:val="14"/>
              </w:rPr>
              <w:t>11</w:t>
            </w:r>
          </w:p>
        </w:tc>
        <w:tc>
          <w:tcPr>
            <w:tcW w:type="dxa" w:w="1656"/>
          </w:tcPr>
          <w:p>
            <w:pPr>
              <w:spacing w:after="0"/>
            </w:pPr>
            <w:r/>
            <w:r>
              <w:rPr>
                <w:sz w:val="14"/>
              </w:rPr>
              <w:t>Operational</w:t>
            </w:r>
          </w:p>
        </w:tc>
        <w:tc>
          <w:tcPr>
            <w:tcW w:type="dxa" w:w="7992"/>
          </w:tcPr>
          <w:p>
            <w:pPr>
              <w:spacing w:after="0"/>
            </w:pPr>
            <w:r/>
            <w:r>
              <w:rPr>
                <w:sz w:val="14"/>
              </w:rPr>
              <w:t>Sales voucher codes (promotion/member_discount/sales_voucher).</w:t>
            </w:r>
          </w:p>
        </w:tc>
      </w:tr>
      <w:tr>
        <w:trPr>
          <w:cantSplit/>
        </w:trPr>
        <w:tc>
          <w:tcPr>
            <w:tcW w:type="dxa" w:w="2232"/>
          </w:tcPr>
          <w:p>
            <w:pPr>
              <w:spacing w:after="0"/>
            </w:pPr>
            <w:r/>
            <w:r>
              <w:rPr>
                <w:sz w:val="14"/>
              </w:rPr>
              <w:t>schema_migrations</w:t>
            </w:r>
          </w:p>
        </w:tc>
        <w:tc>
          <w:tcPr>
            <w:tcW w:type="dxa" w:w="1512"/>
          </w:tcPr>
          <w:p>
            <w:pPr>
              <w:spacing w:after="0"/>
            </w:pPr>
            <w:r/>
            <w:r>
              <w:rPr>
                <w:sz w:val="14"/>
              </w:rPr>
              <w:t>System</w:t>
            </w:r>
          </w:p>
        </w:tc>
        <w:tc>
          <w:tcPr>
            <w:tcW w:type="dxa" w:w="576"/>
          </w:tcPr>
          <w:p>
            <w:pPr>
              <w:spacing w:after="0"/>
            </w:pPr>
            <w:r/>
            <w:r>
              <w:rPr>
                <w:sz w:val="14"/>
              </w:rPr>
              <w:t>2</w:t>
            </w:r>
          </w:p>
        </w:tc>
        <w:tc>
          <w:tcPr>
            <w:tcW w:type="dxa" w:w="1656"/>
          </w:tcPr>
          <w:p>
            <w:pPr>
              <w:spacing w:after="0"/>
            </w:pPr>
            <w:r/>
            <w:r>
              <w:rPr>
                <w:sz w:val="14"/>
              </w:rPr>
              <w:t>Operational</w:t>
            </w:r>
          </w:p>
        </w:tc>
        <w:tc>
          <w:tcPr>
            <w:tcW w:type="dxa" w:w="7992"/>
          </w:tcPr>
          <w:p>
            <w:pPr>
              <w:spacing w:after="0"/>
            </w:pPr>
            <w:r/>
            <w:r>
              <w:rPr>
                <w:sz w:val="14"/>
              </w:rPr>
              <w:t>Migration runner bookkeeping (version + applied_at) written by internal/dbmigrate.</w:t>
            </w:r>
          </w:p>
        </w:tc>
      </w:tr>
      <w:tr>
        <w:trPr>
          <w:cantSplit/>
        </w:trPr>
        <w:tc>
          <w:tcPr>
            <w:tcW w:type="dxa" w:w="2232"/>
          </w:tcPr>
          <w:p>
            <w:pPr>
              <w:spacing w:after="0"/>
            </w:pPr>
            <w:r/>
            <w:r>
              <w:rPr>
                <w:sz w:val="14"/>
              </w:rPr>
              <w:t>sessions</w:t>
            </w:r>
          </w:p>
        </w:tc>
        <w:tc>
          <w:tcPr>
            <w:tcW w:type="dxa" w:w="1512"/>
          </w:tcPr>
          <w:p>
            <w:pPr>
              <w:spacing w:after="0"/>
            </w:pPr>
            <w:r/>
            <w:r>
              <w:rPr>
                <w:sz w:val="14"/>
              </w:rPr>
              <w:t>Framework</w:t>
            </w:r>
          </w:p>
        </w:tc>
        <w:tc>
          <w:tcPr>
            <w:tcW w:type="dxa" w:w="576"/>
          </w:tcPr>
          <w:p>
            <w:pPr>
              <w:spacing w:after="0"/>
            </w:pPr>
            <w:r/>
            <w:r>
              <w:rPr>
                <w:sz w:val="14"/>
              </w:rPr>
              <w:t>6</w:t>
            </w:r>
          </w:p>
        </w:tc>
        <w:tc>
          <w:tcPr>
            <w:tcW w:type="dxa" w:w="1656"/>
          </w:tcPr>
          <w:p>
            <w:pPr>
              <w:spacing w:after="0"/>
            </w:pPr>
            <w:r/>
            <w:r>
              <w:rPr>
                <w:sz w:val="14"/>
              </w:rPr>
              <w:t>Framework/internal</w:t>
            </w:r>
          </w:p>
        </w:tc>
        <w:tc>
          <w:tcPr>
            <w:tcW w:type="dxa" w:w="7992"/>
          </w:tcPr>
          <w:p>
            <w:pPr>
              <w:spacing w:after="0"/>
            </w:pPr>
            <w:r/>
            <w:r>
              <w:rPr>
                <w:sz w:val="14"/>
              </w:rPr>
              <w:t>Laravel session table; unused by the Go backend (bearer tokens).</w:t>
            </w:r>
          </w:p>
        </w:tc>
      </w:tr>
      <w:tr>
        <w:trPr>
          <w:cantSplit/>
        </w:trPr>
        <w:tc>
          <w:tcPr>
            <w:tcW w:type="dxa" w:w="2232"/>
          </w:tcPr>
          <w:p>
            <w:pPr>
              <w:spacing w:after="0"/>
            </w:pPr>
            <w:r/>
            <w:r>
              <w:rPr>
                <w:sz w:val="14"/>
              </w:rPr>
              <w:t>shipment_items</w:t>
            </w:r>
          </w:p>
        </w:tc>
        <w:tc>
          <w:tcPr>
            <w:tcW w:type="dxa" w:w="1512"/>
          </w:tcPr>
          <w:p>
            <w:pPr>
              <w:spacing w:after="0"/>
            </w:pPr>
            <w:r/>
            <w:r>
              <w:rPr>
                <w:sz w:val="14"/>
              </w:rPr>
              <w:t>Distribution</w:t>
            </w:r>
          </w:p>
        </w:tc>
        <w:tc>
          <w:tcPr>
            <w:tcW w:type="dxa" w:w="576"/>
          </w:tcPr>
          <w:p>
            <w:pPr>
              <w:spacing w:after="0"/>
            </w:pPr>
            <w:r/>
            <w:r>
              <w:rPr>
                <w:sz w:val="14"/>
              </w:rPr>
              <w:t>6</w:t>
            </w:r>
          </w:p>
        </w:tc>
        <w:tc>
          <w:tcPr>
            <w:tcW w:type="dxa" w:w="1656"/>
          </w:tcPr>
          <w:p>
            <w:pPr>
              <w:spacing w:after="0"/>
            </w:pPr>
            <w:r/>
            <w:r>
              <w:rPr>
                <w:sz w:val="14"/>
              </w:rPr>
              <w:t>Operational</w:t>
            </w:r>
          </w:p>
        </w:tc>
        <w:tc>
          <w:tcPr>
            <w:tcW w:type="dxa" w:w="7992"/>
          </w:tcPr>
          <w:p>
            <w:pPr>
              <w:spacing w:after="0"/>
            </w:pPr>
            <w:r/>
            <w:r>
              <w:rPr>
                <w:sz w:val="14"/>
              </w:rPr>
              <w:t>Per-product shipped/delivered quantities on a shipment.</w:t>
            </w:r>
          </w:p>
        </w:tc>
      </w:tr>
      <w:tr>
        <w:trPr>
          <w:cantSplit/>
        </w:trPr>
        <w:tc>
          <w:tcPr>
            <w:tcW w:type="dxa" w:w="2232"/>
          </w:tcPr>
          <w:p>
            <w:pPr>
              <w:spacing w:after="0"/>
            </w:pPr>
            <w:r/>
            <w:r>
              <w:rPr>
                <w:sz w:val="14"/>
              </w:rPr>
              <w:t>shipment_tracking_events</w:t>
            </w:r>
          </w:p>
        </w:tc>
        <w:tc>
          <w:tcPr>
            <w:tcW w:type="dxa" w:w="1512"/>
          </w:tcPr>
          <w:p>
            <w:pPr>
              <w:spacing w:after="0"/>
            </w:pPr>
            <w:r/>
            <w:r>
              <w:rPr>
                <w:sz w:val="14"/>
              </w:rPr>
              <w:t>Distribution</w:t>
            </w:r>
          </w:p>
        </w:tc>
        <w:tc>
          <w:tcPr>
            <w:tcW w:type="dxa" w:w="576"/>
          </w:tcPr>
          <w:p>
            <w:pPr>
              <w:spacing w:after="0"/>
            </w:pPr>
            <w:r/>
            <w:r>
              <w:rPr>
                <w:sz w:val="14"/>
              </w:rPr>
              <w:t>14</w:t>
            </w:r>
          </w:p>
        </w:tc>
        <w:tc>
          <w:tcPr>
            <w:tcW w:type="dxa" w:w="1656"/>
          </w:tcPr>
          <w:p>
            <w:pPr>
              <w:spacing w:after="0"/>
            </w:pPr>
            <w:r/>
            <w:r>
              <w:rPr>
                <w:sz w:val="14"/>
              </w:rPr>
              <w:t>Operational</w:t>
            </w:r>
          </w:p>
        </w:tc>
        <w:tc>
          <w:tcPr>
            <w:tcW w:type="dxa" w:w="7992"/>
          </w:tcPr>
          <w:p>
            <w:pPr>
              <w:spacing w:after="0"/>
            </w:pPr>
            <w:r/>
            <w:r>
              <w:rPr>
                <w:sz w:val="14"/>
              </w:rPr>
              <w:t>Tracking events (status + GPS) for a shipment.</w:t>
            </w:r>
          </w:p>
        </w:tc>
      </w:tr>
      <w:tr>
        <w:trPr>
          <w:cantSplit/>
        </w:trPr>
        <w:tc>
          <w:tcPr>
            <w:tcW w:type="dxa" w:w="2232"/>
          </w:tcPr>
          <w:p>
            <w:pPr>
              <w:spacing w:after="0"/>
            </w:pPr>
            <w:r/>
            <w:r>
              <w:rPr>
                <w:sz w:val="14"/>
              </w:rPr>
              <w:t>shipments</w:t>
            </w:r>
          </w:p>
        </w:tc>
        <w:tc>
          <w:tcPr>
            <w:tcW w:type="dxa" w:w="1512"/>
          </w:tcPr>
          <w:p>
            <w:pPr>
              <w:spacing w:after="0"/>
            </w:pPr>
            <w:r/>
            <w:r>
              <w:rPr>
                <w:sz w:val="14"/>
              </w:rPr>
              <w:t>Distribution</w:t>
            </w:r>
          </w:p>
        </w:tc>
        <w:tc>
          <w:tcPr>
            <w:tcW w:type="dxa" w:w="576"/>
          </w:tcPr>
          <w:p>
            <w:pPr>
              <w:spacing w:after="0"/>
            </w:pPr>
            <w:r/>
            <w:r>
              <w:rPr>
                <w:sz w:val="14"/>
              </w:rPr>
              <w:t>11</w:t>
            </w:r>
          </w:p>
        </w:tc>
        <w:tc>
          <w:tcPr>
            <w:tcW w:type="dxa" w:w="1656"/>
          </w:tcPr>
          <w:p>
            <w:pPr>
              <w:spacing w:after="0"/>
            </w:pPr>
            <w:r/>
            <w:r>
              <w:rPr>
                <w:sz w:val="14"/>
              </w:rPr>
              <w:t>Operational</w:t>
            </w:r>
          </w:p>
        </w:tc>
        <w:tc>
          <w:tcPr>
            <w:tcW w:type="dxa" w:w="7992"/>
          </w:tcPr>
          <w:p>
            <w:pPr>
              <w:spacing w:after="0"/>
            </w:pPr>
            <w:r/>
            <w:r>
              <w:rPr>
                <w:sz w:val="14"/>
              </w:rPr>
              <w:t>Shipment (SJ-) with tracking number and barcode.</w:t>
            </w:r>
          </w:p>
        </w:tc>
      </w:tr>
      <w:tr>
        <w:trPr>
          <w:cantSplit/>
        </w:trPr>
        <w:tc>
          <w:tcPr>
            <w:tcW w:type="dxa" w:w="2232"/>
          </w:tcPr>
          <w:p>
            <w:pPr>
              <w:spacing w:after="0"/>
            </w:pPr>
            <w:r/>
            <w:r>
              <w:rPr>
                <w:sz w:val="14"/>
              </w:rPr>
              <w:t>stock_movements</w:t>
            </w:r>
          </w:p>
        </w:tc>
        <w:tc>
          <w:tcPr>
            <w:tcW w:type="dxa" w:w="1512"/>
          </w:tcPr>
          <w:p>
            <w:pPr>
              <w:spacing w:after="0"/>
            </w:pPr>
            <w:r/>
            <w:r>
              <w:rPr>
                <w:sz w:val="14"/>
              </w:rPr>
              <w:t>Inventory</w:t>
            </w:r>
          </w:p>
        </w:tc>
        <w:tc>
          <w:tcPr>
            <w:tcW w:type="dxa" w:w="576"/>
          </w:tcPr>
          <w:p>
            <w:pPr>
              <w:spacing w:after="0"/>
            </w:pPr>
            <w:r/>
            <w:r>
              <w:rPr>
                <w:sz w:val="14"/>
              </w:rPr>
              <w:t>14</w:t>
            </w:r>
          </w:p>
        </w:tc>
        <w:tc>
          <w:tcPr>
            <w:tcW w:type="dxa" w:w="1656"/>
          </w:tcPr>
          <w:p>
            <w:pPr>
              <w:spacing w:after="0"/>
            </w:pPr>
            <w:r/>
            <w:r>
              <w:rPr>
                <w:sz w:val="14"/>
              </w:rPr>
              <w:t>Operational</w:t>
            </w:r>
          </w:p>
        </w:tc>
        <w:tc>
          <w:tcPr>
            <w:tcW w:type="dxa" w:w="7992"/>
          </w:tcPr>
          <w:p>
            <w:pPr>
              <w:spacing w:after="0"/>
            </w:pPr>
            <w:r/>
            <w:r>
              <w:rPr>
                <w:sz w:val="14"/>
              </w:rPr>
              <w:t>Append-only stock ledger with before/after quantities.</w:t>
            </w:r>
          </w:p>
        </w:tc>
      </w:tr>
      <w:tr>
        <w:trPr>
          <w:cantSplit/>
        </w:trPr>
        <w:tc>
          <w:tcPr>
            <w:tcW w:type="dxa" w:w="2232"/>
          </w:tcPr>
          <w:p>
            <w:pPr>
              <w:spacing w:after="0"/>
            </w:pPr>
            <w:r/>
            <w:r>
              <w:rPr>
                <w:sz w:val="14"/>
              </w:rPr>
              <w:t>stock_opname_items</w:t>
            </w:r>
          </w:p>
        </w:tc>
        <w:tc>
          <w:tcPr>
            <w:tcW w:type="dxa" w:w="1512"/>
          </w:tcPr>
          <w:p>
            <w:pPr>
              <w:spacing w:after="0"/>
            </w:pPr>
            <w:r/>
            <w:r>
              <w:rPr>
                <w:sz w:val="14"/>
              </w:rPr>
              <w:t>Inventory</w:t>
            </w:r>
          </w:p>
        </w:tc>
        <w:tc>
          <w:tcPr>
            <w:tcW w:type="dxa" w:w="576"/>
          </w:tcPr>
          <w:p>
            <w:pPr>
              <w:spacing w:after="0"/>
            </w:pPr>
            <w:r/>
            <w:r>
              <w:rPr>
                <w:sz w:val="14"/>
              </w:rPr>
              <w:t>7</w:t>
            </w:r>
          </w:p>
        </w:tc>
        <w:tc>
          <w:tcPr>
            <w:tcW w:type="dxa" w:w="1656"/>
          </w:tcPr>
          <w:p>
            <w:pPr>
              <w:spacing w:after="0"/>
            </w:pPr>
            <w:r/>
            <w:r>
              <w:rPr>
                <w:sz w:val="14"/>
              </w:rPr>
              <w:t>Operational</w:t>
            </w:r>
          </w:p>
        </w:tc>
        <w:tc>
          <w:tcPr>
            <w:tcW w:type="dxa" w:w="7992"/>
          </w:tcPr>
          <w:p>
            <w:pPr>
              <w:spacing w:after="0"/>
            </w:pPr>
            <w:r/>
            <w:r>
              <w:rPr>
                <w:sz w:val="14"/>
              </w:rPr>
              <w:t>Per-product system vs physical quantity in an opname.</w:t>
            </w:r>
          </w:p>
        </w:tc>
      </w:tr>
      <w:tr>
        <w:trPr>
          <w:cantSplit/>
        </w:trPr>
        <w:tc>
          <w:tcPr>
            <w:tcW w:type="dxa" w:w="2232"/>
          </w:tcPr>
          <w:p>
            <w:pPr>
              <w:spacing w:after="0"/>
            </w:pPr>
            <w:r/>
            <w:r>
              <w:rPr>
                <w:sz w:val="14"/>
              </w:rPr>
              <w:t>stock_opnames</w:t>
            </w:r>
          </w:p>
        </w:tc>
        <w:tc>
          <w:tcPr>
            <w:tcW w:type="dxa" w:w="1512"/>
          </w:tcPr>
          <w:p>
            <w:pPr>
              <w:spacing w:after="0"/>
            </w:pPr>
            <w:r/>
            <w:r>
              <w:rPr>
                <w:sz w:val="14"/>
              </w:rPr>
              <w:t>Inventory</w:t>
            </w:r>
          </w:p>
        </w:tc>
        <w:tc>
          <w:tcPr>
            <w:tcW w:type="dxa" w:w="576"/>
          </w:tcPr>
          <w:p>
            <w:pPr>
              <w:spacing w:after="0"/>
            </w:pPr>
            <w:r/>
            <w:r>
              <w:rPr>
                <w:sz w:val="14"/>
              </w:rPr>
              <w:t>10</w:t>
            </w:r>
          </w:p>
        </w:tc>
        <w:tc>
          <w:tcPr>
            <w:tcW w:type="dxa" w:w="1656"/>
          </w:tcPr>
          <w:p>
            <w:pPr>
              <w:spacing w:after="0"/>
            </w:pPr>
            <w:r/>
            <w:r>
              <w:rPr>
                <w:sz w:val="14"/>
              </w:rPr>
              <w:t>Operational</w:t>
            </w:r>
          </w:p>
        </w:tc>
        <w:tc>
          <w:tcPr>
            <w:tcW w:type="dxa" w:w="7992"/>
          </w:tcPr>
          <w:p>
            <w:pPr>
              <w:spacing w:after="0"/>
            </w:pPr>
            <w:r/>
            <w:r>
              <w:rPr>
                <w:sz w:val="14"/>
              </w:rPr>
              <w:t>Stock opname header (OPN-) with approval state.</w:t>
            </w:r>
          </w:p>
        </w:tc>
      </w:tr>
      <w:tr>
        <w:trPr>
          <w:cantSplit/>
        </w:trPr>
        <w:tc>
          <w:tcPr>
            <w:tcW w:type="dxa" w:w="2232"/>
          </w:tcPr>
          <w:p>
            <w:pPr>
              <w:spacing w:after="0"/>
            </w:pPr>
            <w:r/>
            <w:r>
              <w:rPr>
                <w:sz w:val="14"/>
              </w:rPr>
              <w:t>stock_transfer_items</w:t>
            </w:r>
          </w:p>
        </w:tc>
        <w:tc>
          <w:tcPr>
            <w:tcW w:type="dxa" w:w="1512"/>
          </w:tcPr>
          <w:p>
            <w:pPr>
              <w:spacing w:after="0"/>
            </w:pPr>
            <w:r/>
            <w:r>
              <w:rPr>
                <w:sz w:val="14"/>
              </w:rPr>
              <w:t>Inventory</w:t>
            </w:r>
          </w:p>
        </w:tc>
        <w:tc>
          <w:tcPr>
            <w:tcW w:type="dxa" w:w="576"/>
          </w:tcPr>
          <w:p>
            <w:pPr>
              <w:spacing w:after="0"/>
            </w:pPr>
            <w:r/>
            <w:r>
              <w:rPr>
                <w:sz w:val="14"/>
              </w:rPr>
              <w:t>6</w:t>
            </w:r>
          </w:p>
        </w:tc>
        <w:tc>
          <w:tcPr>
            <w:tcW w:type="dxa" w:w="1656"/>
          </w:tcPr>
          <w:p>
            <w:pPr>
              <w:spacing w:after="0"/>
            </w:pPr>
            <w:r/>
            <w:r>
              <w:rPr>
                <w:sz w:val="14"/>
              </w:rPr>
              <w:t>Operational</w:t>
            </w:r>
          </w:p>
        </w:tc>
        <w:tc>
          <w:tcPr>
            <w:tcW w:type="dxa" w:w="7992"/>
          </w:tcPr>
          <w:p>
            <w:pPr>
              <w:spacing w:after="0"/>
            </w:pPr>
            <w:r/>
            <w:r>
              <w:rPr>
                <w:sz w:val="14"/>
              </w:rPr>
              <w:t>Requested/sent/received quantities per transfer line.</w:t>
            </w:r>
          </w:p>
        </w:tc>
      </w:tr>
      <w:tr>
        <w:trPr>
          <w:cantSplit/>
        </w:trPr>
        <w:tc>
          <w:tcPr>
            <w:tcW w:type="dxa" w:w="2232"/>
          </w:tcPr>
          <w:p>
            <w:pPr>
              <w:spacing w:after="0"/>
            </w:pPr>
            <w:r/>
            <w:r>
              <w:rPr>
                <w:sz w:val="14"/>
              </w:rPr>
              <w:t>stock_transfers</w:t>
            </w:r>
          </w:p>
        </w:tc>
        <w:tc>
          <w:tcPr>
            <w:tcW w:type="dxa" w:w="1512"/>
          </w:tcPr>
          <w:p>
            <w:pPr>
              <w:spacing w:after="0"/>
            </w:pPr>
            <w:r/>
            <w:r>
              <w:rPr>
                <w:sz w:val="14"/>
              </w:rPr>
              <w:t>Inventory</w:t>
            </w:r>
          </w:p>
        </w:tc>
        <w:tc>
          <w:tcPr>
            <w:tcW w:type="dxa" w:w="576"/>
          </w:tcPr>
          <w:p>
            <w:pPr>
              <w:spacing w:after="0"/>
            </w:pPr>
            <w:r/>
            <w:r>
              <w:rPr>
                <w:sz w:val="14"/>
              </w:rPr>
              <w:t>11</w:t>
            </w:r>
          </w:p>
        </w:tc>
        <w:tc>
          <w:tcPr>
            <w:tcW w:type="dxa" w:w="1656"/>
          </w:tcPr>
          <w:p>
            <w:pPr>
              <w:spacing w:after="0"/>
            </w:pPr>
            <w:r/>
            <w:r>
              <w:rPr>
                <w:sz w:val="14"/>
              </w:rPr>
              <w:t>Operational</w:t>
            </w:r>
          </w:p>
        </w:tc>
        <w:tc>
          <w:tcPr>
            <w:tcW w:type="dxa" w:w="7992"/>
          </w:tcPr>
          <w:p>
            <w:pPr>
              <w:spacing w:after="0"/>
            </w:pPr>
            <w:r/>
            <w:r>
              <w:rPr>
                <w:sz w:val="14"/>
              </w:rPr>
              <w:t>Inter-warehouse transfer header (TRF-).</w:t>
            </w:r>
          </w:p>
        </w:tc>
      </w:tr>
      <w:tr>
        <w:trPr>
          <w:cantSplit/>
        </w:trPr>
        <w:tc>
          <w:tcPr>
            <w:tcW w:type="dxa" w:w="2232"/>
          </w:tcPr>
          <w:p>
            <w:pPr>
              <w:spacing w:after="0"/>
            </w:pPr>
            <w:r/>
            <w:r>
              <w:rPr>
                <w:sz w:val="14"/>
              </w:rPr>
              <w:t>stocks</w:t>
            </w:r>
          </w:p>
        </w:tc>
        <w:tc>
          <w:tcPr>
            <w:tcW w:type="dxa" w:w="1512"/>
          </w:tcPr>
          <w:p>
            <w:pPr>
              <w:spacing w:after="0"/>
            </w:pPr>
            <w:r/>
            <w:r>
              <w:rPr>
                <w:sz w:val="14"/>
              </w:rPr>
              <w:t>Inventory</w:t>
            </w:r>
          </w:p>
        </w:tc>
        <w:tc>
          <w:tcPr>
            <w:tcW w:type="dxa" w:w="576"/>
          </w:tcPr>
          <w:p>
            <w:pPr>
              <w:spacing w:after="0"/>
            </w:pPr>
            <w:r/>
            <w:r>
              <w:rPr>
                <w:sz w:val="14"/>
              </w:rPr>
              <w:t>8</w:t>
            </w:r>
          </w:p>
        </w:tc>
        <w:tc>
          <w:tcPr>
            <w:tcW w:type="dxa" w:w="1656"/>
          </w:tcPr>
          <w:p>
            <w:pPr>
              <w:spacing w:after="0"/>
            </w:pPr>
            <w:r/>
            <w:r>
              <w:rPr>
                <w:sz w:val="14"/>
              </w:rPr>
              <w:t>Operational</w:t>
            </w:r>
          </w:p>
        </w:tc>
        <w:tc>
          <w:tcPr>
            <w:tcW w:type="dxa" w:w="7992"/>
          </w:tcPr>
          <w:p>
            <w:pPr>
              <w:spacing w:after="0"/>
            </w:pPr>
            <w:r/>
            <w:r>
              <w:rPr>
                <w:sz w:val="14"/>
              </w:rPr>
              <w:t>Per (product, warehouse) quantity and reservation.</w:t>
            </w:r>
          </w:p>
        </w:tc>
      </w:tr>
      <w:tr>
        <w:trPr>
          <w:cantSplit/>
        </w:trPr>
        <w:tc>
          <w:tcPr>
            <w:tcW w:type="dxa" w:w="2232"/>
          </w:tcPr>
          <w:p>
            <w:pPr>
              <w:spacing w:after="0"/>
            </w:pPr>
            <w:r/>
            <w:r>
              <w:rPr>
                <w:sz w:val="14"/>
              </w:rPr>
              <w:t>store_users</w:t>
            </w:r>
          </w:p>
        </w:tc>
        <w:tc>
          <w:tcPr>
            <w:tcW w:type="dxa" w:w="1512"/>
          </w:tcPr>
          <w:p>
            <w:pPr>
              <w:spacing w:after="0"/>
            </w:pPr>
            <w:r/>
            <w:r>
              <w:rPr>
                <w:sz w:val="14"/>
              </w:rPr>
              <w:t>Tenancy</w:t>
            </w:r>
          </w:p>
        </w:tc>
        <w:tc>
          <w:tcPr>
            <w:tcW w:type="dxa" w:w="576"/>
          </w:tcPr>
          <w:p>
            <w:pPr>
              <w:spacing w:after="0"/>
            </w:pPr>
            <w:r/>
            <w:r>
              <w:rPr>
                <w:sz w:val="14"/>
              </w:rPr>
              <w:t>3</w:t>
            </w:r>
          </w:p>
        </w:tc>
        <w:tc>
          <w:tcPr>
            <w:tcW w:type="dxa" w:w="1656"/>
          </w:tcPr>
          <w:p>
            <w:pPr>
              <w:spacing w:after="0"/>
            </w:pPr>
            <w:r/>
            <w:r>
              <w:rPr>
                <w:sz w:val="14"/>
              </w:rPr>
              <w:t>Operational</w:t>
            </w:r>
          </w:p>
        </w:tc>
        <w:tc>
          <w:tcPr>
            <w:tcW w:type="dxa" w:w="7992"/>
          </w:tcPr>
          <w:p>
            <w:pPr>
              <w:spacing w:after="0"/>
            </w:pPr>
            <w:r/>
            <w:r>
              <w:rPr>
                <w:sz w:val="14"/>
              </w:rPr>
              <w:t>User ↔ outlet membership used for tenant scoping.</w:t>
            </w:r>
          </w:p>
        </w:tc>
      </w:tr>
      <w:tr>
        <w:trPr>
          <w:cantSplit/>
        </w:trPr>
        <w:tc>
          <w:tcPr>
            <w:tcW w:type="dxa" w:w="2232"/>
          </w:tcPr>
          <w:p>
            <w:pPr>
              <w:spacing w:after="0"/>
            </w:pPr>
            <w:r/>
            <w:r>
              <w:rPr>
                <w:sz w:val="14"/>
              </w:rPr>
              <w:t>stores</w:t>
            </w:r>
          </w:p>
        </w:tc>
        <w:tc>
          <w:tcPr>
            <w:tcW w:type="dxa" w:w="1512"/>
          </w:tcPr>
          <w:p>
            <w:pPr>
              <w:spacing w:after="0"/>
            </w:pPr>
            <w:r/>
            <w:r>
              <w:rPr>
                <w:sz w:val="14"/>
              </w:rPr>
              <w:t>Tenancy</w:t>
            </w:r>
          </w:p>
        </w:tc>
        <w:tc>
          <w:tcPr>
            <w:tcW w:type="dxa" w:w="576"/>
          </w:tcPr>
          <w:p>
            <w:pPr>
              <w:spacing w:after="0"/>
            </w:pPr>
            <w:r/>
            <w:r>
              <w:rPr>
                <w:sz w:val="14"/>
              </w:rPr>
              <w:t>13</w:t>
            </w:r>
          </w:p>
        </w:tc>
        <w:tc>
          <w:tcPr>
            <w:tcW w:type="dxa" w:w="1656"/>
          </w:tcPr>
          <w:p>
            <w:pPr>
              <w:spacing w:after="0"/>
            </w:pPr>
            <w:r/>
            <w:r>
              <w:rPr>
                <w:sz w:val="14"/>
              </w:rPr>
              <w:t>Operational</w:t>
            </w:r>
          </w:p>
        </w:tc>
        <w:tc>
          <w:tcPr>
            <w:tcW w:type="dxa" w:w="7992"/>
          </w:tcPr>
          <w:p>
            <w:pPr>
              <w:spacing w:after="0"/>
            </w:pPr>
            <w:r/>
            <w:r>
              <w:rPr>
                <w:sz w:val="14"/>
              </w:rPr>
              <w:t>Outlet master; each outlet is bound to one warehouse.</w:t>
            </w:r>
          </w:p>
        </w:tc>
      </w:tr>
      <w:tr>
        <w:trPr>
          <w:cantSplit/>
        </w:trPr>
        <w:tc>
          <w:tcPr>
            <w:tcW w:type="dxa" w:w="2232"/>
          </w:tcPr>
          <w:p>
            <w:pPr>
              <w:spacing w:after="0"/>
            </w:pPr>
            <w:r/>
            <w:r>
              <w:rPr>
                <w:sz w:val="14"/>
              </w:rPr>
              <w:t>suppliers</w:t>
            </w:r>
          </w:p>
        </w:tc>
        <w:tc>
          <w:tcPr>
            <w:tcW w:type="dxa" w:w="1512"/>
          </w:tcPr>
          <w:p>
            <w:pPr>
              <w:spacing w:after="0"/>
            </w:pPr>
            <w:r/>
            <w:r>
              <w:rPr>
                <w:sz w:val="14"/>
              </w:rPr>
              <w:t>Partners</w:t>
            </w:r>
          </w:p>
        </w:tc>
        <w:tc>
          <w:tcPr>
            <w:tcW w:type="dxa" w:w="576"/>
          </w:tcPr>
          <w:p>
            <w:pPr>
              <w:spacing w:after="0"/>
            </w:pPr>
            <w:r/>
            <w:r>
              <w:rPr>
                <w:sz w:val="14"/>
              </w:rPr>
              <w:t>17</w:t>
            </w:r>
          </w:p>
        </w:tc>
        <w:tc>
          <w:tcPr>
            <w:tcW w:type="dxa" w:w="1656"/>
          </w:tcPr>
          <w:p>
            <w:pPr>
              <w:spacing w:after="0"/>
            </w:pPr>
            <w:r/>
            <w:r>
              <w:rPr>
                <w:sz w:val="14"/>
              </w:rPr>
              <w:t>Sensitive (PII/financial)</w:t>
            </w:r>
          </w:p>
        </w:tc>
        <w:tc>
          <w:tcPr>
            <w:tcW w:type="dxa" w:w="7992"/>
          </w:tcPr>
          <w:p>
            <w:pPr>
              <w:spacing w:after="0"/>
            </w:pPr>
            <w:r/>
            <w:r>
              <w:rPr>
                <w:sz w:val="14"/>
              </w:rPr>
              <w:t>Supplier master with credit limit and payment terms.</w:t>
            </w:r>
          </w:p>
        </w:tc>
      </w:tr>
      <w:tr>
        <w:trPr>
          <w:cantSplit/>
        </w:trPr>
        <w:tc>
          <w:tcPr>
            <w:tcW w:type="dxa" w:w="2232"/>
          </w:tcPr>
          <w:p>
            <w:pPr>
              <w:spacing w:after="0"/>
            </w:pPr>
            <w:r/>
            <w:r>
              <w:rPr>
                <w:sz w:val="14"/>
              </w:rPr>
              <w:t>ticket_comments</w:t>
            </w:r>
          </w:p>
        </w:tc>
        <w:tc>
          <w:tcPr>
            <w:tcW w:type="dxa" w:w="1512"/>
          </w:tcPr>
          <w:p>
            <w:pPr>
              <w:spacing w:after="0"/>
            </w:pPr>
            <w:r/>
            <w:r>
              <w:rPr>
                <w:sz w:val="14"/>
              </w:rPr>
              <w:t>Support</w:t>
            </w:r>
          </w:p>
        </w:tc>
        <w:tc>
          <w:tcPr>
            <w:tcW w:type="dxa" w:w="576"/>
          </w:tcPr>
          <w:p>
            <w:pPr>
              <w:spacing w:after="0"/>
            </w:pPr>
            <w:r/>
            <w:r>
              <w:rPr>
                <w:sz w:val="14"/>
              </w:rPr>
              <w:t>7</w:t>
            </w:r>
          </w:p>
        </w:tc>
        <w:tc>
          <w:tcPr>
            <w:tcW w:type="dxa" w:w="1656"/>
          </w:tcPr>
          <w:p>
            <w:pPr>
              <w:spacing w:after="0"/>
            </w:pPr>
            <w:r/>
            <w:r>
              <w:rPr>
                <w:sz w:val="14"/>
              </w:rPr>
              <w:t>Operational</w:t>
            </w:r>
          </w:p>
        </w:tc>
        <w:tc>
          <w:tcPr>
            <w:tcW w:type="dxa" w:w="7992"/>
          </w:tcPr>
          <w:p>
            <w:pPr>
              <w:spacing w:after="0"/>
            </w:pPr>
            <w:r/>
            <w:r>
              <w:rPr>
                <w:sz w:val="14"/>
              </w:rPr>
              <w:t>Comments on a support ticket (internal or public).</w:t>
            </w:r>
          </w:p>
        </w:tc>
      </w:tr>
      <w:tr>
        <w:trPr>
          <w:cantSplit/>
        </w:trPr>
        <w:tc>
          <w:tcPr>
            <w:tcW w:type="dxa" w:w="2232"/>
          </w:tcPr>
          <w:p>
            <w:pPr>
              <w:spacing w:after="0"/>
            </w:pPr>
            <w:r/>
            <w:r>
              <w:rPr>
                <w:sz w:val="14"/>
              </w:rPr>
              <w:t>tickets</w:t>
            </w:r>
          </w:p>
        </w:tc>
        <w:tc>
          <w:tcPr>
            <w:tcW w:type="dxa" w:w="1512"/>
          </w:tcPr>
          <w:p>
            <w:pPr>
              <w:spacing w:after="0"/>
            </w:pPr>
            <w:r/>
            <w:r>
              <w:rPr>
                <w:sz w:val="14"/>
              </w:rPr>
              <w:t>Support</w:t>
            </w:r>
          </w:p>
        </w:tc>
        <w:tc>
          <w:tcPr>
            <w:tcW w:type="dxa" w:w="576"/>
          </w:tcPr>
          <w:p>
            <w:pPr>
              <w:spacing w:after="0"/>
            </w:pPr>
            <w:r/>
            <w:r>
              <w:rPr>
                <w:sz w:val="14"/>
              </w:rPr>
              <w:t>17</w:t>
            </w:r>
          </w:p>
        </w:tc>
        <w:tc>
          <w:tcPr>
            <w:tcW w:type="dxa" w:w="1656"/>
          </w:tcPr>
          <w:p>
            <w:pPr>
              <w:spacing w:after="0"/>
            </w:pPr>
            <w:r/>
            <w:r>
              <w:rPr>
                <w:sz w:val="14"/>
              </w:rPr>
              <w:t>Sensitive (PII/financial)</w:t>
            </w:r>
          </w:p>
        </w:tc>
        <w:tc>
          <w:tcPr>
            <w:tcW w:type="dxa" w:w="7992"/>
          </w:tcPr>
          <w:p>
            <w:pPr>
              <w:spacing w:after="0"/>
            </w:pPr>
            <w:r/>
            <w:r>
              <w:rPr>
                <w:sz w:val="14"/>
              </w:rPr>
              <w:t>Cross-application support ticket with source app/path.</w:t>
            </w:r>
          </w:p>
        </w:tc>
      </w:tr>
      <w:tr>
        <w:trPr>
          <w:cantSplit/>
        </w:trPr>
        <w:tc>
          <w:tcPr>
            <w:tcW w:type="dxa" w:w="2232"/>
          </w:tcPr>
          <w:p>
            <w:pPr>
              <w:spacing w:after="0"/>
            </w:pPr>
            <w:r/>
            <w:r>
              <w:rPr>
                <w:sz w:val="14"/>
              </w:rPr>
              <w:t>units</w:t>
            </w:r>
          </w:p>
        </w:tc>
        <w:tc>
          <w:tcPr>
            <w:tcW w:type="dxa" w:w="1512"/>
          </w:tcPr>
          <w:p>
            <w:pPr>
              <w:spacing w:after="0"/>
            </w:pPr>
            <w:r/>
            <w:r>
              <w:rPr>
                <w:sz w:val="14"/>
              </w:rPr>
              <w:t>Catalog</w:t>
            </w:r>
          </w:p>
        </w:tc>
        <w:tc>
          <w:tcPr>
            <w:tcW w:type="dxa" w:w="576"/>
          </w:tcPr>
          <w:p>
            <w:pPr>
              <w:spacing w:after="0"/>
            </w:pPr>
            <w:r/>
            <w:r>
              <w:rPr>
                <w:sz w:val="14"/>
              </w:rPr>
              <w:t>6</w:t>
            </w:r>
          </w:p>
        </w:tc>
        <w:tc>
          <w:tcPr>
            <w:tcW w:type="dxa" w:w="1656"/>
          </w:tcPr>
          <w:p>
            <w:pPr>
              <w:spacing w:after="0"/>
            </w:pPr>
            <w:r/>
            <w:r>
              <w:rPr>
                <w:sz w:val="14"/>
              </w:rPr>
              <w:t>Operational</w:t>
            </w:r>
          </w:p>
        </w:tc>
        <w:tc>
          <w:tcPr>
            <w:tcW w:type="dxa" w:w="7992"/>
          </w:tcPr>
          <w:p>
            <w:pPr>
              <w:spacing w:after="0"/>
            </w:pPr>
            <w:r/>
            <w:r>
              <w:rPr>
                <w:sz w:val="14"/>
              </w:rPr>
              <w:t>Unit of measure master.</w:t>
            </w:r>
          </w:p>
        </w:tc>
      </w:tr>
      <w:tr>
        <w:trPr>
          <w:cantSplit/>
        </w:trPr>
        <w:tc>
          <w:tcPr>
            <w:tcW w:type="dxa" w:w="2232"/>
          </w:tcPr>
          <w:p>
            <w:pPr>
              <w:spacing w:after="0"/>
            </w:pPr>
            <w:r/>
            <w:r>
              <w:rPr>
                <w:sz w:val="14"/>
              </w:rPr>
              <w:t>users</w:t>
            </w:r>
          </w:p>
        </w:tc>
        <w:tc>
          <w:tcPr>
            <w:tcW w:type="dxa" w:w="1512"/>
          </w:tcPr>
          <w:p>
            <w:pPr>
              <w:spacing w:after="0"/>
            </w:pPr>
            <w:r/>
            <w:r>
              <w:rPr>
                <w:sz w:val="14"/>
              </w:rPr>
              <w:t>Auth</w:t>
            </w:r>
          </w:p>
        </w:tc>
        <w:tc>
          <w:tcPr>
            <w:tcW w:type="dxa" w:w="576"/>
          </w:tcPr>
          <w:p>
            <w:pPr>
              <w:spacing w:after="0"/>
            </w:pPr>
            <w:r/>
            <w:r>
              <w:rPr>
                <w:sz w:val="14"/>
              </w:rPr>
              <w:t>14</w:t>
            </w:r>
          </w:p>
        </w:tc>
        <w:tc>
          <w:tcPr>
            <w:tcW w:type="dxa" w:w="1656"/>
          </w:tcPr>
          <w:p>
            <w:pPr>
              <w:spacing w:after="0"/>
            </w:pPr>
            <w:r/>
            <w:r>
              <w:rPr>
                <w:sz w:val="14"/>
              </w:rPr>
              <w:t>Sensitive (PII/financial)</w:t>
            </w:r>
          </w:p>
        </w:tc>
        <w:tc>
          <w:tcPr>
            <w:tcW w:type="dxa" w:w="7992"/>
          </w:tcPr>
          <w:p>
            <w:pPr>
              <w:spacing w:after="0"/>
            </w:pPr>
            <w:r/>
            <w:r>
              <w:rPr>
                <w:sz w:val="14"/>
              </w:rPr>
              <w:t>Platform identity: role, per-user permission override, application_access.</w:t>
            </w:r>
          </w:p>
        </w:tc>
      </w:tr>
      <w:tr>
        <w:trPr>
          <w:cantSplit/>
        </w:trPr>
        <w:tc>
          <w:tcPr>
            <w:tcW w:type="dxa" w:w="2232"/>
          </w:tcPr>
          <w:p>
            <w:pPr>
              <w:spacing w:after="0"/>
            </w:pPr>
            <w:r/>
            <w:r>
              <w:rPr>
                <w:sz w:val="14"/>
              </w:rPr>
              <w:t>vouchers</w:t>
            </w:r>
          </w:p>
        </w:tc>
        <w:tc>
          <w:tcPr>
            <w:tcW w:type="dxa" w:w="1512"/>
          </w:tcPr>
          <w:p>
            <w:pPr>
              <w:spacing w:after="0"/>
            </w:pPr>
            <w:r/>
            <w:r>
              <w:rPr>
                <w:sz w:val="14"/>
              </w:rPr>
              <w:t>Purchasing</w:t>
            </w:r>
          </w:p>
        </w:tc>
        <w:tc>
          <w:tcPr>
            <w:tcW w:type="dxa" w:w="576"/>
          </w:tcPr>
          <w:p>
            <w:pPr>
              <w:spacing w:after="0"/>
            </w:pPr>
            <w:r/>
            <w:r>
              <w:rPr>
                <w:sz w:val="14"/>
              </w:rPr>
              <w:t>15</w:t>
            </w:r>
          </w:p>
        </w:tc>
        <w:tc>
          <w:tcPr>
            <w:tcW w:type="dxa" w:w="1656"/>
          </w:tcPr>
          <w:p>
            <w:pPr>
              <w:spacing w:after="0"/>
            </w:pPr>
            <w:r/>
            <w:r>
              <w:rPr>
                <w:sz w:val="14"/>
              </w:rPr>
              <w:t>Operational</w:t>
            </w:r>
          </w:p>
        </w:tc>
        <w:tc>
          <w:tcPr>
            <w:tcW w:type="dxa" w:w="7992"/>
          </w:tcPr>
          <w:p>
            <w:pPr>
              <w:spacing w:after="0"/>
            </w:pPr>
            <w:r/>
            <w:r>
              <w:rPr>
                <w:sz w:val="14"/>
              </w:rPr>
              <w:t>Supplier payment voucher (PV-) with PO/supplier link and print state.</w:t>
            </w:r>
          </w:p>
        </w:tc>
      </w:tr>
      <w:tr>
        <w:trPr>
          <w:cantSplit/>
        </w:trPr>
        <w:tc>
          <w:tcPr>
            <w:tcW w:type="dxa" w:w="2232"/>
          </w:tcPr>
          <w:p>
            <w:pPr>
              <w:spacing w:after="0"/>
            </w:pPr>
            <w:r/>
            <w:r>
              <w:rPr>
                <w:sz w:val="14"/>
              </w:rPr>
              <w:t>warehouse_deposits</w:t>
            </w:r>
          </w:p>
        </w:tc>
        <w:tc>
          <w:tcPr>
            <w:tcW w:type="dxa" w:w="1512"/>
          </w:tcPr>
          <w:p>
            <w:pPr>
              <w:spacing w:after="0"/>
            </w:pPr>
            <w:r/>
            <w:r>
              <w:rPr>
                <w:sz w:val="14"/>
              </w:rPr>
              <w:t>Distribution</w:t>
            </w:r>
          </w:p>
        </w:tc>
        <w:tc>
          <w:tcPr>
            <w:tcW w:type="dxa" w:w="576"/>
          </w:tcPr>
          <w:p>
            <w:pPr>
              <w:spacing w:after="0"/>
            </w:pPr>
            <w:r/>
            <w:r>
              <w:rPr>
                <w:sz w:val="14"/>
              </w:rPr>
              <w:t>16</w:t>
            </w:r>
          </w:p>
        </w:tc>
        <w:tc>
          <w:tcPr>
            <w:tcW w:type="dxa" w:w="1656"/>
          </w:tcPr>
          <w:p>
            <w:pPr>
              <w:spacing w:after="0"/>
            </w:pPr>
            <w:r/>
            <w:r>
              <w:rPr>
                <w:sz w:val="14"/>
              </w:rPr>
              <w:t>Operational</w:t>
            </w:r>
          </w:p>
        </w:tc>
        <w:tc>
          <w:tcPr>
            <w:tcW w:type="dxa" w:w="7992"/>
          </w:tcPr>
          <w:p>
            <w:pPr>
              <w:spacing w:after="0"/>
            </w:pPr>
            <w:r/>
            <w:r>
              <w:rPr>
                <w:sz w:val="14"/>
              </w:rPr>
              <w:t>Driver cash deposit to the warehouse, linkable to a shift.</w:t>
            </w:r>
          </w:p>
        </w:tc>
      </w:tr>
      <w:tr>
        <w:trPr>
          <w:cantSplit/>
        </w:trPr>
        <w:tc>
          <w:tcPr>
            <w:tcW w:type="dxa" w:w="2232"/>
          </w:tcPr>
          <w:p>
            <w:pPr>
              <w:spacing w:after="0"/>
            </w:pPr>
            <w:r/>
            <w:r>
              <w:rPr>
                <w:sz w:val="14"/>
              </w:rPr>
              <w:t>warehouses</w:t>
            </w:r>
          </w:p>
        </w:tc>
        <w:tc>
          <w:tcPr>
            <w:tcW w:type="dxa" w:w="1512"/>
          </w:tcPr>
          <w:p>
            <w:pPr>
              <w:spacing w:after="0"/>
            </w:pPr>
            <w:r/>
            <w:r>
              <w:rPr>
                <w:sz w:val="14"/>
              </w:rPr>
              <w:t>Inventory</w:t>
            </w:r>
          </w:p>
        </w:tc>
        <w:tc>
          <w:tcPr>
            <w:tcW w:type="dxa" w:w="576"/>
          </w:tcPr>
          <w:p>
            <w:pPr>
              <w:spacing w:after="0"/>
            </w:pPr>
            <w:r/>
            <w:r>
              <w:rPr>
                <w:sz w:val="14"/>
              </w:rPr>
              <w:t>13</w:t>
            </w:r>
          </w:p>
        </w:tc>
        <w:tc>
          <w:tcPr>
            <w:tcW w:type="dxa" w:w="1656"/>
          </w:tcPr>
          <w:p>
            <w:pPr>
              <w:spacing w:after="0"/>
            </w:pPr>
            <w:r/>
            <w:r>
              <w:rPr>
                <w:sz w:val="14"/>
              </w:rPr>
              <w:t>Operational</w:t>
            </w:r>
          </w:p>
        </w:tc>
        <w:tc>
          <w:tcPr>
            <w:tcW w:type="dxa" w:w="7992"/>
          </w:tcPr>
          <w:p>
            <w:pPr>
              <w:spacing w:after="0"/>
            </w:pPr>
            <w:r/>
            <w:r>
              <w:rPr>
                <w:sz w:val="14"/>
              </w:rPr>
              <w:t>Warehouse master (every outlet owns one).</w:t>
            </w:r>
          </w:p>
        </w:tc>
      </w:tr>
    </w:tbl>
    <w:p>
      <w:pPr>
        <w:spacing w:after="200"/>
      </w:pPr>
      <w:r>
        <w:rPr>
          <w:i/>
          <w:color w:val="555F6D"/>
          <w:sz w:val="17"/>
        </w:rPr>
        <w:t>Table 51. Table inventory (92 tables; column counts from information_schema)</w:t>
      </w:r>
    </w:p>
    <w:p>
      <w:pPr>
        <w:sectPr>
          <w:pgSz w:w="15840" w:h="12240" w:orient="landscape"/>
          <w:pgMar w:top="1008" w:right="864" w:bottom="864" w:left="864" w:header="720" w:footer="720" w:gutter="0"/>
          <w:cols w:space="720"/>
          <w:docGrid w:linePitch="360"/>
        </w:sectPr>
      </w:pPr>
    </w:p>
    <w:p>
      <w:bookmarkStart w:id="1089" w:name="_Toc1089"/>
      <w:pPr>
        <w:pStyle w:val="Heading2"/>
      </w:pPr>
      <w:r>
        <w:t>16.4 Tenancy and scoping</w:t>
      </w:r>
      <w:bookmarkEnd w:id="1089"/>
    </w:p>
    <w:p>
      <w:r>
        <w:rPr>
          <w:i w:val="0"/>
        </w:rPr>
        <w:t>Multi-tenancy is application-enforced. The chain is: users → store_users → stores → warehouses. Every scoped service asks the context for the caller's store list and refuses out-of-scope writes with 404 rather than 403, so an operator cannot probe for the existence of another outlet's order. admin and owner are treated as platform identities and skip the store filter entirely.</w:t>
      </w:r>
    </w:p>
    <w:p>
      <w:pPr>
        <w:spacing w:after="160"/>
        <w:ind w:left="216"/>
        <w:pBdr>
          <w:left w:val="single" w:sz="18" w:space="6" w:color="9B2C2C"/>
        </w:pBdr>
      </w:pPr>
      <w:r>
        <w:rPr>
          <w:b/>
          <w:color w:val="9B2C2C"/>
          <w:sz w:val="19"/>
        </w:rPr>
        <w:t xml:space="preserve">No RLS: </w:t>
      </w:r>
      <w:r>
        <w:rPr>
          <w:sz w:val="19"/>
        </w:rPr>
        <w:t>There is no row-level security. The database user owns every table, so a bug that bypasses the service layer would expose all tenants. This is a deliberate trade (single-tenant deployment per database today), but it means the service layer is the only tenancy boundary.</w:t>
      </w:r>
    </w:p>
    <w:p>
      <w:bookmarkStart w:id="1090" w:name="_Toc1090"/>
      <w:pPr>
        <w:pStyle w:val="Heading2"/>
      </w:pPr>
      <w:r>
        <w:t>16.5 Migration history and safety</w:t>
      </w:r>
      <w:bookmarkEnd w:id="1090"/>
    </w:p>
    <w:p>
      <w:r>
        <w:rPr>
          <w:i w:val="0"/>
        </w:rPr>
        <w:t>All 123 migrations applied cleanly, in order, inside a single transaction each, to a fresh PostgreSQL 16 database. Applying them statement-by-statement (autocommit) fails on 000058 because it depends on a TEMP TABLE ... ON COMMIT DROP (F-09).</w:t>
      </w:r>
    </w:p>
    <w:p>
      <w:pPr>
        <w:sectPr>
          <w:pgSz w:w="12240" w:h="15840"/>
          <w:pgMar w:top="1224" w:right="1296" w:bottom="1152" w:left="1296" w:header="720" w:footer="720" w:gutter="0"/>
          <w:cols w:space="720"/>
          <w:docGrid w:linePitch="360"/>
        </w:sectPr>
      </w:pP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7056"/>
        <w:gridCol w:w="7056"/>
      </w:tblGrid>
      <w:tr>
        <w:trPr>
          <w:tblHeader w:val="true"/>
        </w:trPr>
        <w:tc>
          <w:tcPr>
            <w:tcW w:type="dxa" w:w="4704"/>
            <w:shd w:val="clear" w:color="auto" w:fill="1F3A5F"/>
          </w:tcPr>
          <w:p>
            <w:pPr>
              <w:spacing w:after="0"/>
            </w:pPr>
            <w:r/>
            <w:r>
              <w:rPr>
                <w:b/>
                <w:color w:val="FFFFFF"/>
                <w:sz w:val="14"/>
              </w:rPr>
              <w:t>File</w:t>
            </w:r>
          </w:p>
        </w:tc>
        <w:tc>
          <w:tcPr>
            <w:tcW w:type="dxa" w:w="9408"/>
            <w:shd w:val="clear" w:color="auto" w:fill="1F3A5F"/>
          </w:tcPr>
          <w:p>
            <w:pPr>
              <w:spacing w:after="0"/>
            </w:pPr>
            <w:r/>
            <w:r>
              <w:rPr>
                <w:b/>
                <w:color w:val="FFFFFF"/>
                <w:sz w:val="14"/>
              </w:rPr>
              <w:t>Purpose</w:t>
            </w:r>
          </w:p>
        </w:tc>
      </w:tr>
      <w:tr>
        <w:trPr>
          <w:cantSplit/>
        </w:trPr>
        <w:tc>
          <w:tcPr>
            <w:tcW w:type="dxa" w:w="4704"/>
          </w:tcPr>
          <w:p>
            <w:pPr>
              <w:spacing w:after="0"/>
            </w:pPr>
            <w:r/>
            <w:r>
              <w:rPr>
                <w:sz w:val="14"/>
              </w:rPr>
              <w:t>000001_init_schema.sql</w:t>
            </w:r>
          </w:p>
        </w:tc>
        <w:tc>
          <w:tcPr>
            <w:tcW w:type="dxa" w:w="9408"/>
          </w:tcPr>
          <w:p>
            <w:pPr>
              <w:spacing w:after="0"/>
            </w:pPr>
            <w:r/>
            <w:r>
              <w:rPr>
                <w:sz w:val="14"/>
              </w:rPr>
              <w:t>Baseline schema ported from the Laravel/MySQL source (43 tables)</w:t>
            </w:r>
          </w:p>
        </w:tc>
      </w:tr>
      <w:tr>
        <w:trPr>
          <w:cantSplit/>
        </w:trPr>
        <w:tc>
          <w:tcPr>
            <w:tcW w:type="dxa" w:w="4704"/>
          </w:tcPr>
          <w:p>
            <w:pPr>
              <w:spacing w:after="0"/>
            </w:pPr>
            <w:r/>
            <w:r>
              <w:rPr>
                <w:sz w:val="14"/>
              </w:rPr>
              <w:t>000002_add_cart.sql</w:t>
            </w:r>
          </w:p>
        </w:tc>
        <w:tc>
          <w:tcPr>
            <w:tcW w:type="dxa" w:w="9408"/>
          </w:tcPr>
          <w:p>
            <w:pPr>
              <w:spacing w:after="0"/>
            </w:pPr>
            <w:r/>
            <w:r>
              <w:rPr>
                <w:sz w:val="14"/>
              </w:rPr>
              <w:t>Cart + cart items for the e-commerce channel</w:t>
            </w:r>
          </w:p>
        </w:tc>
      </w:tr>
      <w:tr>
        <w:trPr>
          <w:cantSplit/>
        </w:trPr>
        <w:tc>
          <w:tcPr>
            <w:tcW w:type="dxa" w:w="4704"/>
          </w:tcPr>
          <w:p>
            <w:pPr>
              <w:spacing w:after="0"/>
            </w:pPr>
            <w:r/>
            <w:r>
              <w:rPr>
                <w:sz w:val="14"/>
              </w:rPr>
              <w:t>000003_payment_methods_qris_kartu.sql</w:t>
            </w:r>
          </w:p>
        </w:tc>
        <w:tc>
          <w:tcPr>
            <w:tcW w:type="dxa" w:w="9408"/>
          </w:tcPr>
          <w:p>
            <w:pPr>
              <w:spacing w:after="0"/>
            </w:pPr>
            <w:r/>
            <w:r>
              <w:rPr>
                <w:sz w:val="14"/>
              </w:rPr>
              <w:t>Adds QRIS and card payment methods</w:t>
            </w:r>
          </w:p>
        </w:tc>
      </w:tr>
      <w:tr>
        <w:trPr>
          <w:cantSplit/>
        </w:trPr>
        <w:tc>
          <w:tcPr>
            <w:tcW w:type="dxa" w:w="4704"/>
          </w:tcPr>
          <w:p>
            <w:pPr>
              <w:spacing w:after="0"/>
            </w:pPr>
            <w:r/>
            <w:r>
              <w:rPr>
                <w:sz w:val="14"/>
              </w:rPr>
              <w:t>000004_add_ecommerce.sql</w:t>
            </w:r>
          </w:p>
        </w:tc>
        <w:tc>
          <w:tcPr>
            <w:tcW w:type="dxa" w:w="9408"/>
          </w:tcPr>
          <w:p>
            <w:pPr>
              <w:spacing w:after="0"/>
            </w:pPr>
            <w:r/>
            <w:r>
              <w:rPr>
                <w:sz w:val="14"/>
              </w:rPr>
              <w:t>E-commerce order type and buyer columns</w:t>
            </w:r>
          </w:p>
        </w:tc>
      </w:tr>
      <w:tr>
        <w:trPr>
          <w:cantSplit/>
        </w:trPr>
        <w:tc>
          <w:tcPr>
            <w:tcW w:type="dxa" w:w="4704"/>
          </w:tcPr>
          <w:p>
            <w:pPr>
              <w:spacing w:after="0"/>
            </w:pPr>
            <w:r/>
            <w:r>
              <w:rPr>
                <w:sz w:val="14"/>
              </w:rPr>
              <w:t>000005_unique_invoice_sales_order.sql</w:t>
            </w:r>
          </w:p>
        </w:tc>
        <w:tc>
          <w:tcPr>
            <w:tcW w:type="dxa" w:w="9408"/>
          </w:tcPr>
          <w:p>
            <w:pPr>
              <w:spacing w:after="0"/>
            </w:pPr>
            <w:r/>
            <w:r>
              <w:rPr>
                <w:sz w:val="14"/>
              </w:rPr>
              <w:t>One invoice per sales order</w:t>
            </w:r>
          </w:p>
        </w:tc>
      </w:tr>
      <w:tr>
        <w:trPr>
          <w:cantSplit/>
        </w:trPr>
        <w:tc>
          <w:tcPr>
            <w:tcW w:type="dxa" w:w="4704"/>
          </w:tcPr>
          <w:p>
            <w:pPr>
              <w:spacing w:after="0"/>
            </w:pPr>
            <w:r/>
            <w:r>
              <w:rPr>
                <w:sz w:val="14"/>
              </w:rPr>
              <w:t>000006_finance_contract_guards.sql</w:t>
            </w:r>
          </w:p>
        </w:tc>
        <w:tc>
          <w:tcPr>
            <w:tcW w:type="dxa" w:w="9408"/>
          </w:tcPr>
          <w:p>
            <w:pPr>
              <w:spacing w:after="0"/>
            </w:pPr>
            <w:r/>
            <w:r>
              <w:rPr>
                <w:sz w:val="14"/>
              </w:rPr>
              <w:t>Cashflow immutability trigger and period lock</w:t>
            </w:r>
          </w:p>
        </w:tc>
      </w:tr>
      <w:tr>
        <w:trPr>
          <w:cantSplit/>
        </w:trPr>
        <w:tc>
          <w:tcPr>
            <w:tcW w:type="dxa" w:w="4704"/>
          </w:tcPr>
          <w:p>
            <w:pPr>
              <w:spacing w:after="0"/>
            </w:pPr>
            <w:r/>
            <w:r>
              <w:rPr>
                <w:sz w:val="14"/>
              </w:rPr>
              <w:t>000007_cashflow_reversal.sql</w:t>
            </w:r>
          </w:p>
        </w:tc>
        <w:tc>
          <w:tcPr>
            <w:tcW w:type="dxa" w:w="9408"/>
          </w:tcPr>
          <w:p>
            <w:pPr>
              <w:spacing w:after="0"/>
            </w:pPr>
            <w:r/>
            <w:r>
              <w:rPr>
                <w:sz w:val="14"/>
              </w:rPr>
              <w:t>Reversal chain columns on cashflows</w:t>
            </w:r>
          </w:p>
        </w:tc>
      </w:tr>
      <w:tr>
        <w:trPr>
          <w:cantSplit/>
        </w:trPr>
        <w:tc>
          <w:tcPr>
            <w:tcW w:type="dxa" w:w="4704"/>
          </w:tcPr>
          <w:p>
            <w:pPr>
              <w:spacing w:after="0"/>
            </w:pPr>
            <w:r/>
            <w:r>
              <w:rPr>
                <w:sz w:val="14"/>
              </w:rPr>
              <w:t>000008_distribution_foundation.sql</w:t>
            </w:r>
          </w:p>
        </w:tc>
        <w:tc>
          <w:tcPr>
            <w:tcW w:type="dxa" w:w="9408"/>
          </w:tcPr>
          <w:p>
            <w:pPr>
              <w:spacing w:after="0"/>
            </w:pPr>
            <w:r/>
            <w:r>
              <w:rPr>
                <w:sz w:val="14"/>
              </w:rPr>
              <w:t>Delivery orders, shipments, dispatches, fleet</w:t>
            </w:r>
          </w:p>
        </w:tc>
      </w:tr>
      <w:tr>
        <w:trPr>
          <w:cantSplit/>
        </w:trPr>
        <w:tc>
          <w:tcPr>
            <w:tcW w:type="dxa" w:w="4704"/>
          </w:tcPr>
          <w:p>
            <w:pPr>
              <w:spacing w:after="0"/>
            </w:pPr>
            <w:r/>
            <w:r>
              <w:rPr>
                <w:sz w:val="14"/>
              </w:rPr>
              <w:t>000009_shipment_tracking.sql</w:t>
            </w:r>
          </w:p>
        </w:tc>
        <w:tc>
          <w:tcPr>
            <w:tcW w:type="dxa" w:w="9408"/>
          </w:tcPr>
          <w:p>
            <w:pPr>
              <w:spacing w:after="0"/>
            </w:pPr>
            <w:r/>
            <w:r>
              <w:rPr>
                <w:sz w:val="14"/>
              </w:rPr>
              <w:t>Shipment tracking events and barcode</w:t>
            </w:r>
          </w:p>
        </w:tc>
      </w:tr>
      <w:tr>
        <w:trPr>
          <w:cantSplit/>
        </w:trPr>
        <w:tc>
          <w:tcPr>
            <w:tcW w:type="dxa" w:w="4704"/>
          </w:tcPr>
          <w:p>
            <w:pPr>
              <w:spacing w:after="0"/>
            </w:pPr>
            <w:r/>
            <w:r>
              <w:rPr>
                <w:sz w:val="14"/>
              </w:rPr>
              <w:t>000010_catalog_brands_units_barcodes.sql</w:t>
            </w:r>
          </w:p>
        </w:tc>
        <w:tc>
          <w:tcPr>
            <w:tcW w:type="dxa" w:w="9408"/>
          </w:tcPr>
          <w:p>
            <w:pPr>
              <w:spacing w:after="0"/>
            </w:pPr>
            <w:r/>
            <w:r>
              <w:rPr>
                <w:sz w:val="14"/>
              </w:rPr>
              <w:t>Brands, product units, product barcodes</w:t>
            </w:r>
          </w:p>
        </w:tc>
      </w:tr>
      <w:tr>
        <w:trPr>
          <w:cantSplit/>
        </w:trPr>
        <w:tc>
          <w:tcPr>
            <w:tcW w:type="dxa" w:w="4704"/>
          </w:tcPr>
          <w:p>
            <w:pPr>
              <w:spacing w:after="0"/>
            </w:pPr>
            <w:r/>
            <w:r>
              <w:rPr>
                <w:sz w:val="14"/>
              </w:rPr>
              <w:t>000011_pricing_snapshots.sql</w:t>
            </w:r>
          </w:p>
        </w:tc>
        <w:tc>
          <w:tcPr>
            <w:tcW w:type="dxa" w:w="9408"/>
          </w:tcPr>
          <w:p>
            <w:pPr>
              <w:spacing w:after="0"/>
            </w:pPr>
            <w:r/>
            <w:r>
              <w:rPr>
                <w:sz w:val="14"/>
              </w:rPr>
              <w:t>Immutable priced line snapshot + guard trigger</w:t>
            </w:r>
          </w:p>
        </w:tc>
      </w:tr>
      <w:tr>
        <w:trPr>
          <w:cantSplit/>
        </w:trPr>
        <w:tc>
          <w:tcPr>
            <w:tcW w:type="dxa" w:w="4704"/>
          </w:tcPr>
          <w:p>
            <w:pPr>
              <w:spacing w:after="0"/>
            </w:pPr>
            <w:r/>
            <w:r>
              <w:rPr>
                <w:sz w:val="14"/>
              </w:rPr>
              <w:t>000012_membership_identity.sql</w:t>
            </w:r>
          </w:p>
        </w:tc>
        <w:tc>
          <w:tcPr>
            <w:tcW w:type="dxa" w:w="9408"/>
          </w:tcPr>
          <w:p>
            <w:pPr>
              <w:spacing w:after="0"/>
            </w:pPr>
            <w:r/>
            <w:r>
              <w:rPr>
                <w:sz w:val="14"/>
              </w:rPr>
              <w:t>Memberships and tier catalogue</w:t>
            </w:r>
          </w:p>
        </w:tc>
      </w:tr>
      <w:tr>
        <w:trPr>
          <w:cantSplit/>
        </w:trPr>
        <w:tc>
          <w:tcPr>
            <w:tcW w:type="dxa" w:w="4704"/>
          </w:tcPr>
          <w:p>
            <w:pPr>
              <w:spacing w:after="0"/>
            </w:pPr>
            <w:r/>
            <w:r>
              <w:rPr>
                <w:sz w:val="14"/>
              </w:rPr>
              <w:t>000013_membership_benefit.sql</w:t>
            </w:r>
          </w:p>
        </w:tc>
        <w:tc>
          <w:tcPr>
            <w:tcW w:type="dxa" w:w="9408"/>
          </w:tcPr>
          <w:p>
            <w:pPr>
              <w:spacing w:after="0"/>
            </w:pPr>
            <w:r/>
            <w:r>
              <w:rPr>
                <w:sz w:val="14"/>
              </w:rPr>
              <w:t>Membership discount on the line snapshot</w:t>
            </w:r>
          </w:p>
        </w:tc>
      </w:tr>
      <w:tr>
        <w:trPr>
          <w:cantSplit/>
        </w:trPr>
        <w:tc>
          <w:tcPr>
            <w:tcW w:type="dxa" w:w="4704"/>
          </w:tcPr>
          <w:p>
            <w:pPr>
              <w:spacing w:after="0"/>
            </w:pPr>
            <w:r/>
            <w:r>
              <w:rPr>
                <w:sz w:val="14"/>
              </w:rPr>
              <w:t>000014_membership_tier_config.sql</w:t>
            </w:r>
          </w:p>
        </w:tc>
        <w:tc>
          <w:tcPr>
            <w:tcW w:type="dxa" w:w="9408"/>
          </w:tcPr>
          <w:p>
            <w:pPr>
              <w:spacing w:after="0"/>
            </w:pPr>
            <w:r/>
            <w:r>
              <w:rPr>
                <w:sz w:val="14"/>
              </w:rPr>
              <w:t>DB-backed tier configuration + history</w:t>
            </w:r>
          </w:p>
        </w:tc>
      </w:tr>
      <w:tr>
        <w:trPr>
          <w:cantSplit/>
        </w:trPr>
        <w:tc>
          <w:tcPr>
            <w:tcW w:type="dxa" w:w="4704"/>
          </w:tcPr>
          <w:p>
            <w:pPr>
              <w:spacing w:after="0"/>
            </w:pPr>
            <w:r/>
            <w:r>
              <w:rPr>
                <w:sz w:val="14"/>
              </w:rPr>
              <w:t>000015_sales_vouchers.sql</w:t>
            </w:r>
          </w:p>
        </w:tc>
        <w:tc>
          <w:tcPr>
            <w:tcW w:type="dxa" w:w="9408"/>
          </w:tcPr>
          <w:p>
            <w:pPr>
              <w:spacing w:after="0"/>
            </w:pPr>
            <w:r/>
            <w:r>
              <w:rPr>
                <w:sz w:val="14"/>
              </w:rPr>
              <w:t>Sales voucher table</w:t>
            </w:r>
          </w:p>
        </w:tc>
      </w:tr>
      <w:tr>
        <w:trPr>
          <w:cantSplit/>
        </w:trPr>
        <w:tc>
          <w:tcPr>
            <w:tcW w:type="dxa" w:w="4704"/>
          </w:tcPr>
          <w:p>
            <w:pPr>
              <w:spacing w:after="0"/>
            </w:pPr>
            <w:r/>
            <w:r>
              <w:rPr>
                <w:sz w:val="14"/>
              </w:rPr>
              <w:t>000016_galon.sql</w:t>
            </w:r>
          </w:p>
        </w:tc>
        <w:tc>
          <w:tcPr>
            <w:tcW w:type="dxa" w:w="9408"/>
          </w:tcPr>
          <w:p>
            <w:pPr>
              <w:spacing w:after="0"/>
            </w:pPr>
            <w:r/>
            <w:r>
              <w:rPr>
                <w:sz w:val="14"/>
              </w:rPr>
              <w:t>Galon (water container) transactions</w:t>
            </w:r>
          </w:p>
        </w:tc>
      </w:tr>
      <w:tr>
        <w:trPr>
          <w:cantSplit/>
        </w:trPr>
        <w:tc>
          <w:tcPr>
            <w:tcW w:type="dxa" w:w="4704"/>
          </w:tcPr>
          <w:p>
            <w:pPr>
              <w:spacing w:after="0"/>
            </w:pPr>
            <w:r/>
            <w:r>
              <w:rPr>
                <w:sz w:val="14"/>
              </w:rPr>
              <w:t>000017_sales_returns.sql</w:t>
            </w:r>
          </w:p>
        </w:tc>
        <w:tc>
          <w:tcPr>
            <w:tcW w:type="dxa" w:w="9408"/>
          </w:tcPr>
          <w:p>
            <w:pPr>
              <w:spacing w:after="0"/>
            </w:pPr>
            <w:r/>
            <w:r>
              <w:rPr>
                <w:sz w:val="14"/>
              </w:rPr>
              <w:t>Sales return header/items</w:t>
            </w:r>
          </w:p>
        </w:tc>
      </w:tr>
      <w:tr>
        <w:trPr>
          <w:cantSplit/>
        </w:trPr>
        <w:tc>
          <w:tcPr>
            <w:tcW w:type="dxa" w:w="4704"/>
          </w:tcPr>
          <w:p>
            <w:pPr>
              <w:spacing w:after="0"/>
            </w:pPr>
            <w:r/>
            <w:r>
              <w:rPr>
                <w:sz w:val="14"/>
              </w:rPr>
              <w:t>000018_cashier_shifts.sql</w:t>
            </w:r>
          </w:p>
        </w:tc>
        <w:tc>
          <w:tcPr>
            <w:tcW w:type="dxa" w:w="9408"/>
          </w:tcPr>
          <w:p>
            <w:pPr>
              <w:spacing w:after="0"/>
            </w:pPr>
            <w:r/>
            <w:r>
              <w:rPr>
                <w:sz w:val="14"/>
              </w:rPr>
              <w:t>Cashier shifts and drawer entries</w:t>
            </w:r>
          </w:p>
        </w:tc>
      </w:tr>
      <w:tr>
        <w:trPr>
          <w:cantSplit/>
        </w:trPr>
        <w:tc>
          <w:tcPr>
            <w:tcW w:type="dxa" w:w="4704"/>
          </w:tcPr>
          <w:p>
            <w:pPr>
              <w:spacing w:after="0"/>
            </w:pPr>
            <w:r/>
            <w:r>
              <w:rPr>
                <w:sz w:val="14"/>
              </w:rPr>
              <w:t>000019_cashflow_reversal_unique.sql</w:t>
            </w:r>
          </w:p>
        </w:tc>
        <w:tc>
          <w:tcPr>
            <w:tcW w:type="dxa" w:w="9408"/>
          </w:tcPr>
          <w:p>
            <w:pPr>
              <w:spacing w:after="0"/>
            </w:pPr>
            <w:r/>
            <w:r>
              <w:rPr>
                <w:sz w:val="14"/>
              </w:rPr>
              <w:t>One reversal per generated cashflow</w:t>
            </w:r>
          </w:p>
        </w:tc>
      </w:tr>
      <w:tr>
        <w:trPr>
          <w:cantSplit/>
        </w:trPr>
        <w:tc>
          <w:tcPr>
            <w:tcW w:type="dxa" w:w="4704"/>
          </w:tcPr>
          <w:p>
            <w:pPr>
              <w:spacing w:after="0"/>
            </w:pPr>
            <w:r/>
            <w:r>
              <w:rPr>
                <w:sz w:val="14"/>
              </w:rPr>
              <w:t>000020_pat_expires_not_null.sql</w:t>
            </w:r>
          </w:p>
        </w:tc>
        <w:tc>
          <w:tcPr>
            <w:tcW w:type="dxa" w:w="9408"/>
          </w:tcPr>
          <w:p>
            <w:pPr>
              <w:spacing w:after="0"/>
            </w:pPr>
            <w:r/>
            <w:r>
              <w:rPr>
                <w:sz w:val="14"/>
              </w:rPr>
              <w:t>Token expiry becomes mandatory</w:t>
            </w:r>
          </w:p>
        </w:tc>
      </w:tr>
      <w:tr>
        <w:trPr>
          <w:cantSplit/>
        </w:trPr>
        <w:tc>
          <w:tcPr>
            <w:tcW w:type="dxa" w:w="4704"/>
          </w:tcPr>
          <w:p>
            <w:pPr>
              <w:spacing w:after="0"/>
            </w:pPr>
            <w:r/>
            <w:r>
              <w:rPr>
                <w:sz w:val="14"/>
              </w:rPr>
              <w:t>000021_add_buyer_role.sql</w:t>
            </w:r>
          </w:p>
        </w:tc>
        <w:tc>
          <w:tcPr>
            <w:tcW w:type="dxa" w:w="9408"/>
          </w:tcPr>
          <w:p>
            <w:pPr>
              <w:spacing w:after="0"/>
            </w:pPr>
            <w:r/>
            <w:r>
              <w:rPr>
                <w:sz w:val="14"/>
              </w:rPr>
              <w:t>buyer role added to the users CHECK</w:t>
            </w:r>
          </w:p>
        </w:tc>
      </w:tr>
      <w:tr>
        <w:trPr>
          <w:cantSplit/>
        </w:trPr>
        <w:tc>
          <w:tcPr>
            <w:tcW w:type="dxa" w:w="4704"/>
          </w:tcPr>
          <w:p>
            <w:pPr>
              <w:spacing w:after="0"/>
            </w:pPr>
            <w:r/>
            <w:r>
              <w:rPr>
                <w:sz w:val="14"/>
              </w:rPr>
              <w:t>000022_return_item_condition.sql</w:t>
            </w:r>
          </w:p>
        </w:tc>
        <w:tc>
          <w:tcPr>
            <w:tcW w:type="dxa" w:w="9408"/>
          </w:tcPr>
          <w:p>
            <w:pPr>
              <w:spacing w:after="0"/>
            </w:pPr>
            <w:r/>
            <w:r>
              <w:rPr>
                <w:sz w:val="14"/>
              </w:rPr>
              <w:t>Per-line condition + restocked flag</w:t>
            </w:r>
          </w:p>
        </w:tc>
      </w:tr>
      <w:tr>
        <w:trPr>
          <w:cantSplit/>
        </w:trPr>
        <w:tc>
          <w:tcPr>
            <w:tcW w:type="dxa" w:w="4704"/>
          </w:tcPr>
          <w:p>
            <w:pPr>
              <w:spacing w:after="0"/>
            </w:pPr>
            <w:r/>
            <w:r>
              <w:rPr>
                <w:sz w:val="14"/>
              </w:rPr>
              <w:t>000023_galon_loan.sql</w:t>
            </w:r>
          </w:p>
        </w:tc>
        <w:tc>
          <w:tcPr>
            <w:tcW w:type="dxa" w:w="9408"/>
          </w:tcPr>
          <w:p>
            <w:pPr>
              <w:spacing w:after="0"/>
            </w:pPr>
            <w:r/>
            <w:r>
              <w:rPr>
                <w:sz w:val="14"/>
              </w:rPr>
              <w:t>Container loan value and return flag</w:t>
            </w:r>
          </w:p>
        </w:tc>
      </w:tr>
      <w:tr>
        <w:trPr>
          <w:cantSplit/>
        </w:trPr>
        <w:tc>
          <w:tcPr>
            <w:tcW w:type="dxa" w:w="4704"/>
          </w:tcPr>
          <w:p>
            <w:pPr>
              <w:spacing w:after="0"/>
            </w:pPr>
            <w:r/>
            <w:r>
              <w:rPr>
                <w:sz w:val="14"/>
              </w:rPr>
              <w:t>000024_cashier_register.sql</w:t>
            </w:r>
          </w:p>
        </w:tc>
        <w:tc>
          <w:tcPr>
            <w:tcW w:type="dxa" w:w="9408"/>
          </w:tcPr>
          <w:p>
            <w:pPr>
              <w:spacing w:after="0"/>
            </w:pPr>
            <w:r/>
            <w:r>
              <w:rPr>
                <w:sz w:val="14"/>
              </w:rPr>
              <w:t>Register/store binding for shifts</w:t>
            </w:r>
          </w:p>
        </w:tc>
      </w:tr>
      <w:tr>
        <w:trPr>
          <w:cantSplit/>
        </w:trPr>
        <w:tc>
          <w:tcPr>
            <w:tcW w:type="dxa" w:w="4704"/>
          </w:tcPr>
          <w:p>
            <w:pPr>
              <w:spacing w:after="0"/>
            </w:pPr>
            <w:r/>
            <w:r>
              <w:rPr>
                <w:sz w:val="14"/>
              </w:rPr>
              <w:t>000025_employee_leave_balance.sql</w:t>
            </w:r>
          </w:p>
        </w:tc>
        <w:tc>
          <w:tcPr>
            <w:tcW w:type="dxa" w:w="9408"/>
          </w:tcPr>
          <w:p>
            <w:pPr>
              <w:spacing w:after="0"/>
            </w:pPr>
            <w:r/>
            <w:r>
              <w:rPr>
                <w:sz w:val="14"/>
              </w:rPr>
              <w:t>Leave entitlement per employee</w:t>
            </w:r>
          </w:p>
        </w:tc>
      </w:tr>
      <w:tr>
        <w:trPr>
          <w:cantSplit/>
        </w:trPr>
        <w:tc>
          <w:tcPr>
            <w:tcW w:type="dxa" w:w="4704"/>
          </w:tcPr>
          <w:p>
            <w:pPr>
              <w:spacing w:after="0"/>
            </w:pPr>
            <w:r/>
            <w:r>
              <w:rPr>
                <w:sz w:val="14"/>
              </w:rPr>
              <w:t>000026_membership_points.sql</w:t>
            </w:r>
          </w:p>
        </w:tc>
        <w:tc>
          <w:tcPr>
            <w:tcW w:type="dxa" w:w="9408"/>
          </w:tcPr>
          <w:p>
            <w:pPr>
              <w:spacing w:after="0"/>
            </w:pPr>
            <w:r/>
            <w:r>
              <w:rPr>
                <w:sz w:val="14"/>
              </w:rPr>
              <w:t>Membership points accrual</w:t>
            </w:r>
          </w:p>
        </w:tc>
      </w:tr>
      <w:tr>
        <w:trPr>
          <w:cantSplit/>
        </w:trPr>
        <w:tc>
          <w:tcPr>
            <w:tcW w:type="dxa" w:w="4704"/>
          </w:tcPr>
          <w:p>
            <w:pPr>
              <w:spacing w:after="0"/>
            </w:pPr>
            <w:r/>
            <w:r>
              <w:rPr>
                <w:sz w:val="14"/>
              </w:rPr>
              <w:t>000027_audit_indexes_and_cashier_guard.sql</w:t>
            </w:r>
          </w:p>
        </w:tc>
        <w:tc>
          <w:tcPr>
            <w:tcW w:type="dxa" w:w="9408"/>
          </w:tcPr>
          <w:p>
            <w:pPr>
              <w:spacing w:after="0"/>
            </w:pPr>
            <w:r/>
            <w:r>
              <w:rPr>
                <w:sz w:val="14"/>
              </w:rPr>
              <w:t>Missing indexes and concurrency guards</w:t>
            </w:r>
          </w:p>
        </w:tc>
      </w:tr>
      <w:tr>
        <w:trPr>
          <w:cantSplit/>
        </w:trPr>
        <w:tc>
          <w:tcPr>
            <w:tcW w:type="dxa" w:w="4704"/>
          </w:tcPr>
          <w:p>
            <w:pPr>
              <w:spacing w:after="0"/>
            </w:pPr>
            <w:r/>
            <w:r>
              <w:rPr>
                <w:sz w:val="14"/>
              </w:rPr>
              <w:t>000028_payment_proof_url.sql</w:t>
            </w:r>
          </w:p>
        </w:tc>
        <w:tc>
          <w:tcPr>
            <w:tcW w:type="dxa" w:w="9408"/>
          </w:tcPr>
          <w:p>
            <w:pPr>
              <w:spacing w:after="0"/>
            </w:pPr>
            <w:r/>
            <w:r>
              <w:rPr>
                <w:sz w:val="14"/>
              </w:rPr>
              <w:t>Payment proof URL</w:t>
            </w:r>
          </w:p>
        </w:tc>
      </w:tr>
      <w:tr>
        <w:trPr>
          <w:cantSplit/>
        </w:trPr>
        <w:tc>
          <w:tcPr>
            <w:tcW w:type="dxa" w:w="4704"/>
          </w:tcPr>
          <w:p>
            <w:pPr>
              <w:spacing w:after="0"/>
            </w:pPr>
            <w:r/>
            <w:r>
              <w:rPr>
                <w:sz w:val="14"/>
              </w:rPr>
              <w:t>000029_add_products_is_featured.sql</w:t>
            </w:r>
          </w:p>
        </w:tc>
        <w:tc>
          <w:tcPr>
            <w:tcW w:type="dxa" w:w="9408"/>
          </w:tcPr>
          <w:p>
            <w:pPr>
              <w:spacing w:after="0"/>
            </w:pPr>
            <w:r/>
            <w:r>
              <w:rPr>
                <w:sz w:val="14"/>
              </w:rPr>
              <w:t>Featured flag for the B2B catalogue</w:t>
            </w:r>
          </w:p>
        </w:tc>
      </w:tr>
      <w:tr>
        <w:trPr>
          <w:cantSplit/>
        </w:trPr>
        <w:tc>
          <w:tcPr>
            <w:tcW w:type="dxa" w:w="4704"/>
          </w:tcPr>
          <w:p>
            <w:pPr>
              <w:spacing w:after="0"/>
            </w:pPr>
            <w:r/>
            <w:r>
              <w:rPr>
                <w:sz w:val="14"/>
              </w:rPr>
              <w:t>000030_multi_tenant_foundation.sql</w:t>
            </w:r>
          </w:p>
        </w:tc>
        <w:tc>
          <w:tcPr>
            <w:tcW w:type="dxa" w:w="9408"/>
          </w:tcPr>
          <w:p>
            <w:pPr>
              <w:spacing w:after="0"/>
            </w:pPr>
            <w:r/>
            <w:r>
              <w:rPr>
                <w:sz w:val="14"/>
              </w:rPr>
              <w:t>stores, store_users, app_settings, cash_accounts, COA</w:t>
            </w:r>
          </w:p>
        </w:tc>
      </w:tr>
      <w:tr>
        <w:trPr>
          <w:cantSplit/>
        </w:trPr>
        <w:tc>
          <w:tcPr>
            <w:tcW w:type="dxa" w:w="4704"/>
          </w:tcPr>
          <w:p>
            <w:pPr>
              <w:spacing w:after="0"/>
            </w:pPr>
            <w:r/>
            <w:r>
              <w:rPr>
                <w:sz w:val="14"/>
              </w:rPr>
              <w:t>000031_sales_settings_view.sql</w:t>
            </w:r>
          </w:p>
        </w:tc>
        <w:tc>
          <w:tcPr>
            <w:tcW w:type="dxa" w:w="9408"/>
          </w:tcPr>
          <w:p>
            <w:pPr>
              <w:spacing w:after="0"/>
            </w:pPr>
            <w:r/>
            <w:r>
              <w:rPr>
                <w:sz w:val="14"/>
              </w:rPr>
              <w:t>sales role may read store settings</w:t>
            </w:r>
          </w:p>
        </w:tc>
      </w:tr>
      <w:tr>
        <w:trPr>
          <w:cantSplit/>
        </w:trPr>
        <w:tc>
          <w:tcPr>
            <w:tcW w:type="dxa" w:w="4704"/>
          </w:tcPr>
          <w:p>
            <w:pPr>
              <w:spacing w:after="0"/>
            </w:pPr>
            <w:r/>
            <w:r>
              <w:rPr>
                <w:sz w:val="14"/>
              </w:rPr>
              <w:t>000032_sales_order_source_type.sql</w:t>
            </w:r>
          </w:p>
        </w:tc>
        <w:tc>
          <w:tcPr>
            <w:tcW w:type="dxa" w:w="9408"/>
          </w:tcPr>
          <w:p>
            <w:pPr>
              <w:spacing w:after="0"/>
            </w:pPr>
            <w:r/>
            <w:r>
              <w:rPr>
                <w:sz w:val="14"/>
              </w:rPr>
              <w:t>NOO / EC / AO source classification</w:t>
            </w:r>
          </w:p>
        </w:tc>
      </w:tr>
      <w:tr>
        <w:trPr>
          <w:cantSplit/>
        </w:trPr>
        <w:tc>
          <w:tcPr>
            <w:tcW w:type="dxa" w:w="4704"/>
          </w:tcPr>
          <w:p>
            <w:pPr>
              <w:spacing w:after="0"/>
            </w:pPr>
            <w:r/>
            <w:r>
              <w:rPr>
                <w:sz w:val="14"/>
              </w:rPr>
              <w:t>000033_galon_store_binding.sql</w:t>
            </w:r>
          </w:p>
        </w:tc>
        <w:tc>
          <w:tcPr>
            <w:tcW w:type="dxa" w:w="9408"/>
          </w:tcPr>
          <w:p>
            <w:pPr>
              <w:spacing w:after="0"/>
            </w:pPr>
            <w:r/>
            <w:r>
              <w:rPr>
                <w:sz w:val="14"/>
              </w:rPr>
              <w:t>store_id on galon transactions</w:t>
            </w:r>
          </w:p>
        </w:tc>
      </w:tr>
      <w:tr>
        <w:trPr>
          <w:cantSplit/>
        </w:trPr>
        <w:tc>
          <w:tcPr>
            <w:tcW w:type="dxa" w:w="4704"/>
          </w:tcPr>
          <w:p>
            <w:pPr>
              <w:spacing w:after="0"/>
            </w:pPr>
            <w:r/>
            <w:r>
              <w:rPr>
                <w:sz w:val="14"/>
              </w:rPr>
              <w:t>000034_rbac_application_scope.sql</w:t>
            </w:r>
          </w:p>
        </w:tc>
        <w:tc>
          <w:tcPr>
            <w:tcW w:type="dxa" w:w="9408"/>
          </w:tcPr>
          <w:p>
            <w:pPr>
              <w:spacing w:after="0"/>
            </w:pPr>
            <w:r/>
            <w:r>
              <w:rPr>
                <w:sz w:val="14"/>
              </w:rPr>
              <w:t>Application-scope permission tightening</w:t>
            </w:r>
          </w:p>
        </w:tc>
      </w:tr>
      <w:tr>
        <w:trPr>
          <w:cantSplit/>
        </w:trPr>
        <w:tc>
          <w:tcPr>
            <w:tcW w:type="dxa" w:w="4704"/>
          </w:tcPr>
          <w:p>
            <w:pPr>
              <w:spacing w:after="0"/>
            </w:pPr>
            <w:r/>
            <w:r>
              <w:rPr>
                <w:sz w:val="14"/>
              </w:rPr>
              <w:t>000035_customer_ecommerce_admin.sql</w:t>
            </w:r>
          </w:p>
        </w:tc>
        <w:tc>
          <w:tcPr>
            <w:tcW w:type="dxa" w:w="9408"/>
          </w:tcPr>
          <w:p>
            <w:pPr>
              <w:spacing w:after="0"/>
            </w:pPr>
            <w:r/>
            <w:r>
              <w:rPr>
                <w:sz w:val="14"/>
              </w:rPr>
              <w:t>is_ecommerce_admin on customers</w:t>
            </w:r>
          </w:p>
        </w:tc>
      </w:tr>
      <w:tr>
        <w:trPr>
          <w:cantSplit/>
        </w:trPr>
        <w:tc>
          <w:tcPr>
            <w:tcW w:type="dxa" w:w="4704"/>
          </w:tcPr>
          <w:p>
            <w:pPr>
              <w:spacing w:after="0"/>
            </w:pPr>
            <w:r/>
            <w:r>
              <w:rPr>
                <w:sz w:val="14"/>
              </w:rPr>
              <w:t>000036_location_foundation.sql</w:t>
            </w:r>
          </w:p>
        </w:tc>
        <w:tc>
          <w:tcPr>
            <w:tcW w:type="dxa" w:w="9408"/>
          </w:tcPr>
          <w:p>
            <w:pPr>
              <w:spacing w:after="0"/>
            </w:pPr>
            <w:r/>
            <w:r>
              <w:rPr>
                <w:sz w:val="14"/>
              </w:rPr>
              <w:t>Coordinates, geo areas, location tables</w:t>
            </w:r>
          </w:p>
        </w:tc>
      </w:tr>
      <w:tr>
        <w:trPr>
          <w:cantSplit/>
        </w:trPr>
        <w:tc>
          <w:tcPr>
            <w:tcW w:type="dxa" w:w="4704"/>
          </w:tcPr>
          <w:p>
            <w:pPr>
              <w:spacing w:after="0"/>
            </w:pPr>
            <w:r/>
            <w:r>
              <w:rPr>
                <w:sz w:val="14"/>
              </w:rPr>
              <w:t>000037_application_access.sql</w:t>
            </w:r>
          </w:p>
        </w:tc>
        <w:tc>
          <w:tcPr>
            <w:tcW w:type="dxa" w:w="9408"/>
          </w:tcPr>
          <w:p>
            <w:pPr>
              <w:spacing w:after="0"/>
            </w:pPr>
            <w:r/>
            <w:r>
              <w:rPr>
                <w:sz w:val="14"/>
              </w:rPr>
              <w:t>users.application_access materialised</w:t>
            </w:r>
          </w:p>
        </w:tc>
      </w:tr>
      <w:tr>
        <w:trPr>
          <w:cantSplit/>
        </w:trPr>
        <w:tc>
          <w:tcPr>
            <w:tcW w:type="dxa" w:w="4704"/>
          </w:tcPr>
          <w:p>
            <w:pPr>
              <w:spacing w:after="0"/>
            </w:pPr>
            <w:r/>
            <w:r>
              <w:rPr>
                <w:sz w:val="14"/>
              </w:rPr>
              <w:t>000038_galon_barcode.sql</w:t>
            </w:r>
          </w:p>
        </w:tc>
        <w:tc>
          <w:tcPr>
            <w:tcW w:type="dxa" w:w="9408"/>
          </w:tcPr>
          <w:p>
            <w:pPr>
              <w:spacing w:after="0"/>
            </w:pPr>
            <w:r/>
            <w:r>
              <w:rPr>
                <w:sz w:val="14"/>
              </w:rPr>
              <w:t>gallon_code on galon transactions</w:t>
            </w:r>
          </w:p>
        </w:tc>
      </w:tr>
      <w:tr>
        <w:trPr>
          <w:cantSplit/>
        </w:trPr>
        <w:tc>
          <w:tcPr>
            <w:tcW w:type="dxa" w:w="4704"/>
          </w:tcPr>
          <w:p>
            <w:pPr>
              <w:spacing w:after="0"/>
            </w:pPr>
            <w:r/>
            <w:r>
              <w:rPr>
                <w:sz w:val="14"/>
              </w:rPr>
              <w:t>000039_owner_role.sql</w:t>
            </w:r>
          </w:p>
        </w:tc>
        <w:tc>
          <w:tcPr>
            <w:tcW w:type="dxa" w:w="9408"/>
          </w:tcPr>
          <w:p>
            <w:pPr>
              <w:spacing w:after="0"/>
            </w:pPr>
            <w:r/>
            <w:r>
              <w:rPr>
                <w:sz w:val="14"/>
              </w:rPr>
              <w:t>owner role added</w:t>
            </w:r>
          </w:p>
        </w:tc>
      </w:tr>
      <w:tr>
        <w:trPr>
          <w:cantSplit/>
        </w:trPr>
        <w:tc>
          <w:tcPr>
            <w:tcW w:type="dxa" w:w="4704"/>
          </w:tcPr>
          <w:p>
            <w:pPr>
              <w:spacing w:after="0"/>
            </w:pPr>
            <w:r/>
            <w:r>
              <w:rPr>
                <w:sz w:val="14"/>
              </w:rPr>
              <w:t>000040_po_approval_audit.sql</w:t>
            </w:r>
          </w:p>
        </w:tc>
        <w:tc>
          <w:tcPr>
            <w:tcW w:type="dxa" w:w="9408"/>
          </w:tcPr>
          <w:p>
            <w:pPr>
              <w:spacing w:after="0"/>
            </w:pPr>
            <w:r/>
            <w:r>
              <w:rPr>
                <w:sz w:val="14"/>
              </w:rPr>
              <w:t>PO approver identity</w:t>
            </w:r>
          </w:p>
        </w:tc>
      </w:tr>
      <w:tr>
        <w:trPr>
          <w:cantSplit/>
        </w:trPr>
        <w:tc>
          <w:tcPr>
            <w:tcW w:type="dxa" w:w="4704"/>
          </w:tcPr>
          <w:p>
            <w:pPr>
              <w:spacing w:after="0"/>
            </w:pPr>
            <w:r/>
            <w:r>
              <w:rPr>
                <w:sz w:val="14"/>
              </w:rPr>
              <w:t>000041_finance_hardening.sql</w:t>
            </w:r>
          </w:p>
        </w:tc>
        <w:tc>
          <w:tcPr>
            <w:tcW w:type="dxa" w:w="9408"/>
          </w:tcPr>
          <w:p>
            <w:pPr>
              <w:spacing w:after="0"/>
            </w:pPr>
            <w:r/>
            <w:r>
              <w:rPr>
                <w:sz w:val="14"/>
              </w:rPr>
              <w:t>Accounting-aware cash management</w:t>
            </w:r>
          </w:p>
        </w:tc>
      </w:tr>
      <w:tr>
        <w:trPr>
          <w:cantSplit/>
        </w:trPr>
        <w:tc>
          <w:tcPr>
            <w:tcW w:type="dxa" w:w="4704"/>
          </w:tcPr>
          <w:p>
            <w:pPr>
              <w:spacing w:after="0"/>
            </w:pPr>
            <w:r/>
            <w:r>
              <w:rPr>
                <w:sz w:val="14"/>
              </w:rPr>
              <w:t>000042_sales_hierarchy_roles.sql</w:t>
            </w:r>
          </w:p>
        </w:tc>
        <w:tc>
          <w:tcPr>
            <w:tcW w:type="dxa" w:w="9408"/>
          </w:tcPr>
          <w:p>
            <w:pPr>
              <w:spacing w:after="0"/>
            </w:pPr>
            <w:r/>
            <w:r>
              <w:rPr>
                <w:sz w:val="14"/>
              </w:rPr>
              <w:t>gm / bm / spv roles</w:t>
            </w:r>
          </w:p>
        </w:tc>
      </w:tr>
      <w:tr>
        <w:trPr>
          <w:cantSplit/>
        </w:trPr>
        <w:tc>
          <w:tcPr>
            <w:tcW w:type="dxa" w:w="4704"/>
          </w:tcPr>
          <w:p>
            <w:pPr>
              <w:spacing w:after="0"/>
            </w:pPr>
            <w:r/>
            <w:r>
              <w:rPr>
                <w:sz w:val="14"/>
              </w:rPr>
              <w:t>000043_sales_order_approval.sql</w:t>
            </w:r>
          </w:p>
        </w:tc>
        <w:tc>
          <w:tcPr>
            <w:tcW w:type="dxa" w:w="9408"/>
          </w:tcPr>
          <w:p>
            <w:pPr>
              <w:spacing w:after="0"/>
            </w:pPr>
            <w:r/>
            <w:r>
              <w:rPr>
                <w:sz w:val="14"/>
              </w:rPr>
              <w:t>pending_approval status + supervisor</w:t>
            </w:r>
          </w:p>
        </w:tc>
      </w:tr>
      <w:tr>
        <w:trPr>
          <w:cantSplit/>
        </w:trPr>
        <w:tc>
          <w:tcPr>
            <w:tcW w:type="dxa" w:w="4704"/>
          </w:tcPr>
          <w:p>
            <w:pPr>
              <w:spacing w:after="0"/>
            </w:pPr>
            <w:r/>
            <w:r>
              <w:rPr>
                <w:sz w:val="14"/>
              </w:rPr>
              <w:t>000044_store_roles.sql</w:t>
            </w:r>
          </w:p>
        </w:tc>
        <w:tc>
          <w:tcPr>
            <w:tcW w:type="dxa" w:w="9408"/>
          </w:tcPr>
          <w:p>
            <w:pPr>
              <w:spacing w:after="0"/>
            </w:pPr>
            <w:r/>
            <w:r>
              <w:rPr>
                <w:sz w:val="14"/>
              </w:rPr>
              <w:t>store_manager and cashier roles</w:t>
            </w:r>
          </w:p>
        </w:tc>
      </w:tr>
      <w:tr>
        <w:trPr>
          <w:cantSplit/>
        </w:trPr>
        <w:tc>
          <w:tcPr>
            <w:tcW w:type="dxa" w:w="4704"/>
          </w:tcPr>
          <w:p>
            <w:pPr>
              <w:spacing w:after="0"/>
            </w:pPr>
            <w:r/>
            <w:r>
              <w:rPr>
                <w:sz w:val="14"/>
              </w:rPr>
              <w:t>000045_store_warehouse_link.sql</w:t>
            </w:r>
          </w:p>
        </w:tc>
        <w:tc>
          <w:tcPr>
            <w:tcW w:type="dxa" w:w="9408"/>
          </w:tcPr>
          <w:p>
            <w:pPr>
              <w:spacing w:after="0"/>
            </w:pPr>
            <w:r/>
            <w:r>
              <w:rPr>
                <w:sz w:val="14"/>
              </w:rPr>
              <w:t>stores.warehouse_id</w:t>
            </w:r>
          </w:p>
        </w:tc>
      </w:tr>
      <w:tr>
        <w:trPr>
          <w:cantSplit/>
        </w:trPr>
        <w:tc>
          <w:tcPr>
            <w:tcW w:type="dxa" w:w="4704"/>
          </w:tcPr>
          <w:p>
            <w:pPr>
              <w:spacing w:after="0"/>
            </w:pPr>
            <w:r/>
            <w:r>
              <w:rPr>
                <w:sz w:val="14"/>
              </w:rPr>
              <w:t>000046_bind_kepalatoko_store.sql</w:t>
            </w:r>
          </w:p>
        </w:tc>
        <w:tc>
          <w:tcPr>
            <w:tcW w:type="dxa" w:w="9408"/>
          </w:tcPr>
          <w:p>
            <w:pPr>
              <w:spacing w:after="0"/>
            </w:pPr>
            <w:r/>
            <w:r>
              <w:rPr>
                <w:sz w:val="14"/>
              </w:rPr>
              <w:t>Bind the demo store manager to an outlet</w:t>
            </w:r>
          </w:p>
        </w:tc>
      </w:tr>
      <w:tr>
        <w:trPr>
          <w:cantSplit/>
        </w:trPr>
        <w:tc>
          <w:tcPr>
            <w:tcW w:type="dxa" w:w="4704"/>
          </w:tcPr>
          <w:p>
            <w:pPr>
              <w:spacing w:after="0"/>
            </w:pPr>
            <w:r/>
            <w:r>
              <w:rPr>
                <w:sz w:val="14"/>
              </w:rPr>
              <w:t>000047_product_images.sql</w:t>
            </w:r>
          </w:p>
        </w:tc>
        <w:tc>
          <w:tcPr>
            <w:tcW w:type="dxa" w:w="9408"/>
          </w:tcPr>
          <w:p>
            <w:pPr>
              <w:spacing w:after="0"/>
            </w:pPr>
            <w:r/>
            <w:r>
              <w:rPr>
                <w:sz w:val="14"/>
              </w:rPr>
              <w:t>Product image backfill</w:t>
            </w:r>
          </w:p>
        </w:tc>
      </w:tr>
      <w:tr>
        <w:trPr>
          <w:cantSplit/>
        </w:trPr>
        <w:tc>
          <w:tcPr>
            <w:tcW w:type="dxa" w:w="4704"/>
          </w:tcPr>
          <w:p>
            <w:pPr>
              <w:spacing w:after="0"/>
            </w:pPr>
            <w:r/>
            <w:r>
              <w:rPr>
                <w:sz w:val="14"/>
              </w:rPr>
              <w:t>000048_stores_view_roles.sql</w:t>
            </w:r>
          </w:p>
        </w:tc>
        <w:tc>
          <w:tcPr>
            <w:tcW w:type="dxa" w:w="9408"/>
          </w:tcPr>
          <w:p>
            <w:pPr>
              <w:spacing w:after="0"/>
            </w:pPr>
            <w:r/>
            <w:r>
              <w:rPr>
                <w:sz w:val="14"/>
              </w:rPr>
              <w:t>Store read grants for GM/BM/Finance/Warehouse</w:t>
            </w:r>
          </w:p>
        </w:tc>
      </w:tr>
      <w:tr>
        <w:trPr>
          <w:cantSplit/>
        </w:trPr>
        <w:tc>
          <w:tcPr>
            <w:tcW w:type="dxa" w:w="4704"/>
          </w:tcPr>
          <w:p>
            <w:pPr>
              <w:spacing w:after="0"/>
            </w:pPr>
            <w:r/>
            <w:r>
              <w:rPr>
                <w:sz w:val="14"/>
              </w:rPr>
              <w:t>000049_sales_order_payment_terms.sql</w:t>
            </w:r>
          </w:p>
        </w:tc>
        <w:tc>
          <w:tcPr>
            <w:tcW w:type="dxa" w:w="9408"/>
          </w:tcPr>
          <w:p>
            <w:pPr>
              <w:spacing w:after="0"/>
            </w:pPr>
            <w:r/>
            <w:r>
              <w:rPr>
                <w:sz w:val="14"/>
              </w:rPr>
              <w:t>payment_terms on sales orders</w:t>
            </w:r>
          </w:p>
        </w:tc>
      </w:tr>
      <w:tr>
        <w:trPr>
          <w:cantSplit/>
        </w:trPr>
        <w:tc>
          <w:tcPr>
            <w:tcW w:type="dxa" w:w="4704"/>
          </w:tcPr>
          <w:p>
            <w:pPr>
              <w:spacing w:after="0"/>
            </w:pPr>
            <w:r/>
            <w:r>
              <w:rPr>
                <w:sz w:val="14"/>
              </w:rPr>
              <w:t>000050_accounting_module.sql</w:t>
            </w:r>
          </w:p>
        </w:tc>
        <w:tc>
          <w:tcPr>
            <w:tcW w:type="dxa" w:w="9408"/>
          </w:tcPr>
          <w:p>
            <w:pPr>
              <w:spacing w:after="0"/>
            </w:pPr>
            <w:r/>
            <w:r>
              <w:rPr>
                <w:sz w:val="14"/>
              </w:rPr>
              <w:t>COA, journals, periods, departments, advances</w:t>
            </w:r>
          </w:p>
        </w:tc>
      </w:tr>
      <w:tr>
        <w:trPr>
          <w:cantSplit/>
        </w:trPr>
        <w:tc>
          <w:tcPr>
            <w:tcW w:type="dxa" w:w="4704"/>
          </w:tcPr>
          <w:p>
            <w:pPr>
              <w:spacing w:after="0"/>
            </w:pPr>
            <w:r/>
            <w:r>
              <w:rPr>
                <w:sz w:val="14"/>
              </w:rPr>
              <w:t>000051_notifications_grant_cleanup.sql</w:t>
            </w:r>
          </w:p>
        </w:tc>
        <w:tc>
          <w:tcPr>
            <w:tcW w:type="dxa" w:w="9408"/>
          </w:tcPr>
          <w:p>
            <w:pPr>
              <w:spacing w:after="0"/>
            </w:pPr>
            <w:r/>
            <w:r>
              <w:rPr>
                <w:sz w:val="14"/>
              </w:rPr>
              <w:t>Drops the dead broadcast grant</w:t>
            </w:r>
          </w:p>
        </w:tc>
      </w:tr>
      <w:tr>
        <w:trPr>
          <w:cantSplit/>
        </w:trPr>
        <w:tc>
          <w:tcPr>
            <w:tcW w:type="dxa" w:w="4704"/>
          </w:tcPr>
          <w:p>
            <w:pPr>
              <w:spacing w:after="0"/>
            </w:pPr>
            <w:r/>
            <w:r>
              <w:rPr>
                <w:sz w:val="14"/>
              </w:rPr>
              <w:t>000052_add_finance_head_role.sql</w:t>
            </w:r>
          </w:p>
        </w:tc>
        <w:tc>
          <w:tcPr>
            <w:tcW w:type="dxa" w:w="9408"/>
          </w:tcPr>
          <w:p>
            <w:pPr>
              <w:spacing w:after="0"/>
            </w:pPr>
            <w:r/>
            <w:r>
              <w:rPr>
                <w:sz w:val="14"/>
              </w:rPr>
              <w:t>finance_head role</w:t>
            </w:r>
          </w:p>
        </w:tc>
      </w:tr>
      <w:tr>
        <w:trPr>
          <w:cantSplit/>
        </w:trPr>
        <w:tc>
          <w:tcPr>
            <w:tcW w:type="dxa" w:w="4704"/>
          </w:tcPr>
          <w:p>
            <w:pPr>
              <w:spacing w:after="0"/>
            </w:pPr>
            <w:r/>
            <w:r>
              <w:rPr>
                <w:sz w:val="14"/>
              </w:rPr>
              <w:t>000053_finance_rbac_fix.sql</w:t>
            </w:r>
          </w:p>
        </w:tc>
        <w:tc>
          <w:tcPr>
            <w:tcW w:type="dxa" w:w="9408"/>
          </w:tcPr>
          <w:p>
            <w:pPr>
              <w:spacing w:after="0"/>
            </w:pPr>
            <w:r/>
            <w:r>
              <w:rPr>
                <w:sz w:val="14"/>
              </w:rPr>
              <w:t>Finance RBAC corrections</w:t>
            </w:r>
          </w:p>
        </w:tc>
      </w:tr>
      <w:tr>
        <w:trPr>
          <w:cantSplit/>
        </w:trPr>
        <w:tc>
          <w:tcPr>
            <w:tcW w:type="dxa" w:w="4704"/>
          </w:tcPr>
          <w:p>
            <w:pPr>
              <w:spacing w:after="0"/>
            </w:pPr>
            <w:r/>
            <w:r>
              <w:rPr>
                <w:sz w:val="14"/>
              </w:rPr>
              <w:t>000054_po_approval_segregation.sql</w:t>
            </w:r>
          </w:p>
        </w:tc>
        <w:tc>
          <w:tcPr>
            <w:tcW w:type="dxa" w:w="9408"/>
          </w:tcPr>
          <w:p>
            <w:pPr>
              <w:spacing w:after="0"/>
            </w:pPr>
            <w:r/>
            <w:r>
              <w:rPr>
                <w:sz w:val="14"/>
              </w:rPr>
              <w:t>Segregation of PO approval</w:t>
            </w:r>
          </w:p>
        </w:tc>
      </w:tr>
      <w:tr>
        <w:trPr>
          <w:cantSplit/>
        </w:trPr>
        <w:tc>
          <w:tcPr>
            <w:tcW w:type="dxa" w:w="4704"/>
          </w:tcPr>
          <w:p>
            <w:pPr>
              <w:spacing w:after="0"/>
            </w:pPr>
            <w:r/>
            <w:r>
              <w:rPr>
                <w:sz w:val="14"/>
              </w:rPr>
              <w:t>000055_voucher_ap_journal_link.sql</w:t>
            </w:r>
          </w:p>
        </w:tc>
        <w:tc>
          <w:tcPr>
            <w:tcW w:type="dxa" w:w="9408"/>
          </w:tcPr>
          <w:p>
            <w:pPr>
              <w:spacing w:after="0"/>
            </w:pPr>
            <w:r/>
            <w:r>
              <w:rPr>
                <w:sz w:val="14"/>
              </w:rPr>
              <w:t>Voucher → PO/supplier link</w:t>
            </w:r>
          </w:p>
        </w:tc>
      </w:tr>
      <w:tr>
        <w:trPr>
          <w:cantSplit/>
        </w:trPr>
        <w:tc>
          <w:tcPr>
            <w:tcW w:type="dxa" w:w="4704"/>
          </w:tcPr>
          <w:p>
            <w:pPr>
              <w:spacing w:after="0"/>
            </w:pPr>
            <w:r/>
            <w:r>
              <w:rPr>
                <w:sz w:val="14"/>
              </w:rPr>
              <w:t>000056_employee_job_level.sql</w:t>
            </w:r>
          </w:p>
        </w:tc>
        <w:tc>
          <w:tcPr>
            <w:tcW w:type="dxa" w:w="9408"/>
          </w:tcPr>
          <w:p>
            <w:pPr>
              <w:spacing w:after="0"/>
            </w:pPr>
            <w:r/>
            <w:r>
              <w:rPr>
                <w:sz w:val="14"/>
              </w:rPr>
              <w:t>job_level and allowance columns</w:t>
            </w:r>
          </w:p>
        </w:tc>
      </w:tr>
      <w:tr>
        <w:trPr>
          <w:cantSplit/>
        </w:trPr>
        <w:tc>
          <w:tcPr>
            <w:tcW w:type="dxa" w:w="4704"/>
          </w:tcPr>
          <w:p>
            <w:pPr>
              <w:spacing w:after="0"/>
            </w:pPr>
            <w:r/>
            <w:r>
              <w:rPr>
                <w:sz w:val="14"/>
              </w:rPr>
              <w:t>000057_role_registry.sql</w:t>
            </w:r>
          </w:p>
        </w:tc>
        <w:tc>
          <w:tcPr>
            <w:tcW w:type="dxa" w:w="9408"/>
          </w:tcPr>
          <w:p>
            <w:pPr>
              <w:spacing w:after="0"/>
            </w:pPr>
            <w:r/>
            <w:r>
              <w:rPr>
                <w:sz w:val="14"/>
              </w:rPr>
              <w:t>Roles become a registry with 16 builtin rows</w:t>
            </w:r>
          </w:p>
        </w:tc>
      </w:tr>
      <w:tr>
        <w:trPr>
          <w:cantSplit/>
        </w:trPr>
        <w:tc>
          <w:tcPr>
            <w:tcW w:type="dxa" w:w="4704"/>
          </w:tcPr>
          <w:p>
            <w:pPr>
              <w:spacing w:after="0"/>
            </w:pPr>
            <w:r/>
            <w:r>
              <w:rPr>
                <w:sz w:val="14"/>
              </w:rPr>
              <w:t>000058_expand_role_permissions_wildcards.sql</w:t>
            </w:r>
          </w:p>
        </w:tc>
        <w:tc>
          <w:tcPr>
            <w:tcW w:type="dxa" w:w="9408"/>
          </w:tcPr>
          <w:p>
            <w:pPr>
              <w:spacing w:after="0"/>
            </w:pPr>
            <w:r/>
            <w:r>
              <w:rPr>
                <w:sz w:val="14"/>
              </w:rPr>
              <w:t>Expands '*' globs into concrete keys</w:t>
            </w:r>
          </w:p>
        </w:tc>
      </w:tr>
      <w:tr>
        <w:trPr>
          <w:cantSplit/>
        </w:trPr>
        <w:tc>
          <w:tcPr>
            <w:tcW w:type="dxa" w:w="4704"/>
          </w:tcPr>
          <w:p>
            <w:pPr>
              <w:spacing w:after="0"/>
            </w:pPr>
            <w:r/>
            <w:r>
              <w:rPr>
                <w:sz w:val="14"/>
              </w:rPr>
              <w:t>000059_warehouse_deposits.sql</w:t>
            </w:r>
          </w:p>
        </w:tc>
        <w:tc>
          <w:tcPr>
            <w:tcW w:type="dxa" w:w="9408"/>
          </w:tcPr>
          <w:p>
            <w:pPr>
              <w:spacing w:after="0"/>
            </w:pPr>
            <w:r/>
            <w:r>
              <w:rPr>
                <w:sz w:val="14"/>
              </w:rPr>
              <w:t>Driver cash deposit table</w:t>
            </w:r>
          </w:p>
        </w:tc>
      </w:tr>
      <w:tr>
        <w:trPr>
          <w:cantSplit/>
        </w:trPr>
        <w:tc>
          <w:tcPr>
            <w:tcW w:type="dxa" w:w="4704"/>
          </w:tcPr>
          <w:p>
            <w:pPr>
              <w:spacing w:after="0"/>
            </w:pPr>
            <w:r/>
            <w:r>
              <w:rPr>
                <w:sz w:val="14"/>
              </w:rPr>
              <w:t>000060_visit_schedule_rbac.sql</w:t>
            </w:r>
          </w:p>
        </w:tc>
        <w:tc>
          <w:tcPr>
            <w:tcW w:type="dxa" w:w="9408"/>
          </w:tcPr>
          <w:p>
            <w:pPr>
              <w:spacing w:after="0"/>
            </w:pPr>
            <w:r/>
            <w:r>
              <w:rPr>
                <w:sz w:val="14"/>
              </w:rPr>
              <w:t>Visit scheduling ownership</w:t>
            </w:r>
          </w:p>
        </w:tc>
      </w:tr>
      <w:tr>
        <w:trPr>
          <w:cantSplit/>
        </w:trPr>
        <w:tc>
          <w:tcPr>
            <w:tcW w:type="dxa" w:w="4704"/>
          </w:tcPr>
          <w:p>
            <w:pPr>
              <w:spacing w:after="0"/>
            </w:pPr>
            <w:r/>
            <w:r>
              <w:rPr>
                <w:sz w:val="14"/>
              </w:rPr>
              <w:t>000061_rbac_launch_reset.sql</w:t>
            </w:r>
          </w:p>
        </w:tc>
        <w:tc>
          <w:tcPr>
            <w:tcW w:type="dxa" w:w="9408"/>
          </w:tcPr>
          <w:p>
            <w:pPr>
              <w:spacing w:after="0"/>
            </w:pPr>
            <w:r/>
            <w:r>
              <w:rPr>
                <w:sz w:val="14"/>
              </w:rPr>
              <w:t>Launch reset of the role matrix</w:t>
            </w:r>
          </w:p>
        </w:tc>
      </w:tr>
      <w:tr>
        <w:trPr>
          <w:cantSplit/>
        </w:trPr>
        <w:tc>
          <w:tcPr>
            <w:tcW w:type="dxa" w:w="4704"/>
          </w:tcPr>
          <w:p>
            <w:pPr>
              <w:spacing w:after="0"/>
            </w:pPr>
            <w:r/>
            <w:r>
              <w:rPr>
                <w:sz w:val="14"/>
              </w:rPr>
              <w:t>000062_purchase_accrual_accounts.sql</w:t>
            </w:r>
          </w:p>
        </w:tc>
        <w:tc>
          <w:tcPr>
            <w:tcW w:type="dxa" w:w="9408"/>
          </w:tcPr>
          <w:p>
            <w:pPr>
              <w:spacing w:after="0"/>
            </w:pPr>
            <w:r/>
            <w:r>
              <w:rPr>
                <w:sz w:val="14"/>
              </w:rPr>
              <w:t>Accrual COA for purchases</w:t>
            </w:r>
          </w:p>
        </w:tc>
      </w:tr>
      <w:tr>
        <w:trPr>
          <w:cantSplit/>
        </w:trPr>
        <w:tc>
          <w:tcPr>
            <w:tcW w:type="dxa" w:w="4704"/>
          </w:tcPr>
          <w:p>
            <w:pPr>
              <w:spacing w:after="0"/>
            </w:pPr>
            <w:r/>
            <w:r>
              <w:rPr>
                <w:sz w:val="14"/>
              </w:rPr>
              <w:t>000063_accounting_rbac_piutang_kasir.sql</w:t>
            </w:r>
          </w:p>
        </w:tc>
        <w:tc>
          <w:tcPr>
            <w:tcW w:type="dxa" w:w="9408"/>
          </w:tcPr>
          <w:p>
            <w:pPr>
              <w:spacing w:after="0"/>
            </w:pPr>
            <w:r/>
            <w:r>
              <w:rPr>
                <w:sz w:val="14"/>
              </w:rPr>
              <w:t>Journal grants for sales/cashier</w:t>
            </w:r>
          </w:p>
        </w:tc>
      </w:tr>
      <w:tr>
        <w:trPr>
          <w:cantSplit/>
        </w:trPr>
        <w:tc>
          <w:tcPr>
            <w:tcW w:type="dxa" w:w="4704"/>
          </w:tcPr>
          <w:p>
            <w:pPr>
              <w:spacing w:after="0"/>
            </w:pPr>
            <w:r/>
            <w:r>
              <w:rPr>
                <w:sz w:val="14"/>
              </w:rPr>
              <w:t>000064_report_templates.sql</w:t>
            </w:r>
          </w:p>
        </w:tc>
        <w:tc>
          <w:tcPr>
            <w:tcW w:type="dxa" w:w="9408"/>
          </w:tcPr>
          <w:p>
            <w:pPr>
              <w:spacing w:after="0"/>
            </w:pPr>
            <w:r/>
            <w:r>
              <w:rPr>
                <w:sz w:val="14"/>
              </w:rPr>
              <w:t>report_templates table + invoice-print seed</w:t>
            </w:r>
          </w:p>
        </w:tc>
      </w:tr>
      <w:tr>
        <w:trPr>
          <w:cantSplit/>
        </w:trPr>
        <w:tc>
          <w:tcPr>
            <w:tcW w:type="dxa" w:w="4704"/>
          </w:tcPr>
          <w:p>
            <w:pPr>
              <w:spacing w:after="0"/>
            </w:pPr>
            <w:r/>
            <w:r>
              <w:rPr>
                <w:sz w:val="14"/>
              </w:rPr>
              <w:t>000065_phase2_report_templates.sql</w:t>
            </w:r>
          </w:p>
        </w:tc>
        <w:tc>
          <w:tcPr>
            <w:tcW w:type="dxa" w:w="9408"/>
          </w:tcPr>
          <w:p>
            <w:pPr>
              <w:spacing w:after="0"/>
            </w:pPr>
            <w:r/>
            <w:r>
              <w:rPr>
                <w:sz w:val="14"/>
              </w:rPr>
              <w:t>po-print, do-print, receipt-print seeds</w:t>
            </w:r>
          </w:p>
        </w:tc>
      </w:tr>
      <w:tr>
        <w:trPr>
          <w:cantSplit/>
        </w:trPr>
        <w:tc>
          <w:tcPr>
            <w:tcW w:type="dxa" w:w="4704"/>
          </w:tcPr>
          <w:p>
            <w:pPr>
              <w:spacing w:after="0"/>
            </w:pPr>
            <w:r/>
            <w:r>
              <w:rPr>
                <w:sz w:val="14"/>
              </w:rPr>
              <w:t>000066_phase3_analytical_templates.sql</w:t>
            </w:r>
          </w:p>
        </w:tc>
        <w:tc>
          <w:tcPr>
            <w:tcW w:type="dxa" w:w="9408"/>
          </w:tcPr>
          <w:p>
            <w:pPr>
              <w:spacing w:after="0"/>
            </w:pPr>
            <w:r/>
            <w:r>
              <w:rPr>
                <w:sz w:val="14"/>
              </w:rPr>
              <w:t>Analytical report seeds</w:t>
            </w:r>
          </w:p>
        </w:tc>
      </w:tr>
      <w:tr>
        <w:trPr>
          <w:cantSplit/>
        </w:trPr>
        <w:tc>
          <w:tcPr>
            <w:tcW w:type="dxa" w:w="4704"/>
          </w:tcPr>
          <w:p>
            <w:pPr>
              <w:spacing w:after="0"/>
            </w:pPr>
            <w:r/>
            <w:r>
              <w:rPr>
                <w:sz w:val="14"/>
              </w:rPr>
              <w:t>000067_phase4_financial_templates.sql</w:t>
            </w:r>
          </w:p>
        </w:tc>
        <w:tc>
          <w:tcPr>
            <w:tcW w:type="dxa" w:w="9408"/>
          </w:tcPr>
          <w:p>
            <w:pPr>
              <w:spacing w:after="0"/>
            </w:pPr>
            <w:r/>
            <w:r>
              <w:rPr>
                <w:sz w:val="14"/>
              </w:rPr>
              <w:t>Financial statement seeds</w:t>
            </w:r>
          </w:p>
        </w:tc>
      </w:tr>
      <w:tr>
        <w:trPr>
          <w:cantSplit/>
        </w:trPr>
        <w:tc>
          <w:tcPr>
            <w:tcW w:type="dxa" w:w="4704"/>
          </w:tcPr>
          <w:p>
            <w:pPr>
              <w:spacing w:after="0"/>
            </w:pPr>
            <w:r/>
            <w:r>
              <w:rPr>
                <w:sz w:val="14"/>
              </w:rPr>
              <w:t>000068_phase5_operational_slips.sql</w:t>
            </w:r>
          </w:p>
        </w:tc>
        <w:tc>
          <w:tcPr>
            <w:tcW w:type="dxa" w:w="9408"/>
          </w:tcPr>
          <w:p>
            <w:pPr>
              <w:spacing w:after="0"/>
            </w:pPr>
            <w:r/>
            <w:r>
              <w:rPr>
                <w:sz w:val="14"/>
              </w:rPr>
              <w:t>Operational slip seeds</w:t>
            </w:r>
          </w:p>
        </w:tc>
      </w:tr>
      <w:tr>
        <w:trPr>
          <w:cantSplit/>
        </w:trPr>
        <w:tc>
          <w:tcPr>
            <w:tcW w:type="dxa" w:w="4704"/>
          </w:tcPr>
          <w:p>
            <w:pPr>
              <w:spacing w:after="0"/>
            </w:pPr>
            <w:r/>
            <w:r>
              <w:rPr>
                <w:sz w:val="14"/>
              </w:rPr>
              <w:t>000069_b2b_pos_templates.sql</w:t>
            </w:r>
          </w:p>
        </w:tc>
        <w:tc>
          <w:tcPr>
            <w:tcW w:type="dxa" w:w="9408"/>
          </w:tcPr>
          <w:p>
            <w:pPr>
              <w:spacing w:after="0"/>
            </w:pPr>
            <w:r/>
            <w:r>
              <w:rPr>
                <w:sz w:val="14"/>
              </w:rPr>
              <w:t>B2B/POS template seeds</w:t>
            </w:r>
          </w:p>
        </w:tc>
      </w:tr>
      <w:tr>
        <w:trPr>
          <w:cantSplit/>
        </w:trPr>
        <w:tc>
          <w:tcPr>
            <w:tcW w:type="dxa" w:w="4704"/>
          </w:tcPr>
          <w:p>
            <w:pPr>
              <w:spacing w:after="0"/>
            </w:pPr>
            <w:r/>
            <w:r>
              <w:rPr>
                <w:sz w:val="14"/>
              </w:rPr>
              <w:t>000070_accounting_departments_plant_depo.sql</w:t>
            </w:r>
          </w:p>
        </w:tc>
        <w:tc>
          <w:tcPr>
            <w:tcW w:type="dxa" w:w="9408"/>
          </w:tcPr>
          <w:p>
            <w:pPr>
              <w:spacing w:after="0"/>
            </w:pPr>
            <w:r/>
            <w:r>
              <w:rPr>
                <w:sz w:val="14"/>
              </w:rPr>
              <w:t>Plant/depo cost centres</w:t>
            </w:r>
          </w:p>
        </w:tc>
      </w:tr>
      <w:tr>
        <w:trPr>
          <w:cantSplit/>
        </w:trPr>
        <w:tc>
          <w:tcPr>
            <w:tcW w:type="dxa" w:w="4704"/>
          </w:tcPr>
          <w:p>
            <w:pPr>
              <w:spacing w:after="0"/>
            </w:pPr>
            <w:r/>
            <w:r>
              <w:rPr>
                <w:sz w:val="14"/>
              </w:rPr>
              <w:t>000071_accounting_rbac_general_ledger_operators.sql</w:t>
            </w:r>
          </w:p>
        </w:tc>
        <w:tc>
          <w:tcPr>
            <w:tcW w:type="dxa" w:w="9408"/>
          </w:tcPr>
          <w:p>
            <w:pPr>
              <w:spacing w:after="0"/>
            </w:pPr>
            <w:r/>
            <w:r>
              <w:rPr>
                <w:sz w:val="14"/>
              </w:rPr>
              <w:t>GL operator grants</w:t>
            </w:r>
          </w:p>
        </w:tc>
      </w:tr>
      <w:tr>
        <w:trPr>
          <w:cantSplit/>
        </w:trPr>
        <w:tc>
          <w:tcPr>
            <w:tcW w:type="dxa" w:w="4704"/>
          </w:tcPr>
          <w:p>
            <w:pPr>
              <w:spacing w:after="0"/>
            </w:pPr>
            <w:r/>
            <w:r>
              <w:rPr>
                <w:sz w:val="14"/>
              </w:rPr>
              <w:t>000072_warehouse_deposit_driver_link.sql</w:t>
            </w:r>
          </w:p>
        </w:tc>
        <w:tc>
          <w:tcPr>
            <w:tcW w:type="dxa" w:w="9408"/>
          </w:tcPr>
          <w:p>
            <w:pPr>
              <w:spacing w:after="0"/>
            </w:pPr>
            <w:r/>
            <w:r>
              <w:rPr>
                <w:sz w:val="14"/>
              </w:rPr>
              <w:t>Deposit → driver link</w:t>
            </w:r>
          </w:p>
        </w:tc>
      </w:tr>
      <w:tr>
        <w:trPr>
          <w:cantSplit/>
        </w:trPr>
        <w:tc>
          <w:tcPr>
            <w:tcW w:type="dxa" w:w="4704"/>
          </w:tcPr>
          <w:p>
            <w:pPr>
              <w:spacing w:after="0"/>
            </w:pPr>
            <w:r/>
            <w:r>
              <w:rPr>
                <w:sz w:val="14"/>
              </w:rPr>
              <w:t>000073_lhpp_print_template_v2.sql</w:t>
            </w:r>
          </w:p>
        </w:tc>
        <w:tc>
          <w:tcPr>
            <w:tcW w:type="dxa" w:w="9408"/>
          </w:tcPr>
          <w:p>
            <w:pPr>
              <w:spacing w:after="0"/>
            </w:pPr>
            <w:r/>
            <w:r>
              <w:rPr>
                <w:sz w:val="14"/>
              </w:rPr>
              <w:t>LHPP print template v2</w:t>
            </w:r>
          </w:p>
        </w:tc>
      </w:tr>
      <w:tr>
        <w:trPr>
          <w:cantSplit/>
        </w:trPr>
        <w:tc>
          <w:tcPr>
            <w:tcW w:type="dxa" w:w="4704"/>
          </w:tcPr>
          <w:p>
            <w:pPr>
              <w:spacing w:after="0"/>
            </w:pPr>
            <w:r/>
            <w:r>
              <w:rPr>
                <w:sz w:val="14"/>
              </w:rPr>
              <w:t>000074_lhpp_print_template_v3.sql</w:t>
            </w:r>
          </w:p>
        </w:tc>
        <w:tc>
          <w:tcPr>
            <w:tcW w:type="dxa" w:w="9408"/>
          </w:tcPr>
          <w:p>
            <w:pPr>
              <w:spacing w:after="0"/>
            </w:pPr>
            <w:r/>
            <w:r>
              <w:rPr>
                <w:sz w:val="14"/>
              </w:rPr>
              <w:t>LHPP print template v3 (TOTAL fix)</w:t>
            </w:r>
          </w:p>
        </w:tc>
      </w:tr>
      <w:tr>
        <w:trPr>
          <w:cantSplit/>
        </w:trPr>
        <w:tc>
          <w:tcPr>
            <w:tcW w:type="dxa" w:w="4704"/>
          </w:tcPr>
          <w:p>
            <w:pPr>
              <w:spacing w:after="0"/>
            </w:pPr>
            <w:r/>
            <w:r>
              <w:rPr>
                <w:sz w:val="14"/>
              </w:rPr>
              <w:t>000075_payments_deposit_link.sql</w:t>
            </w:r>
          </w:p>
        </w:tc>
        <w:tc>
          <w:tcPr>
            <w:tcW w:type="dxa" w:w="9408"/>
          </w:tcPr>
          <w:p>
            <w:pPr>
              <w:spacing w:after="0"/>
            </w:pPr>
            <w:r/>
            <w:r>
              <w:rPr>
                <w:sz w:val="14"/>
              </w:rPr>
              <w:t>Payment → deposit link</w:t>
            </w:r>
          </w:p>
        </w:tc>
      </w:tr>
      <w:tr>
        <w:trPr>
          <w:cantSplit/>
        </w:trPr>
        <w:tc>
          <w:tcPr>
            <w:tcW w:type="dxa" w:w="4704"/>
          </w:tcPr>
          <w:p>
            <w:pPr>
              <w:spacing w:after="0"/>
            </w:pPr>
            <w:r/>
            <w:r>
              <w:rPr>
                <w:sz w:val="14"/>
              </w:rPr>
              <w:t>000076_hr_suite_integrations.sql</w:t>
            </w:r>
          </w:p>
        </w:tc>
        <w:tc>
          <w:tcPr>
            <w:tcW w:type="dxa" w:w="9408"/>
          </w:tcPr>
          <w:p>
            <w:pPr>
              <w:spacing w:after="0"/>
            </w:pPr>
            <w:r/>
            <w:r>
              <w:rPr>
                <w:sz w:val="14"/>
              </w:rPr>
              <w:t>HR fields and permissions</w:t>
            </w:r>
          </w:p>
        </w:tc>
      </w:tr>
      <w:tr>
        <w:trPr>
          <w:cantSplit/>
        </w:trPr>
        <w:tc>
          <w:tcPr>
            <w:tcW w:type="dxa" w:w="4704"/>
          </w:tcPr>
          <w:p>
            <w:pPr>
              <w:spacing w:after="0"/>
            </w:pPr>
            <w:r/>
            <w:r>
              <w:rPr>
                <w:sz w:val="14"/>
              </w:rPr>
              <w:t>000077_membership_tier_requirements.sql</w:t>
            </w:r>
          </w:p>
        </w:tc>
        <w:tc>
          <w:tcPr>
            <w:tcW w:type="dxa" w:w="9408"/>
          </w:tcPr>
          <w:p>
            <w:pPr>
              <w:spacing w:after="0"/>
            </w:pPr>
            <w:r/>
            <w:r>
              <w:rPr>
                <w:sz w:val="14"/>
              </w:rPr>
              <w:t>min_orders / min_spend tier requirements</w:t>
            </w:r>
          </w:p>
        </w:tc>
      </w:tr>
      <w:tr>
        <w:trPr>
          <w:cantSplit/>
        </w:trPr>
        <w:tc>
          <w:tcPr>
            <w:tcW w:type="dxa" w:w="4704"/>
          </w:tcPr>
          <w:p>
            <w:pPr>
              <w:spacing w:after="0"/>
            </w:pPr>
            <w:r/>
            <w:r>
              <w:rPr>
                <w:sz w:val="14"/>
              </w:rPr>
              <w:t>000078_chart_of_accounts_standard_5_groups.sql</w:t>
            </w:r>
          </w:p>
        </w:tc>
        <w:tc>
          <w:tcPr>
            <w:tcW w:type="dxa" w:w="9408"/>
          </w:tcPr>
          <w:p>
            <w:pPr>
              <w:spacing w:after="0"/>
            </w:pPr>
            <w:r/>
            <w:r>
              <w:rPr>
                <w:sz w:val="14"/>
              </w:rPr>
              <w:t>Standard 5-group COA seed</w:t>
            </w:r>
          </w:p>
        </w:tc>
      </w:tr>
      <w:tr>
        <w:trPr>
          <w:cantSplit/>
        </w:trPr>
        <w:tc>
          <w:tcPr>
            <w:tcW w:type="dxa" w:w="4704"/>
          </w:tcPr>
          <w:p>
            <w:pPr>
              <w:spacing w:after="0"/>
            </w:pPr>
            <w:r/>
            <w:r>
              <w:rPr>
                <w:sz w:val="14"/>
              </w:rPr>
              <w:t>000079_warehouse_customer_orders_view.sql</w:t>
            </w:r>
          </w:p>
        </w:tc>
        <w:tc>
          <w:tcPr>
            <w:tcW w:type="dxa" w:w="9408"/>
          </w:tcPr>
          <w:p>
            <w:pPr>
              <w:spacing w:after="0"/>
            </w:pPr>
            <w:r/>
            <w:r>
              <w:rPr>
                <w:sz w:val="14"/>
              </w:rPr>
              <w:t>Warehouse customer-order grants</w:t>
            </w:r>
          </w:p>
        </w:tc>
      </w:tr>
      <w:tr>
        <w:trPr>
          <w:cantSplit/>
        </w:trPr>
        <w:tc>
          <w:tcPr>
            <w:tcW w:type="dxa" w:w="4704"/>
          </w:tcPr>
          <w:p>
            <w:pPr>
              <w:spacing w:after="0"/>
            </w:pPr>
            <w:r/>
            <w:r>
              <w:rPr>
                <w:sz w:val="14"/>
              </w:rPr>
              <w:t>000080_operator_cashflow_journal_update.sql</w:t>
            </w:r>
          </w:p>
        </w:tc>
        <w:tc>
          <w:tcPr>
            <w:tcW w:type="dxa" w:w="9408"/>
          </w:tcPr>
          <w:p>
            <w:pPr>
              <w:spacing w:after="0"/>
            </w:pPr>
            <w:r/>
            <w:r>
              <w:rPr>
                <w:sz w:val="14"/>
              </w:rPr>
              <w:t>RBAC gap closure</w:t>
            </w:r>
          </w:p>
        </w:tc>
      </w:tr>
      <w:tr>
        <w:trPr>
          <w:cantSplit/>
        </w:trPr>
        <w:tc>
          <w:tcPr>
            <w:tcW w:type="dxa" w:w="4704"/>
          </w:tcPr>
          <w:p>
            <w:pPr>
              <w:spacing w:after="0"/>
            </w:pPr>
            <w:r/>
            <w:r>
              <w:rPr>
                <w:sz w:val="14"/>
              </w:rPr>
              <w:t>000081_finance_cashier_grants.sql</w:t>
            </w:r>
          </w:p>
        </w:tc>
        <w:tc>
          <w:tcPr>
            <w:tcW w:type="dxa" w:w="9408"/>
          </w:tcPr>
          <w:p>
            <w:pPr>
              <w:spacing w:after="0"/>
            </w:pPr>
            <w:r/>
            <w:r>
              <w:rPr>
                <w:sz w:val="14"/>
              </w:rPr>
              <w:t>Restores grants wiped by 000061</w:t>
            </w:r>
          </w:p>
        </w:tc>
      </w:tr>
      <w:tr>
        <w:trPr>
          <w:cantSplit/>
        </w:trPr>
        <w:tc>
          <w:tcPr>
            <w:tcW w:type="dxa" w:w="4704"/>
          </w:tcPr>
          <w:p>
            <w:pPr>
              <w:spacing w:after="0"/>
            </w:pPr>
            <w:r/>
            <w:r>
              <w:rPr>
                <w:sz w:val="14"/>
              </w:rPr>
              <w:t>000082_journal_action_grants.sql</w:t>
            </w:r>
          </w:p>
        </w:tc>
        <w:tc>
          <w:tcPr>
            <w:tcW w:type="dxa" w:w="9408"/>
          </w:tcPr>
          <w:p>
            <w:pPr>
              <w:spacing w:after="0"/>
            </w:pPr>
            <w:r/>
            <w:r>
              <w:rPr>
                <w:sz w:val="14"/>
              </w:rPr>
              <w:t>Journal action-verb grants</w:t>
            </w:r>
          </w:p>
        </w:tc>
      </w:tr>
      <w:tr>
        <w:trPr>
          <w:cantSplit/>
        </w:trPr>
        <w:tc>
          <w:tcPr>
            <w:tcW w:type="dxa" w:w="4704"/>
          </w:tcPr>
          <w:p>
            <w:pPr>
              <w:spacing w:after="0"/>
            </w:pPr>
            <w:r/>
            <w:r>
              <w:rPr>
                <w:sz w:val="14"/>
              </w:rPr>
              <w:t>000083_truncate_cashflows.sql</w:t>
            </w:r>
          </w:p>
        </w:tc>
        <w:tc>
          <w:tcPr>
            <w:tcW w:type="dxa" w:w="9408"/>
          </w:tcPr>
          <w:p>
            <w:pPr>
              <w:spacing w:after="0"/>
            </w:pPr>
            <w:r/>
            <w:r>
              <w:rPr>
                <w:sz w:val="14"/>
              </w:rPr>
              <w:t>DESTRUCTIVE: TRUNCATE cashflows RESTART IDENTITY CASCADE</w:t>
            </w:r>
          </w:p>
        </w:tc>
      </w:tr>
      <w:tr>
        <w:trPr>
          <w:cantSplit/>
        </w:trPr>
        <w:tc>
          <w:tcPr>
            <w:tcW w:type="dxa" w:w="4704"/>
          </w:tcPr>
          <w:p>
            <w:pPr>
              <w:spacing w:after="0"/>
            </w:pPr>
            <w:r/>
            <w:r>
              <w:rPr>
                <w:sz w:val="14"/>
              </w:rPr>
              <w:t>000084_document_number_sequences_backfill.sql</w:t>
            </w:r>
          </w:p>
        </w:tc>
        <w:tc>
          <w:tcPr>
            <w:tcW w:type="dxa" w:w="9408"/>
          </w:tcPr>
          <w:p>
            <w:pPr>
              <w:spacing w:after="0"/>
            </w:pPr>
            <w:r/>
            <w:r>
              <w:rPr>
                <w:sz w:val="14"/>
              </w:rPr>
              <w:t>Restores the allocator above existing data</w:t>
            </w:r>
          </w:p>
        </w:tc>
      </w:tr>
      <w:tr>
        <w:trPr>
          <w:cantSplit/>
        </w:trPr>
        <w:tc>
          <w:tcPr>
            <w:tcW w:type="dxa" w:w="4704"/>
          </w:tcPr>
          <w:p>
            <w:pPr>
              <w:spacing w:after="0"/>
            </w:pPr>
            <w:r/>
            <w:r>
              <w:rPr>
                <w:sz w:val="14"/>
              </w:rPr>
              <w:t>000085_purchasing_role_gap_restores.sql</w:t>
            </w:r>
          </w:p>
        </w:tc>
        <w:tc>
          <w:tcPr>
            <w:tcW w:type="dxa" w:w="9408"/>
          </w:tcPr>
          <w:p>
            <w:pPr>
              <w:spacing w:after="0"/>
            </w:pPr>
            <w:r/>
            <w:r>
              <w:rPr>
                <w:sz w:val="14"/>
              </w:rPr>
              <w:t>Purchasing RBAC completeness</w:t>
            </w:r>
          </w:p>
        </w:tc>
      </w:tr>
      <w:tr>
        <w:trPr>
          <w:cantSplit/>
        </w:trPr>
        <w:tc>
          <w:tcPr>
            <w:tcW w:type="dxa" w:w="4704"/>
          </w:tcPr>
          <w:p>
            <w:pPr>
              <w:spacing w:after="0"/>
            </w:pPr>
            <w:r/>
            <w:r>
              <w:rPr>
                <w:sz w:val="14"/>
              </w:rPr>
              <w:t>000086_ppn_masukan_account.sql</w:t>
            </w:r>
          </w:p>
        </w:tc>
        <w:tc>
          <w:tcPr>
            <w:tcW w:type="dxa" w:w="9408"/>
          </w:tcPr>
          <w:p>
            <w:pPr>
              <w:spacing w:after="0"/>
            </w:pPr>
            <w:r/>
            <w:r>
              <w:rPr>
                <w:sz w:val="14"/>
              </w:rPr>
              <w:t>PPN masukan account</w:t>
            </w:r>
          </w:p>
        </w:tc>
      </w:tr>
      <w:tr>
        <w:trPr>
          <w:cantSplit/>
        </w:trPr>
        <w:tc>
          <w:tcPr>
            <w:tcW w:type="dxa" w:w="4704"/>
          </w:tcPr>
          <w:p>
            <w:pPr>
              <w:spacing w:after="0"/>
            </w:pPr>
            <w:r/>
            <w:r>
              <w:rPr>
                <w:sz w:val="14"/>
              </w:rPr>
              <w:t>000087_sales_targets.sql</w:t>
            </w:r>
          </w:p>
        </w:tc>
        <w:tc>
          <w:tcPr>
            <w:tcW w:type="dxa" w:w="9408"/>
          </w:tcPr>
          <w:p>
            <w:pPr>
              <w:spacing w:after="0"/>
            </w:pPr>
            <w:r/>
            <w:r>
              <w:rPr>
                <w:sz w:val="14"/>
              </w:rPr>
              <w:t>Sales targets + activity expansion</w:t>
            </w:r>
          </w:p>
        </w:tc>
      </w:tr>
      <w:tr>
        <w:trPr>
          <w:cantSplit/>
        </w:trPr>
        <w:tc>
          <w:tcPr>
            <w:tcW w:type="dxa" w:w="4704"/>
          </w:tcPr>
          <w:p>
            <w:pPr>
              <w:spacing w:after="0"/>
            </w:pPr>
            <w:r/>
            <w:r>
              <w:rPr>
                <w:sz w:val="14"/>
              </w:rPr>
              <w:t>000088_do_print_template_v2.sql</w:t>
            </w:r>
          </w:p>
        </w:tc>
        <w:tc>
          <w:tcPr>
            <w:tcW w:type="dxa" w:w="9408"/>
          </w:tcPr>
          <w:p>
            <w:pPr>
              <w:spacing w:after="0"/>
            </w:pPr>
            <w:r/>
            <w:r>
              <w:rPr>
                <w:sz w:val="14"/>
              </w:rPr>
              <w:t>Delivery-order print template v2</w:t>
            </w:r>
          </w:p>
        </w:tc>
      </w:tr>
      <w:tr>
        <w:trPr>
          <w:cantSplit/>
        </w:trPr>
        <w:tc>
          <w:tcPr>
            <w:tcW w:type="dxa" w:w="4704"/>
          </w:tcPr>
          <w:p>
            <w:pPr>
              <w:spacing w:after="0"/>
            </w:pPr>
            <w:r/>
            <w:r>
              <w:rPr>
                <w:sz w:val="14"/>
              </w:rPr>
              <w:t>000089_store_manager_pos_grants.sql</w:t>
            </w:r>
          </w:p>
        </w:tc>
        <w:tc>
          <w:tcPr>
            <w:tcW w:type="dxa" w:w="9408"/>
          </w:tcPr>
          <w:p>
            <w:pPr>
              <w:spacing w:after="0"/>
            </w:pPr>
            <w:r/>
            <w:r>
              <w:rPr>
                <w:sz w:val="14"/>
              </w:rPr>
              <w:t>store_manager POS grants</w:t>
            </w:r>
          </w:p>
        </w:tc>
      </w:tr>
      <w:tr>
        <w:trPr>
          <w:cantSplit/>
        </w:trPr>
        <w:tc>
          <w:tcPr>
            <w:tcW w:type="dxa" w:w="4704"/>
          </w:tcPr>
          <w:p>
            <w:pPr>
              <w:spacing w:after="0"/>
            </w:pPr>
            <w:r/>
            <w:r>
              <w:rPr>
                <w:sz w:val="14"/>
              </w:rPr>
              <w:t>000090_reconcile_and_sync_stocks.sql</w:t>
            </w:r>
          </w:p>
        </w:tc>
        <w:tc>
          <w:tcPr>
            <w:tcW w:type="dxa" w:w="9408"/>
          </w:tcPr>
          <w:p>
            <w:pPr>
              <w:spacing w:after="0"/>
            </w:pPr>
            <w:r/>
            <w:r>
              <w:rPr>
                <w:sz w:val="14"/>
              </w:rPr>
              <w:t>DATA MUTATION: clamps negative stock, rebuilds reservations</w:t>
            </w:r>
          </w:p>
        </w:tc>
      </w:tr>
      <w:tr>
        <w:trPr>
          <w:cantSplit/>
        </w:trPr>
        <w:tc>
          <w:tcPr>
            <w:tcW w:type="dxa" w:w="4704"/>
          </w:tcPr>
          <w:p>
            <w:pPr>
              <w:spacing w:after="0"/>
            </w:pPr>
            <w:r/>
            <w:r>
              <w:rPr>
                <w:sz w:val="14"/>
              </w:rPr>
              <w:t>000091_grant_warehouse_transfer_permissions.sql</w:t>
            </w:r>
          </w:p>
        </w:tc>
        <w:tc>
          <w:tcPr>
            <w:tcW w:type="dxa" w:w="9408"/>
          </w:tcPr>
          <w:p>
            <w:pPr>
              <w:spacing w:after="0"/>
            </w:pPr>
            <w:r/>
            <w:r>
              <w:rPr>
                <w:sz w:val="14"/>
              </w:rPr>
              <w:t>Warehouse transfer/opname grants</w:t>
            </w:r>
          </w:p>
        </w:tc>
      </w:tr>
      <w:tr>
        <w:trPr>
          <w:cantSplit/>
        </w:trPr>
        <w:tc>
          <w:tcPr>
            <w:tcW w:type="dxa" w:w="4704"/>
          </w:tcPr>
          <w:p>
            <w:pPr>
              <w:spacing w:after="0"/>
            </w:pPr>
            <w:r/>
            <w:r>
              <w:rPr>
                <w:sz w:val="14"/>
              </w:rPr>
              <w:t>000092_sync_sales_order_delivery_status.sql</w:t>
            </w:r>
          </w:p>
        </w:tc>
        <w:tc>
          <w:tcPr>
            <w:tcW w:type="dxa" w:w="9408"/>
          </w:tcPr>
          <w:p>
            <w:pPr>
              <w:spacing w:after="0"/>
            </w:pPr>
            <w:r/>
            <w:r>
              <w:rPr>
                <w:sz w:val="14"/>
              </w:rPr>
              <w:t>DATA MUTATION: reconciles SO status with DOs</w:t>
            </w:r>
          </w:p>
        </w:tc>
      </w:tr>
      <w:tr>
        <w:trPr>
          <w:cantSplit/>
        </w:trPr>
        <w:tc>
          <w:tcPr>
            <w:tcW w:type="dxa" w:w="4704"/>
          </w:tcPr>
          <w:p>
            <w:pPr>
              <w:spacing w:after="0"/>
            </w:pPr>
            <w:r/>
            <w:r>
              <w:rPr>
                <w:sz w:val="14"/>
              </w:rPr>
              <w:t>000093_sales_targets_and_tracking_permissions.sql</w:t>
            </w:r>
          </w:p>
        </w:tc>
        <w:tc>
          <w:tcPr>
            <w:tcW w:type="dxa" w:w="9408"/>
          </w:tcPr>
          <w:p>
            <w:pPr>
              <w:spacing w:after="0"/>
            </w:pPr>
            <w:r/>
            <w:r>
              <w:rPr>
                <w:sz w:val="14"/>
              </w:rPr>
              <w:t>Targets/tracking grants</w:t>
            </w:r>
          </w:p>
        </w:tc>
      </w:tr>
      <w:tr>
        <w:trPr>
          <w:cantSplit/>
        </w:trPr>
        <w:tc>
          <w:tcPr>
            <w:tcW w:type="dxa" w:w="4704"/>
          </w:tcPr>
          <w:p>
            <w:pPr>
              <w:spacing w:after="0"/>
            </w:pPr>
            <w:r/>
            <w:r>
              <w:rPr>
                <w:sz w:val="14"/>
              </w:rPr>
              <w:t>000094_customer_geo_areas.sql</w:t>
            </w:r>
          </w:p>
        </w:tc>
        <w:tc>
          <w:tcPr>
            <w:tcW w:type="dxa" w:w="9408"/>
          </w:tcPr>
          <w:p>
            <w:pPr>
              <w:spacing w:after="0"/>
            </w:pPr>
            <w:r/>
            <w:r>
              <w:rPr>
                <w:sz w:val="14"/>
              </w:rPr>
              <w:t>Administrative area columns</w:t>
            </w:r>
          </w:p>
        </w:tc>
      </w:tr>
      <w:tr>
        <w:trPr>
          <w:cantSplit/>
        </w:trPr>
        <w:tc>
          <w:tcPr>
            <w:tcW w:type="dxa" w:w="4704"/>
          </w:tcPr>
          <w:p>
            <w:pPr>
              <w:spacing w:after="0"/>
            </w:pPr>
            <w:r/>
            <w:r>
              <w:rPr>
                <w:sz w:val="14"/>
              </w:rPr>
              <w:t>000095_midtrans_payments.sql</w:t>
            </w:r>
          </w:p>
        </w:tc>
        <w:tc>
          <w:tcPr>
            <w:tcW w:type="dxa" w:w="9408"/>
          </w:tcPr>
          <w:p>
            <w:pPr>
              <w:spacing w:after="0"/>
            </w:pPr>
            <w:r/>
            <w:r>
              <w:rPr>
                <w:sz w:val="14"/>
              </w:rPr>
              <w:t>Gateway columns for Snap</w:t>
            </w:r>
          </w:p>
        </w:tc>
      </w:tr>
      <w:tr>
        <w:trPr>
          <w:cantSplit/>
        </w:trPr>
        <w:tc>
          <w:tcPr>
            <w:tcW w:type="dxa" w:w="4704"/>
          </w:tcPr>
          <w:p>
            <w:pPr>
              <w:spacing w:after="0"/>
            </w:pPr>
            <w:r/>
            <w:r>
              <w:rPr>
                <w:sz w:val="14"/>
              </w:rPr>
              <w:t>000096_buyer_addresses.sql</w:t>
            </w:r>
          </w:p>
        </w:tc>
        <w:tc>
          <w:tcPr>
            <w:tcW w:type="dxa" w:w="9408"/>
          </w:tcPr>
          <w:p>
            <w:pPr>
              <w:spacing w:after="0"/>
            </w:pPr>
            <w:r/>
            <w:r>
              <w:rPr>
                <w:sz w:val="14"/>
              </w:rPr>
              <w:t>Buyer address book</w:t>
            </w:r>
          </w:p>
        </w:tc>
      </w:tr>
      <w:tr>
        <w:trPr>
          <w:cantSplit/>
        </w:trPr>
        <w:tc>
          <w:tcPr>
            <w:tcW w:type="dxa" w:w="4704"/>
          </w:tcPr>
          <w:p>
            <w:pPr>
              <w:spacing w:after="0"/>
            </w:pPr>
            <w:r/>
            <w:r>
              <w:rPr>
                <w:sz w:val="14"/>
              </w:rPr>
              <w:t>000097_sales_targets_gm_only.sql</w:t>
            </w:r>
          </w:p>
        </w:tc>
        <w:tc>
          <w:tcPr>
            <w:tcW w:type="dxa" w:w="9408"/>
          </w:tcPr>
          <w:p>
            <w:pPr>
              <w:spacing w:after="0"/>
            </w:pPr>
            <w:r/>
            <w:r>
              <w:rPr>
                <w:sz w:val="14"/>
              </w:rPr>
              <w:t>Targets restricted to GM</w:t>
            </w:r>
          </w:p>
        </w:tc>
      </w:tr>
      <w:tr>
        <w:trPr>
          <w:cantSplit/>
        </w:trPr>
        <w:tc>
          <w:tcPr>
            <w:tcW w:type="dxa" w:w="4704"/>
          </w:tcPr>
          <w:p>
            <w:pPr>
              <w:spacing w:after="0"/>
            </w:pPr>
            <w:r/>
            <w:r>
              <w:rPr>
                <w:sz w:val="14"/>
              </w:rPr>
              <w:t>000098_me_views_indexes.sql</w:t>
            </w:r>
          </w:p>
        </w:tc>
        <w:tc>
          <w:tcPr>
            <w:tcW w:type="dxa" w:w="9408"/>
          </w:tcPr>
          <w:p>
            <w:pPr>
              <w:spacing w:after="0"/>
            </w:pPr>
            <w:r/>
            <w:r>
              <w:rPr>
                <w:sz w:val="14"/>
              </w:rPr>
              <w:t>Composite indexes for buyer /me views</w:t>
            </w:r>
          </w:p>
        </w:tc>
      </w:tr>
      <w:tr>
        <w:trPr>
          <w:cantSplit/>
        </w:trPr>
        <w:tc>
          <w:tcPr>
            <w:tcW w:type="dxa" w:w="4704"/>
          </w:tcPr>
          <w:p>
            <w:pPr>
              <w:spacing w:after="0"/>
            </w:pPr>
            <w:r/>
            <w:r>
              <w:rPr>
                <w:sz w:val="14"/>
              </w:rPr>
              <w:t>000099_cashier_pos_grants.sql</w:t>
            </w:r>
          </w:p>
        </w:tc>
        <w:tc>
          <w:tcPr>
            <w:tcW w:type="dxa" w:w="9408"/>
          </w:tcPr>
          <w:p>
            <w:pPr>
              <w:spacing w:after="0"/>
            </w:pPr>
            <w:r/>
            <w:r>
              <w:rPr>
                <w:sz w:val="14"/>
              </w:rPr>
              <w:t>Cashier POS/membership grants</w:t>
            </w:r>
          </w:p>
        </w:tc>
      </w:tr>
      <w:tr>
        <w:trPr>
          <w:cantSplit/>
        </w:trPr>
        <w:tc>
          <w:tcPr>
            <w:tcW w:type="dxa" w:w="4704"/>
          </w:tcPr>
          <w:p>
            <w:pPr>
              <w:spacing w:after="0"/>
            </w:pPr>
            <w:r/>
            <w:r>
              <w:rPr>
                <w:sz w:val="14"/>
              </w:rPr>
              <w:t>000100_payments_proof_url_idx.sql</w:t>
            </w:r>
          </w:p>
        </w:tc>
        <w:tc>
          <w:tcPr>
            <w:tcW w:type="dxa" w:w="9408"/>
          </w:tcPr>
          <w:p>
            <w:pPr>
              <w:spacing w:after="0"/>
            </w:pPr>
            <w:r/>
            <w:r>
              <w:rPr>
                <w:sz w:val="14"/>
              </w:rPr>
              <w:t>Proof authz index</w:t>
            </w:r>
          </w:p>
        </w:tc>
      </w:tr>
      <w:tr>
        <w:trPr>
          <w:cantSplit/>
        </w:trPr>
        <w:tc>
          <w:tcPr>
            <w:tcW w:type="dxa" w:w="4704"/>
          </w:tcPr>
          <w:p>
            <w:pPr>
              <w:spacing w:after="0"/>
            </w:pPr>
            <w:r/>
            <w:r>
              <w:rPr>
                <w:sz w:val="14"/>
              </w:rPr>
              <w:t>000101_lhpp_manual_groups.sql</w:t>
            </w:r>
          </w:p>
        </w:tc>
        <w:tc>
          <w:tcPr>
            <w:tcW w:type="dxa" w:w="9408"/>
          </w:tcPr>
          <w:p>
            <w:pPr>
              <w:spacing w:after="0"/>
            </w:pPr>
            <w:r/>
            <w:r>
              <w:rPr>
                <w:sz w:val="14"/>
              </w:rPr>
              <w:t>LHPP group tables + backfill</w:t>
            </w:r>
          </w:p>
        </w:tc>
      </w:tr>
      <w:tr>
        <w:trPr>
          <w:cantSplit/>
        </w:trPr>
        <w:tc>
          <w:tcPr>
            <w:tcW w:type="dxa" w:w="4704"/>
          </w:tcPr>
          <w:p>
            <w:pPr>
              <w:spacing w:after="0"/>
            </w:pPr>
            <w:r/>
            <w:r>
              <w:rPr>
                <w:sz w:val="14"/>
              </w:rPr>
              <w:t>000102_snap_reconcile_tracking.sql</w:t>
            </w:r>
          </w:p>
        </w:tc>
        <w:tc>
          <w:tcPr>
            <w:tcW w:type="dxa" w:w="9408"/>
          </w:tcPr>
          <w:p>
            <w:pPr>
              <w:spacing w:after="0"/>
            </w:pPr>
            <w:r/>
            <w:r>
              <w:rPr>
                <w:sz w:val="14"/>
              </w:rPr>
              <w:t>Snap sweep throttle column + index</w:t>
            </w:r>
          </w:p>
        </w:tc>
      </w:tr>
      <w:tr>
        <w:trPr>
          <w:cantSplit/>
        </w:trPr>
        <w:tc>
          <w:tcPr>
            <w:tcW w:type="dxa" w:w="4704"/>
          </w:tcPr>
          <w:p>
            <w:pPr>
              <w:spacing w:after="0"/>
            </w:pPr>
            <w:r/>
            <w:r>
              <w:rPr>
                <w:sz w:val="14"/>
              </w:rPr>
              <w:t>000103_revoke_operator_accounting_and_restore_hr.sql</w:t>
            </w:r>
          </w:p>
        </w:tc>
        <w:tc>
          <w:tcPr>
            <w:tcW w:type="dxa" w:w="9408"/>
          </w:tcPr>
          <w:p>
            <w:pPr>
              <w:spacing w:after="0"/>
            </w:pPr>
            <w:r/>
            <w:r>
              <w:rPr>
                <w:sz w:val="14"/>
              </w:rPr>
              <w:t>Revokes operator accounting grants</w:t>
            </w:r>
          </w:p>
        </w:tc>
      </w:tr>
      <w:tr>
        <w:trPr>
          <w:cantSplit/>
        </w:trPr>
        <w:tc>
          <w:tcPr>
            <w:tcW w:type="dxa" w:w="4704"/>
          </w:tcPr>
          <w:p>
            <w:pPr>
              <w:spacing w:after="0"/>
            </w:pPr>
            <w:r/>
            <w:r>
              <w:rPr>
                <w:sz w:val="14"/>
              </w:rPr>
              <w:t>000104_cashflow_outlet_scope.sql</w:t>
            </w:r>
          </w:p>
        </w:tc>
        <w:tc>
          <w:tcPr>
            <w:tcW w:type="dxa" w:w="9408"/>
          </w:tcPr>
          <w:p>
            <w:pPr>
              <w:spacing w:after="0"/>
            </w:pPr>
            <w:r/>
            <w:r>
              <w:rPr>
                <w:sz w:val="14"/>
              </w:rPr>
              <w:t>cashflows.store_id</w:t>
            </w:r>
          </w:p>
        </w:tc>
      </w:tr>
      <w:tr>
        <w:trPr>
          <w:cantSplit/>
        </w:trPr>
        <w:tc>
          <w:tcPr>
            <w:tcW w:type="dxa" w:w="4704"/>
          </w:tcPr>
          <w:p>
            <w:pPr>
              <w:spacing w:after="0"/>
            </w:pPr>
            <w:r/>
            <w:r>
              <w:rPr>
                <w:sz w:val="14"/>
              </w:rPr>
              <w:t>000105_clear_operator_permission_overrides.sql</w:t>
            </w:r>
          </w:p>
        </w:tc>
        <w:tc>
          <w:tcPr>
            <w:tcW w:type="dxa" w:w="9408"/>
          </w:tcPr>
          <w:p>
            <w:pPr>
              <w:spacing w:after="0"/>
            </w:pPr>
            <w:r/>
            <w:r>
              <w:rPr>
                <w:sz w:val="14"/>
              </w:rPr>
              <w:t>Clears users.permissions overrides</w:t>
            </w:r>
          </w:p>
        </w:tc>
      </w:tr>
      <w:tr>
        <w:trPr>
          <w:cantSplit/>
        </w:trPr>
        <w:tc>
          <w:tcPr>
            <w:tcW w:type="dxa" w:w="4704"/>
          </w:tcPr>
          <w:p>
            <w:pPr>
              <w:spacing w:after="0"/>
            </w:pPr>
            <w:r/>
            <w:r>
              <w:rPr>
                <w:sz w:val="14"/>
              </w:rPr>
              <w:t>000106_employee_number_sequence_anchor.sql</w:t>
            </w:r>
          </w:p>
        </w:tc>
        <w:tc>
          <w:tcPr>
            <w:tcW w:type="dxa" w:w="9408"/>
          </w:tcPr>
          <w:p>
            <w:pPr>
              <w:spacing w:after="0"/>
            </w:pPr>
            <w:r/>
            <w:r>
              <w:rPr>
                <w:sz w:val="14"/>
              </w:rPr>
              <w:t>EMP- counter anchor</w:t>
            </w:r>
          </w:p>
        </w:tc>
      </w:tr>
      <w:tr>
        <w:trPr>
          <w:cantSplit/>
        </w:trPr>
        <w:tc>
          <w:tcPr>
            <w:tcW w:type="dxa" w:w="4704"/>
          </w:tcPr>
          <w:p>
            <w:pPr>
              <w:spacing w:after="0"/>
            </w:pPr>
            <w:r/>
            <w:r>
              <w:rPr>
                <w:sz w:val="14"/>
              </w:rPr>
              <w:t>000107_warehouse_code_sequence_anchor.sql</w:t>
            </w:r>
          </w:p>
        </w:tc>
        <w:tc>
          <w:tcPr>
            <w:tcW w:type="dxa" w:w="9408"/>
          </w:tcPr>
          <w:p>
            <w:pPr>
              <w:spacing w:after="0"/>
            </w:pPr>
            <w:r/>
            <w:r>
              <w:rPr>
                <w:sz w:val="14"/>
              </w:rPr>
              <w:t>GDG- counter anchor</w:t>
            </w:r>
          </w:p>
        </w:tc>
      </w:tr>
      <w:tr>
        <w:trPr>
          <w:cantSplit/>
        </w:trPr>
        <w:tc>
          <w:tcPr>
            <w:tcW w:type="dxa" w:w="4704"/>
          </w:tcPr>
          <w:p>
            <w:pPr>
              <w:spacing w:after="0"/>
            </w:pPr>
            <w:r/>
            <w:r>
              <w:rPr>
                <w:sz w:val="14"/>
              </w:rPr>
              <w:t>000108_payroll_number_sequence_month_buckets.sql</w:t>
            </w:r>
          </w:p>
        </w:tc>
        <w:tc>
          <w:tcPr>
            <w:tcW w:type="dxa" w:w="9408"/>
          </w:tcPr>
          <w:p>
            <w:pPr>
              <w:spacing w:after="0"/>
            </w:pPr>
            <w:r/>
            <w:r>
              <w:rPr>
                <w:sz w:val="14"/>
              </w:rPr>
              <w:t>PAY- monthly buckets</w:t>
            </w:r>
          </w:p>
        </w:tc>
      </w:tr>
      <w:tr>
        <w:trPr>
          <w:cantSplit/>
        </w:trPr>
        <w:tc>
          <w:tcPr>
            <w:tcW w:type="dxa" w:w="4704"/>
          </w:tcPr>
          <w:p>
            <w:pPr>
              <w:spacing w:after="0"/>
            </w:pPr>
            <w:r/>
            <w:r>
              <w:rPr>
                <w:sz w:val="14"/>
              </w:rPr>
              <w:t>000109_sales_orders_sales_id_employee_remap.sql</w:t>
            </w:r>
          </w:p>
        </w:tc>
        <w:tc>
          <w:tcPr>
            <w:tcW w:type="dxa" w:w="9408"/>
          </w:tcPr>
          <w:p>
            <w:pPr>
              <w:spacing w:after="0"/>
            </w:pPr>
            <w:r/>
            <w:r>
              <w:rPr>
                <w:sz w:val="14"/>
              </w:rPr>
              <w:t>sales_id remapped to employees(id)</w:t>
            </w:r>
          </w:p>
        </w:tc>
      </w:tr>
      <w:tr>
        <w:trPr>
          <w:cantSplit/>
        </w:trPr>
        <w:tc>
          <w:tcPr>
            <w:tcW w:type="dxa" w:w="4704"/>
          </w:tcPr>
          <w:p>
            <w:pPr>
              <w:spacing w:after="0"/>
            </w:pPr>
            <w:r/>
            <w:r>
              <w:rPr>
                <w:sz w:val="14"/>
              </w:rPr>
              <w:t>000110_restore_visit_schedule_and_lhpp_view_grants.sql</w:t>
            </w:r>
          </w:p>
        </w:tc>
        <w:tc>
          <w:tcPr>
            <w:tcW w:type="dxa" w:w="9408"/>
          </w:tcPr>
          <w:p>
            <w:pPr>
              <w:spacing w:after="0"/>
            </w:pPr>
            <w:r/>
            <w:r>
              <w:rPr>
                <w:sz w:val="14"/>
              </w:rPr>
              <w:t>Restores visit/LHPP grants</w:t>
            </w:r>
          </w:p>
        </w:tc>
      </w:tr>
      <w:tr>
        <w:trPr>
          <w:cantSplit/>
        </w:trPr>
        <w:tc>
          <w:tcPr>
            <w:tcW w:type="dxa" w:w="4704"/>
          </w:tcPr>
          <w:p>
            <w:pPr>
              <w:spacing w:after="0"/>
            </w:pPr>
            <w:r/>
            <w:r>
              <w:rPr>
                <w:sz w:val="14"/>
              </w:rPr>
              <w:t>000111_sales_membership_enrolment_grants.sql</w:t>
            </w:r>
          </w:p>
        </w:tc>
        <w:tc>
          <w:tcPr>
            <w:tcW w:type="dxa" w:w="9408"/>
          </w:tcPr>
          <w:p>
            <w:pPr>
              <w:spacing w:after="0"/>
            </w:pPr>
            <w:r/>
            <w:r>
              <w:rPr>
                <w:sz w:val="14"/>
              </w:rPr>
              <w:t>Membership enrolment grants</w:t>
            </w:r>
          </w:p>
        </w:tc>
      </w:tr>
      <w:tr>
        <w:trPr>
          <w:cantSplit/>
        </w:trPr>
        <w:tc>
          <w:tcPr>
            <w:tcW w:type="dxa" w:w="4704"/>
          </w:tcPr>
          <w:p>
            <w:pPr>
              <w:spacing w:after="0"/>
            </w:pPr>
            <w:r/>
            <w:r>
              <w:rPr>
                <w:sz w:val="14"/>
              </w:rPr>
              <w:t>000112_gm_and_store_manager_membership_tier_pricing.sql</w:t>
            </w:r>
          </w:p>
        </w:tc>
        <w:tc>
          <w:tcPr>
            <w:tcW w:type="dxa" w:w="9408"/>
          </w:tcPr>
          <w:p>
            <w:pPr>
              <w:spacing w:after="0"/>
            </w:pPr>
            <w:r/>
            <w:r>
              <w:rPr>
                <w:sz w:val="14"/>
              </w:rPr>
              <w:t>Tier pricing grants</w:t>
            </w:r>
          </w:p>
        </w:tc>
      </w:tr>
      <w:tr>
        <w:trPr>
          <w:cantSplit/>
        </w:trPr>
        <w:tc>
          <w:tcPr>
            <w:tcW w:type="dxa" w:w="4704"/>
          </w:tcPr>
          <w:p>
            <w:pPr>
              <w:spacing w:after="0"/>
            </w:pPr>
            <w:r/>
            <w:r>
              <w:rPr>
                <w:sz w:val="14"/>
              </w:rPr>
              <w:t>000113_gm_reads_the_tier_catalogue.sql</w:t>
            </w:r>
          </w:p>
        </w:tc>
        <w:tc>
          <w:tcPr>
            <w:tcW w:type="dxa" w:w="9408"/>
          </w:tcPr>
          <w:p>
            <w:pPr>
              <w:spacing w:after="0"/>
            </w:pPr>
            <w:r/>
            <w:r>
              <w:rPr>
                <w:sz w:val="14"/>
              </w:rPr>
              <w:t>GM reads the tier catalogue</w:t>
            </w:r>
          </w:p>
        </w:tc>
      </w:tr>
      <w:tr>
        <w:trPr>
          <w:cantSplit/>
        </w:trPr>
        <w:tc>
          <w:tcPr>
            <w:tcW w:type="dxa" w:w="4704"/>
          </w:tcPr>
          <w:p>
            <w:pPr>
              <w:spacing w:after="0"/>
            </w:pPr>
            <w:r/>
            <w:r>
              <w:rPr>
                <w:sz w:val="14"/>
              </w:rPr>
              <w:t>000114_buyer_validates_sales_vouchers.sql</w:t>
            </w:r>
          </w:p>
        </w:tc>
        <w:tc>
          <w:tcPr>
            <w:tcW w:type="dxa" w:w="9408"/>
          </w:tcPr>
          <w:p>
            <w:pPr>
              <w:spacing w:after="0"/>
            </w:pPr>
            <w:r/>
            <w:r>
              <w:rPr>
                <w:sz w:val="14"/>
              </w:rPr>
              <w:t>buyer may validate vouchers</w:t>
            </w:r>
          </w:p>
        </w:tc>
      </w:tr>
      <w:tr>
        <w:trPr>
          <w:cantSplit/>
        </w:trPr>
        <w:tc>
          <w:tcPr>
            <w:tcW w:type="dxa" w:w="4704"/>
          </w:tcPr>
          <w:p>
            <w:pPr>
              <w:spacing w:after="0"/>
            </w:pPr>
            <w:r/>
            <w:r>
              <w:rPr>
                <w:sz w:val="14"/>
              </w:rPr>
              <w:t>000115_cashier_reads_store_settings_for_receipts.sql</w:t>
            </w:r>
          </w:p>
        </w:tc>
        <w:tc>
          <w:tcPr>
            <w:tcW w:type="dxa" w:w="9408"/>
          </w:tcPr>
          <w:p>
            <w:pPr>
              <w:spacing w:after="0"/>
            </w:pPr>
            <w:r/>
            <w:r>
              <w:rPr>
                <w:sz w:val="14"/>
              </w:rPr>
              <w:t>Cashier settings read</w:t>
            </w:r>
          </w:p>
        </w:tc>
      </w:tr>
      <w:tr>
        <w:trPr>
          <w:cantSplit/>
        </w:trPr>
        <w:tc>
          <w:tcPr>
            <w:tcW w:type="dxa" w:w="4704"/>
          </w:tcPr>
          <w:p>
            <w:pPr>
              <w:spacing w:after="0"/>
            </w:pPr>
            <w:r/>
            <w:r>
              <w:rPr>
                <w:sz w:val="14"/>
              </w:rPr>
              <w:t>000116_deactivate_duplicate_cash_accounts.sql</w:t>
            </w:r>
          </w:p>
        </w:tc>
        <w:tc>
          <w:tcPr>
            <w:tcW w:type="dxa" w:w="9408"/>
          </w:tcPr>
          <w:p>
            <w:pPr>
              <w:spacing w:after="0"/>
            </w:pPr>
            <w:r/>
            <w:r>
              <w:rPr>
                <w:sz w:val="14"/>
              </w:rPr>
              <w:t>DATA MUTATION: deactivates duplicate cash accounts</w:t>
            </w:r>
          </w:p>
        </w:tc>
      </w:tr>
      <w:tr>
        <w:trPr>
          <w:cantSplit/>
        </w:trPr>
        <w:tc>
          <w:tcPr>
            <w:tcW w:type="dxa" w:w="4704"/>
          </w:tcPr>
          <w:p>
            <w:pPr>
              <w:spacing w:after="0"/>
            </w:pPr>
            <w:r/>
            <w:r>
              <w:rPr>
                <w:sz w:val="14"/>
              </w:rPr>
              <w:t>000117_customer_profile_fields.sql</w:t>
            </w:r>
          </w:p>
        </w:tc>
        <w:tc>
          <w:tcPr>
            <w:tcW w:type="dxa" w:w="9408"/>
          </w:tcPr>
          <w:p>
            <w:pPr>
              <w:spacing w:after="0"/>
            </w:pPr>
            <w:r/>
            <w:r>
              <w:rPr>
                <w:sz w:val="14"/>
              </w:rPr>
              <w:t>Customer profile/geo fields</w:t>
            </w:r>
          </w:p>
        </w:tc>
      </w:tr>
      <w:tr>
        <w:trPr>
          <w:cantSplit/>
        </w:trPr>
        <w:tc>
          <w:tcPr>
            <w:tcW w:type="dxa" w:w="4704"/>
          </w:tcPr>
          <w:p>
            <w:pPr>
              <w:spacing w:after="0"/>
            </w:pPr>
            <w:r/>
            <w:r>
              <w:rPr>
                <w:sz w:val="14"/>
              </w:rPr>
              <w:t>000118_gateway_transaction_ref.sql</w:t>
            </w:r>
          </w:p>
        </w:tc>
        <w:tc>
          <w:tcPr>
            <w:tcW w:type="dxa" w:w="9408"/>
          </w:tcPr>
          <w:p>
            <w:pPr>
              <w:spacing w:after="0"/>
            </w:pPr>
            <w:r/>
            <w:r>
              <w:rPr>
                <w:sz w:val="14"/>
              </w:rPr>
              <w:t>gateway_transaction_id / expires_at</w:t>
            </w:r>
          </w:p>
        </w:tc>
      </w:tr>
      <w:tr>
        <w:trPr>
          <w:cantSplit/>
        </w:trPr>
        <w:tc>
          <w:tcPr>
            <w:tcW w:type="dxa" w:w="4704"/>
          </w:tcPr>
          <w:p>
            <w:pPr>
              <w:spacing w:after="0"/>
            </w:pPr>
            <w:r/>
            <w:r>
              <w:rPr>
                <w:sz w:val="14"/>
              </w:rPr>
              <w:t>000119_warehouse_coordinate_precision.sql</w:t>
            </w:r>
          </w:p>
        </w:tc>
        <w:tc>
          <w:tcPr>
            <w:tcW w:type="dxa" w:w="9408"/>
          </w:tcPr>
          <w:p>
            <w:pPr>
              <w:spacing w:after="0"/>
            </w:pPr>
            <w:r/>
            <w:r>
              <w:rPr>
                <w:sz w:val="14"/>
              </w:rPr>
              <w:t>Warehouse coordinate provenance</w:t>
            </w:r>
          </w:p>
        </w:tc>
      </w:tr>
      <w:tr>
        <w:trPr>
          <w:cantSplit/>
        </w:trPr>
        <w:tc>
          <w:tcPr>
            <w:tcW w:type="dxa" w:w="4704"/>
          </w:tcPr>
          <w:p>
            <w:pPr>
              <w:spacing w:after="0"/>
            </w:pPr>
            <w:r/>
            <w:r>
              <w:rPr>
                <w:sz w:val="14"/>
              </w:rPr>
              <w:t>000120_store_coordinate_precision.sql</w:t>
            </w:r>
          </w:p>
        </w:tc>
        <w:tc>
          <w:tcPr>
            <w:tcW w:type="dxa" w:w="9408"/>
          </w:tcPr>
          <w:p>
            <w:pPr>
              <w:spacing w:after="0"/>
            </w:pPr>
            <w:r/>
            <w:r>
              <w:rPr>
                <w:sz w:val="14"/>
              </w:rPr>
              <w:t>Store coordinate provenance</w:t>
            </w:r>
          </w:p>
        </w:tc>
      </w:tr>
      <w:tr>
        <w:trPr>
          <w:cantSplit/>
        </w:trPr>
        <w:tc>
          <w:tcPr>
            <w:tcW w:type="dxa" w:w="4704"/>
          </w:tcPr>
          <w:p>
            <w:pPr>
              <w:spacing w:after="0"/>
            </w:pPr>
            <w:r/>
            <w:r>
              <w:rPr>
                <w:sz w:val="14"/>
              </w:rPr>
              <w:t>000121_buyer_membership_read.sql</w:t>
            </w:r>
          </w:p>
        </w:tc>
        <w:tc>
          <w:tcPr>
            <w:tcW w:type="dxa" w:w="9408"/>
          </w:tcPr>
          <w:p>
            <w:pPr>
              <w:spacing w:after="0"/>
            </w:pPr>
            <w:r/>
            <w:r>
              <w:rPr>
                <w:sz w:val="14"/>
              </w:rPr>
              <w:t>buyer membership read grant</w:t>
            </w:r>
          </w:p>
        </w:tc>
      </w:tr>
      <w:tr>
        <w:trPr>
          <w:cantSplit/>
        </w:trPr>
        <w:tc>
          <w:tcPr>
            <w:tcW w:type="dxa" w:w="4704"/>
          </w:tcPr>
          <w:p>
            <w:pPr>
              <w:spacing w:after="0"/>
            </w:pPr>
            <w:r/>
            <w:r>
              <w:rPr>
                <w:sz w:val="14"/>
              </w:rPr>
              <w:t>000122_support_tickets.sql</w:t>
            </w:r>
          </w:p>
        </w:tc>
        <w:tc>
          <w:tcPr>
            <w:tcW w:type="dxa" w:w="9408"/>
          </w:tcPr>
          <w:p>
            <w:pPr>
              <w:spacing w:after="0"/>
            </w:pPr>
            <w:r/>
            <w:r>
              <w:rPr>
                <w:sz w:val="14"/>
              </w:rPr>
              <w:t>tickets + ticket_comments</w:t>
            </w:r>
          </w:p>
        </w:tc>
      </w:tr>
      <w:tr>
        <w:trPr>
          <w:cantSplit/>
        </w:trPr>
        <w:tc>
          <w:tcPr>
            <w:tcW w:type="dxa" w:w="4704"/>
          </w:tcPr>
          <w:p>
            <w:pPr>
              <w:spacing w:after="0"/>
            </w:pPr>
            <w:r/>
            <w:r>
              <w:rPr>
                <w:sz w:val="14"/>
              </w:rPr>
              <w:t>000123_seed_walkin_customer.sql</w:t>
            </w:r>
          </w:p>
        </w:tc>
        <w:tc>
          <w:tcPr>
            <w:tcW w:type="dxa" w:w="9408"/>
          </w:tcPr>
          <w:p>
            <w:pPr>
              <w:spacing w:after="0"/>
            </w:pPr>
            <w:r/>
            <w:r>
              <w:rPr>
                <w:sz w:val="14"/>
              </w:rPr>
              <w:t>Seeds the Pelanggan Umum walk-in customer</w:t>
            </w:r>
          </w:p>
        </w:tc>
      </w:tr>
    </w:tbl>
    <w:p>
      <w:pPr>
        <w:spacing w:after="200"/>
      </w:pPr>
      <w:r>
        <w:rPr>
          <w:i/>
          <w:color w:val="555F6D"/>
          <w:sz w:val="17"/>
        </w:rPr>
        <w:t>Table 52. Migration history in execution order (123 files)</w:t>
      </w:r>
    </w:p>
    <w:p>
      <w:pPr>
        <w:sectPr>
          <w:pgSz w:w="15840" w:h="12240" w:orient="landscape"/>
          <w:pgMar w:top="1008" w:right="864" w:bottom="864" w:left="864" w:header="720" w:footer="720" w:gutter="0"/>
          <w:cols w:space="720"/>
          <w:docGrid w:linePitch="360"/>
        </w:sectPr>
      </w:pPr>
    </w:p>
    <w:p>
      <w:pPr>
        <w:spacing w:after="160"/>
        <w:ind w:left="216"/>
        <w:pBdr>
          <w:left w:val="single" w:sz="18" w:space="6" w:color="9B2C2C"/>
        </w:pBdr>
      </w:pPr>
      <w:r>
        <w:rPr>
          <w:b/>
          <w:color w:val="9B2C2C"/>
          <w:sz w:val="19"/>
        </w:rPr>
        <w:t xml:space="preserve">Destructive and data-mutating migrations: </w:t>
      </w:r>
      <w:r>
        <w:rPr>
          <w:sz w:val="19"/>
        </w:rPr>
        <w:t>Four migrations change data rather than schema: 000083 truncates cashflows; 000090 clamps negative stock and rebuilds reservations; 000092 reconciles sales-order status with delivery orders; 000116 deactivates duplicate cash accounts. There are no DOWN migrations, so rollback is a restore, not a reverse migration.</w:t>
      </w:r>
    </w:p>
    <w:p>
      <w:bookmarkStart w:id="1091" w:name="_Toc1091"/>
      <w:pPr>
        <w:pStyle w:val="Heading1"/>
      </w:pPr>
      <w:r>
        <w:t>17. Complete database object inventory</w:t>
      </w:r>
      <w:bookmarkEnd w:id="1091"/>
    </w:p>
    <w:p>
      <w:bookmarkStart w:id="1092" w:name="_Toc1092"/>
      <w:pPr>
        <w:pStyle w:val="Heading2"/>
      </w:pPr>
      <w:r>
        <w:t>17.1 Functions</w:t>
      </w:r>
      <w:bookmarkEnd w:id="1092"/>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2448"/>
            <w:shd w:val="clear" w:color="auto" w:fill="1F3A5F"/>
          </w:tcPr>
          <w:p>
            <w:pPr>
              <w:spacing w:after="0"/>
            </w:pPr>
            <w:r/>
            <w:r>
              <w:rPr>
                <w:b/>
                <w:color w:val="FFFFFF"/>
                <w:sz w:val="15"/>
              </w:rPr>
              <w:t>Function</w:t>
            </w:r>
          </w:p>
        </w:tc>
        <w:tc>
          <w:tcPr>
            <w:tcW w:type="dxa" w:w="864"/>
            <w:shd w:val="clear" w:color="auto" w:fill="1F3A5F"/>
          </w:tcPr>
          <w:p>
            <w:pPr>
              <w:spacing w:after="0"/>
            </w:pPr>
            <w:r/>
            <w:r>
              <w:rPr>
                <w:b/>
                <w:color w:val="FFFFFF"/>
                <w:sz w:val="15"/>
              </w:rPr>
              <w:t>Returns</w:t>
            </w:r>
          </w:p>
        </w:tc>
        <w:tc>
          <w:tcPr>
            <w:tcW w:type="dxa" w:w="3744"/>
            <w:shd w:val="clear" w:color="auto" w:fill="1F3A5F"/>
          </w:tcPr>
          <w:p>
            <w:pPr>
              <w:spacing w:after="0"/>
            </w:pPr>
            <w:r/>
            <w:r>
              <w:rPr>
                <w:b/>
                <w:color w:val="FFFFFF"/>
                <w:sz w:val="15"/>
              </w:rPr>
              <w:t>Purpose</w:t>
            </w:r>
          </w:p>
        </w:tc>
        <w:tc>
          <w:tcPr>
            <w:tcW w:type="dxa" w:w="2304"/>
            <w:shd w:val="clear" w:color="auto" w:fill="1F3A5F"/>
          </w:tcPr>
          <w:p>
            <w:pPr>
              <w:spacing w:after="0"/>
            </w:pPr>
            <w:r/>
            <w:r>
              <w:rPr>
                <w:b/>
                <w:color w:val="FFFFFF"/>
                <w:sz w:val="15"/>
              </w:rPr>
              <w:t>Raised errors</w:t>
            </w:r>
          </w:p>
        </w:tc>
      </w:tr>
      <w:tr>
        <w:trPr>
          <w:cantSplit/>
        </w:trPr>
        <w:tc>
          <w:tcPr>
            <w:tcW w:type="dxa" w:w="2448"/>
          </w:tcPr>
          <w:p>
            <w:pPr>
              <w:spacing w:after="0"/>
            </w:pPr>
            <w:r/>
            <w:r>
              <w:rPr>
                <w:sz w:val="15"/>
              </w:rPr>
              <w:t>enforce_cashflow_contract()</w:t>
            </w:r>
          </w:p>
        </w:tc>
        <w:tc>
          <w:tcPr>
            <w:tcW w:type="dxa" w:w="864"/>
          </w:tcPr>
          <w:p>
            <w:pPr>
              <w:spacing w:after="0"/>
            </w:pPr>
            <w:r/>
            <w:r>
              <w:rPr>
                <w:sz w:val="15"/>
              </w:rPr>
              <w:t>trigger</w:t>
            </w:r>
          </w:p>
        </w:tc>
        <w:tc>
          <w:tcPr>
            <w:tcW w:type="dxa" w:w="3744"/>
          </w:tcPr>
          <w:p>
            <w:pPr>
              <w:spacing w:after="0"/>
            </w:pPr>
            <w:r/>
            <w:r>
              <w:rPr>
                <w:sz w:val="15"/>
              </w:rPr>
              <w:t>Refuses insert/update/delete on cashflows when the transaction_date's accounting period is locked; refuses amount/reference changes or deletes on generated rows.</w:t>
            </w:r>
          </w:p>
        </w:tc>
        <w:tc>
          <w:tcPr>
            <w:tcW w:type="dxa" w:w="2304"/>
          </w:tcPr>
          <w:p>
            <w:pPr>
              <w:spacing w:after="0"/>
            </w:pPr>
            <w:r/>
            <w:r>
              <w:rPr>
                <w:sz w:val="15"/>
              </w:rPr>
              <w:t>accounting_period_locked, generated_cashflow_immutable (SQLSTATE P0001)</w:t>
            </w:r>
          </w:p>
        </w:tc>
      </w:tr>
      <w:tr>
        <w:trPr>
          <w:cantSplit/>
        </w:trPr>
        <w:tc>
          <w:tcPr>
            <w:tcW w:type="dxa" w:w="2448"/>
          </w:tcPr>
          <w:p>
            <w:pPr>
              <w:spacing w:after="0"/>
            </w:pPr>
            <w:r/>
            <w:r>
              <w:rPr>
                <w:sz w:val="15"/>
              </w:rPr>
              <w:t>sales_order_items_snapshot_guard()</w:t>
            </w:r>
          </w:p>
        </w:tc>
        <w:tc>
          <w:tcPr>
            <w:tcW w:type="dxa" w:w="864"/>
          </w:tcPr>
          <w:p>
            <w:pPr>
              <w:spacing w:after="0"/>
            </w:pPr>
            <w:r/>
            <w:r>
              <w:rPr>
                <w:sz w:val="15"/>
              </w:rPr>
              <w:t>trigger</w:t>
            </w:r>
          </w:p>
        </w:tc>
        <w:tc>
          <w:tcPr>
            <w:tcW w:type="dxa" w:w="3744"/>
          </w:tcPr>
          <w:p>
            <w:pPr>
              <w:spacing w:after="0"/>
            </w:pPr>
            <w:r/>
            <w:r>
              <w:rPr>
                <w:sz w:val="15"/>
              </w:rPr>
              <w:t>Refuses any update that changes product_id, quantity, unit_price, discount_percent/amount, subtotal, conversion_factor, base_quantity, min_purchase, unit labels or unit ids.</w:t>
            </w:r>
          </w:p>
        </w:tc>
        <w:tc>
          <w:tcPr>
            <w:tcW w:type="dxa" w:w="2304"/>
          </w:tcPr>
          <w:p>
            <w:pPr>
              <w:spacing w:after="0"/>
            </w:pPr>
            <w:r/>
            <w:r>
              <w:rPr>
                <w:sz w:val="15"/>
              </w:rPr>
              <w:t>restrict_violation</w:t>
            </w:r>
          </w:p>
        </w:tc>
      </w:tr>
    </w:tbl>
    <w:p>
      <w:pPr>
        <w:spacing w:after="200"/>
      </w:pPr>
      <w:r>
        <w:rPr>
          <w:i/>
          <w:color w:val="555F6D"/>
          <w:sz w:val="17"/>
        </w:rPr>
        <w:t>Table 53. Database functions</w:t>
      </w:r>
    </w:p>
    <w:p>
      <w:bookmarkStart w:id="1093" w:name="_Toc1093"/>
      <w:pPr>
        <w:pStyle w:val="Heading2"/>
      </w:pPr>
      <w:r>
        <w:t>17.2 Triggers</w:t>
      </w:r>
      <w:bookmarkEnd w:id="1093"/>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647" w:type="dxa"/>
      </w:tblPr>
      <w:tblGrid>
        <w:gridCol w:w="2412"/>
        <w:gridCol w:w="2412"/>
        <w:gridCol w:w="2412"/>
        <w:gridCol w:w="2412"/>
      </w:tblGrid>
      <w:tr>
        <w:trPr>
          <w:tblHeader w:val="true"/>
        </w:trPr>
        <w:tc>
          <w:tcPr>
            <w:tcW w:type="dxa" w:w="2830"/>
            <w:shd w:val="clear" w:color="auto" w:fill="1F3A5F"/>
          </w:tcPr>
          <w:p>
            <w:pPr>
              <w:spacing w:after="0"/>
            </w:pPr>
            <w:r/>
            <w:r>
              <w:rPr>
                <w:b/>
                <w:color w:val="FFFFFF"/>
                <w:sz w:val="16"/>
              </w:rPr>
              <w:t>Trigger</w:t>
            </w:r>
          </w:p>
        </w:tc>
        <w:tc>
          <w:tcPr>
            <w:tcW w:type="dxa" w:w="1801"/>
            <w:shd w:val="clear" w:color="auto" w:fill="1F3A5F"/>
          </w:tcPr>
          <w:p>
            <w:pPr>
              <w:spacing w:after="0"/>
            </w:pPr>
            <w:r/>
            <w:r>
              <w:rPr>
                <w:b/>
                <w:color w:val="FFFFFF"/>
                <w:sz w:val="16"/>
              </w:rPr>
              <w:t>Table</w:t>
            </w:r>
          </w:p>
        </w:tc>
        <w:tc>
          <w:tcPr>
            <w:tcW w:type="dxa" w:w="2573"/>
            <w:shd w:val="clear" w:color="auto" w:fill="1F3A5F"/>
          </w:tcPr>
          <w:p>
            <w:pPr>
              <w:spacing w:after="0"/>
            </w:pPr>
            <w:r/>
            <w:r>
              <w:rPr>
                <w:b/>
                <w:color w:val="FFFFFF"/>
                <w:sz w:val="16"/>
              </w:rPr>
              <w:t>Timing</w:t>
            </w:r>
          </w:p>
        </w:tc>
        <w:tc>
          <w:tcPr>
            <w:tcW w:type="dxa" w:w="2444"/>
            <w:shd w:val="clear" w:color="auto" w:fill="1F3A5F"/>
          </w:tcPr>
          <w:p>
            <w:pPr>
              <w:spacing w:after="0"/>
            </w:pPr>
            <w:r/>
            <w:r>
              <w:rPr>
                <w:b/>
                <w:color w:val="FFFFFF"/>
                <w:sz w:val="16"/>
              </w:rPr>
              <w:t>Function</w:t>
            </w:r>
          </w:p>
        </w:tc>
      </w:tr>
      <w:tr>
        <w:trPr>
          <w:cantSplit/>
        </w:trPr>
        <w:tc>
          <w:tcPr>
            <w:tcW w:type="dxa" w:w="2830"/>
          </w:tcPr>
          <w:p>
            <w:pPr>
              <w:spacing w:after="0"/>
            </w:pPr>
            <w:r/>
            <w:r>
              <w:rPr>
                <w:sz w:val="16"/>
              </w:rPr>
              <w:t>cashflows_contract_guard</w:t>
            </w:r>
          </w:p>
        </w:tc>
        <w:tc>
          <w:tcPr>
            <w:tcW w:type="dxa" w:w="1801"/>
          </w:tcPr>
          <w:p>
            <w:pPr>
              <w:spacing w:after="0"/>
            </w:pPr>
            <w:r/>
            <w:r>
              <w:rPr>
                <w:sz w:val="16"/>
              </w:rPr>
              <w:t>cashflows</w:t>
            </w:r>
          </w:p>
        </w:tc>
        <w:tc>
          <w:tcPr>
            <w:tcW w:type="dxa" w:w="2573"/>
          </w:tcPr>
          <w:p>
            <w:pPr>
              <w:spacing w:after="0"/>
            </w:pPr>
            <w:r/>
            <w:r>
              <w:rPr>
                <w:sz w:val="16"/>
              </w:rPr>
              <w:t>BEFORE INSERT OR UPDATE OR DELETE, FOR EACH ROW</w:t>
            </w:r>
          </w:p>
        </w:tc>
        <w:tc>
          <w:tcPr>
            <w:tcW w:type="dxa" w:w="2444"/>
          </w:tcPr>
          <w:p>
            <w:pPr>
              <w:spacing w:after="0"/>
            </w:pPr>
            <w:r/>
            <w:r>
              <w:rPr>
                <w:sz w:val="16"/>
              </w:rPr>
              <w:t>enforce_cashflow_contract</w:t>
            </w:r>
          </w:p>
        </w:tc>
      </w:tr>
      <w:tr>
        <w:trPr>
          <w:cantSplit/>
        </w:trPr>
        <w:tc>
          <w:tcPr>
            <w:tcW w:type="dxa" w:w="2830"/>
          </w:tcPr>
          <w:p>
            <w:pPr>
              <w:spacing w:after="0"/>
            </w:pPr>
            <w:r/>
            <w:r>
              <w:rPr>
                <w:sz w:val="16"/>
              </w:rPr>
              <w:t>sales_order_items_snapshot_immutable</w:t>
            </w:r>
          </w:p>
        </w:tc>
        <w:tc>
          <w:tcPr>
            <w:tcW w:type="dxa" w:w="1801"/>
          </w:tcPr>
          <w:p>
            <w:pPr>
              <w:spacing w:after="0"/>
            </w:pPr>
            <w:r/>
            <w:r>
              <w:rPr>
                <w:sz w:val="16"/>
              </w:rPr>
              <w:t>sales_order_items</w:t>
            </w:r>
          </w:p>
        </w:tc>
        <w:tc>
          <w:tcPr>
            <w:tcW w:type="dxa" w:w="2573"/>
          </w:tcPr>
          <w:p>
            <w:pPr>
              <w:spacing w:after="0"/>
            </w:pPr>
            <w:r/>
            <w:r>
              <w:rPr>
                <w:sz w:val="16"/>
              </w:rPr>
              <w:t>BEFORE UPDATE, FOR EACH ROW</w:t>
            </w:r>
          </w:p>
        </w:tc>
        <w:tc>
          <w:tcPr>
            <w:tcW w:type="dxa" w:w="2444"/>
          </w:tcPr>
          <w:p>
            <w:pPr>
              <w:spacing w:after="0"/>
            </w:pPr>
            <w:r/>
            <w:r>
              <w:rPr>
                <w:sz w:val="16"/>
              </w:rPr>
              <w:t>sales_order_items_snapshot_guard</w:t>
            </w:r>
          </w:p>
        </w:tc>
      </w:tr>
    </w:tbl>
    <w:p>
      <w:pPr>
        <w:spacing w:after="200"/>
      </w:pPr>
      <w:r>
        <w:rPr>
          <w:i/>
          <w:color w:val="555F6D"/>
          <w:sz w:val="17"/>
        </w:rPr>
        <w:t>Table 54. Triggers</w:t>
      </w:r>
    </w:p>
    <w:p>
      <w:bookmarkStart w:id="1094" w:name="_Toc1094"/>
      <w:pPr>
        <w:pStyle w:val="Heading2"/>
      </w:pPr>
      <w:r>
        <w:t>17.3 Indexes of operational significance</w:t>
      </w:r>
      <w:bookmarkEnd w:id="1094"/>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4176"/>
            <w:shd w:val="clear" w:color="auto" w:fill="1F3A5F"/>
          </w:tcPr>
          <w:p>
            <w:pPr>
              <w:spacing w:after="0"/>
            </w:pPr>
            <w:r/>
            <w:r>
              <w:rPr>
                <w:b/>
                <w:color w:val="FFFFFF"/>
                <w:sz w:val="15"/>
              </w:rPr>
              <w:t>Index</w:t>
            </w:r>
          </w:p>
        </w:tc>
        <w:tc>
          <w:tcPr>
            <w:tcW w:type="dxa" w:w="2016"/>
            <w:shd w:val="clear" w:color="auto" w:fill="1F3A5F"/>
          </w:tcPr>
          <w:p>
            <w:pPr>
              <w:spacing w:after="0"/>
            </w:pPr>
            <w:r/>
            <w:r>
              <w:rPr>
                <w:b/>
                <w:color w:val="FFFFFF"/>
                <w:sz w:val="15"/>
              </w:rPr>
              <w:t>Table</w:t>
            </w:r>
          </w:p>
        </w:tc>
        <w:tc>
          <w:tcPr>
            <w:tcW w:type="dxa" w:w="3168"/>
            <w:shd w:val="clear" w:color="auto" w:fill="1F3A5F"/>
          </w:tcPr>
          <w:p>
            <w:pPr>
              <w:spacing w:after="0"/>
            </w:pPr>
            <w:r/>
            <w:r>
              <w:rPr>
                <w:b/>
                <w:color w:val="FFFFFF"/>
                <w:sz w:val="15"/>
              </w:rPr>
              <w:t>Why it matters</w:t>
            </w:r>
          </w:p>
        </w:tc>
      </w:tr>
      <w:tr>
        <w:trPr>
          <w:cantSplit/>
        </w:trPr>
        <w:tc>
          <w:tcPr>
            <w:tcW w:type="dxa" w:w="4176"/>
          </w:tcPr>
          <w:p>
            <w:pPr>
              <w:spacing w:after="0"/>
            </w:pPr>
            <w:r/>
            <w:r>
              <w:rPr>
                <w:sz w:val="15"/>
              </w:rPr>
              <w:t>sales_orders (customer_id, status, order_date)</w:t>
            </w:r>
          </w:p>
        </w:tc>
        <w:tc>
          <w:tcPr>
            <w:tcW w:type="dxa" w:w="2016"/>
          </w:tcPr>
          <w:p>
            <w:pPr>
              <w:spacing w:after="0"/>
            </w:pPr>
            <w:r/>
            <w:r>
              <w:rPr>
                <w:sz w:val="15"/>
              </w:rPr>
              <w:t>sales_orders</w:t>
            </w:r>
          </w:p>
        </w:tc>
        <w:tc>
          <w:tcPr>
            <w:tcW w:type="dxa" w:w="3168"/>
          </w:tcPr>
          <w:p>
            <w:pPr>
              <w:spacing w:after="0"/>
            </w:pPr>
            <w:r/>
            <w:r>
              <w:rPr>
                <w:sz w:val="15"/>
              </w:rPr>
              <w:t>Receivables and order lists</w:t>
            </w:r>
          </w:p>
        </w:tc>
      </w:tr>
      <w:tr>
        <w:trPr>
          <w:cantSplit/>
        </w:trPr>
        <w:tc>
          <w:tcPr>
            <w:tcW w:type="dxa" w:w="4176"/>
          </w:tcPr>
          <w:p>
            <w:pPr>
              <w:spacing w:after="0"/>
            </w:pPr>
            <w:r/>
            <w:r>
              <w:rPr>
                <w:sz w:val="15"/>
              </w:rPr>
              <w:t>invoices (customer_id, status, due_date)</w:t>
            </w:r>
          </w:p>
        </w:tc>
        <w:tc>
          <w:tcPr>
            <w:tcW w:type="dxa" w:w="2016"/>
          </w:tcPr>
          <w:p>
            <w:pPr>
              <w:spacing w:after="0"/>
            </w:pPr>
            <w:r/>
            <w:r>
              <w:rPr>
                <w:sz w:val="15"/>
              </w:rPr>
              <w:t>invoices</w:t>
            </w:r>
          </w:p>
        </w:tc>
        <w:tc>
          <w:tcPr>
            <w:tcW w:type="dxa" w:w="3168"/>
          </w:tcPr>
          <w:p>
            <w:pPr>
              <w:spacing w:after="0"/>
            </w:pPr>
            <w:r/>
            <w:r>
              <w:rPr>
                <w:sz w:val="15"/>
              </w:rPr>
              <w:t>Aging and overdue scans</w:t>
            </w:r>
          </w:p>
        </w:tc>
      </w:tr>
      <w:tr>
        <w:trPr>
          <w:cantSplit/>
        </w:trPr>
        <w:tc>
          <w:tcPr>
            <w:tcW w:type="dxa" w:w="4176"/>
          </w:tcPr>
          <w:p>
            <w:pPr>
              <w:spacing w:after="0"/>
            </w:pPr>
            <w:r/>
            <w:r>
              <w:rPr>
                <w:sz w:val="15"/>
              </w:rPr>
              <w:t>stocks UNIQUE (product_id, warehouse_id)</w:t>
            </w:r>
          </w:p>
        </w:tc>
        <w:tc>
          <w:tcPr>
            <w:tcW w:type="dxa" w:w="2016"/>
          </w:tcPr>
          <w:p>
            <w:pPr>
              <w:spacing w:after="0"/>
            </w:pPr>
            <w:r/>
            <w:r>
              <w:rPr>
                <w:sz w:val="15"/>
              </w:rPr>
              <w:t>stocks</w:t>
            </w:r>
          </w:p>
        </w:tc>
        <w:tc>
          <w:tcPr>
            <w:tcW w:type="dxa" w:w="3168"/>
          </w:tcPr>
          <w:p>
            <w:pPr>
              <w:spacing w:after="0"/>
            </w:pPr>
            <w:r/>
            <w:r>
              <w:rPr>
                <w:sz w:val="15"/>
              </w:rPr>
              <w:t>One row per product per warehouse; also the lock target</w:t>
            </w:r>
          </w:p>
        </w:tc>
      </w:tr>
      <w:tr>
        <w:trPr>
          <w:cantSplit/>
        </w:trPr>
        <w:tc>
          <w:tcPr>
            <w:tcW w:type="dxa" w:w="4176"/>
          </w:tcPr>
          <w:p>
            <w:pPr>
              <w:spacing w:after="0"/>
            </w:pPr>
            <w:r/>
            <w:r>
              <w:rPr>
                <w:sz w:val="15"/>
              </w:rPr>
              <w:t>stock_movements (reference_type, reference_id)</w:t>
            </w:r>
          </w:p>
        </w:tc>
        <w:tc>
          <w:tcPr>
            <w:tcW w:type="dxa" w:w="2016"/>
          </w:tcPr>
          <w:p>
            <w:pPr>
              <w:spacing w:after="0"/>
            </w:pPr>
            <w:r/>
            <w:r>
              <w:rPr>
                <w:sz w:val="15"/>
              </w:rPr>
              <w:t>stock_movements</w:t>
            </w:r>
          </w:p>
        </w:tc>
        <w:tc>
          <w:tcPr>
            <w:tcW w:type="dxa" w:w="3168"/>
          </w:tcPr>
          <w:p>
            <w:pPr>
              <w:spacing w:after="0"/>
            </w:pPr>
            <w:r/>
            <w:r>
              <w:rPr>
                <w:sz w:val="15"/>
              </w:rPr>
              <w:t>Trace a movement back to its document</w:t>
            </w:r>
          </w:p>
        </w:tc>
      </w:tr>
      <w:tr>
        <w:trPr>
          <w:cantSplit/>
        </w:trPr>
        <w:tc>
          <w:tcPr>
            <w:tcW w:type="dxa" w:w="4176"/>
          </w:tcPr>
          <w:p>
            <w:pPr>
              <w:spacing w:after="0"/>
            </w:pPr>
            <w:r/>
            <w:r>
              <w:rPr>
                <w:sz w:val="15"/>
              </w:rPr>
              <w:t>document_number_sequences PK (prefix, doc_date)</w:t>
            </w:r>
          </w:p>
        </w:tc>
        <w:tc>
          <w:tcPr>
            <w:tcW w:type="dxa" w:w="2016"/>
          </w:tcPr>
          <w:p>
            <w:pPr>
              <w:spacing w:after="0"/>
            </w:pPr>
            <w:r/>
            <w:r>
              <w:rPr>
                <w:sz w:val="15"/>
              </w:rPr>
              <w:t>document_number_sequences</w:t>
            </w:r>
          </w:p>
        </w:tc>
        <w:tc>
          <w:tcPr>
            <w:tcW w:type="dxa" w:w="3168"/>
          </w:tcPr>
          <w:p>
            <w:pPr>
              <w:spacing w:after="0"/>
            </w:pPr>
            <w:r/>
            <w:r>
              <w:rPr>
                <w:sz w:val="15"/>
              </w:rPr>
              <w:t>The atomic allocator's conflict target</w:t>
            </w:r>
          </w:p>
        </w:tc>
      </w:tr>
      <w:tr>
        <w:trPr>
          <w:cantSplit/>
        </w:trPr>
        <w:tc>
          <w:tcPr>
            <w:tcW w:type="dxa" w:w="4176"/>
          </w:tcPr>
          <w:p>
            <w:pPr>
              <w:spacing w:after="0"/>
            </w:pPr>
            <w:r/>
            <w:r>
              <w:rPr>
                <w:sz w:val="15"/>
              </w:rPr>
              <w:t>payments (payable_type, payable_id)</w:t>
            </w:r>
          </w:p>
        </w:tc>
        <w:tc>
          <w:tcPr>
            <w:tcW w:type="dxa" w:w="2016"/>
          </w:tcPr>
          <w:p>
            <w:pPr>
              <w:spacing w:after="0"/>
            </w:pPr>
            <w:r/>
            <w:r>
              <w:rPr>
                <w:sz w:val="15"/>
              </w:rPr>
              <w:t>payments</w:t>
            </w:r>
          </w:p>
        </w:tc>
        <w:tc>
          <w:tcPr>
            <w:tcW w:type="dxa" w:w="3168"/>
          </w:tcPr>
          <w:p>
            <w:pPr>
              <w:spacing w:after="0"/>
            </w:pPr>
            <w:r/>
            <w:r>
              <w:rPr>
                <w:sz w:val="15"/>
              </w:rPr>
              <w:t>Polymorphic payable lookup</w:t>
            </w:r>
          </w:p>
        </w:tc>
      </w:tr>
      <w:tr>
        <w:trPr>
          <w:cantSplit/>
        </w:trPr>
        <w:tc>
          <w:tcPr>
            <w:tcW w:type="dxa" w:w="4176"/>
          </w:tcPr>
          <w:p>
            <w:pPr>
              <w:spacing w:after="0"/>
            </w:pPr>
            <w:r/>
            <w:r>
              <w:rPr>
                <w:sz w:val="15"/>
              </w:rPr>
              <w:t>cashflows (type, transaction_date)</w:t>
            </w:r>
          </w:p>
        </w:tc>
        <w:tc>
          <w:tcPr>
            <w:tcW w:type="dxa" w:w="2016"/>
          </w:tcPr>
          <w:p>
            <w:pPr>
              <w:spacing w:after="0"/>
            </w:pPr>
            <w:r/>
            <w:r>
              <w:rPr>
                <w:sz w:val="15"/>
              </w:rPr>
              <w:t>cashflows</w:t>
            </w:r>
          </w:p>
        </w:tc>
        <w:tc>
          <w:tcPr>
            <w:tcW w:type="dxa" w:w="3168"/>
          </w:tcPr>
          <w:p>
            <w:pPr>
              <w:spacing w:after="0"/>
            </w:pPr>
            <w:r/>
            <w:r>
              <w:rPr>
                <w:sz w:val="15"/>
              </w:rPr>
              <w:t>Cash statement range scans</w:t>
            </w:r>
          </w:p>
        </w:tc>
      </w:tr>
      <w:tr>
        <w:trPr>
          <w:cantSplit/>
        </w:trPr>
        <w:tc>
          <w:tcPr>
            <w:tcW w:type="dxa" w:w="4176"/>
          </w:tcPr>
          <w:p>
            <w:pPr>
              <w:spacing w:after="0"/>
            </w:pPr>
            <w:r/>
            <w:r>
              <w:rPr>
                <w:sz w:val="15"/>
              </w:rPr>
              <w:t>activity_logs (module, action, created_at), (model_type, model_id)</w:t>
            </w:r>
          </w:p>
        </w:tc>
        <w:tc>
          <w:tcPr>
            <w:tcW w:type="dxa" w:w="2016"/>
          </w:tcPr>
          <w:p>
            <w:pPr>
              <w:spacing w:after="0"/>
            </w:pPr>
            <w:r/>
            <w:r>
              <w:rPr>
                <w:sz w:val="15"/>
              </w:rPr>
              <w:t>activity_logs</w:t>
            </w:r>
          </w:p>
        </w:tc>
        <w:tc>
          <w:tcPr>
            <w:tcW w:type="dxa" w:w="3168"/>
          </w:tcPr>
          <w:p>
            <w:pPr>
              <w:spacing w:after="0"/>
            </w:pPr>
            <w:r/>
            <w:r>
              <w:rPr>
                <w:sz w:val="15"/>
              </w:rPr>
              <w:t>Audit search</w:t>
            </w:r>
          </w:p>
        </w:tc>
      </w:tr>
      <w:tr>
        <w:trPr>
          <w:cantSplit/>
        </w:trPr>
        <w:tc>
          <w:tcPr>
            <w:tcW w:type="dxa" w:w="4176"/>
          </w:tcPr>
          <w:p>
            <w:pPr>
              <w:spacing w:after="0"/>
            </w:pPr>
            <w:r/>
            <w:r>
              <w:rPr>
                <w:sz w:val="15"/>
              </w:rPr>
              <w:t>attendances UNIQUE (employee_id, attendance_date)</w:t>
            </w:r>
          </w:p>
        </w:tc>
        <w:tc>
          <w:tcPr>
            <w:tcW w:type="dxa" w:w="2016"/>
          </w:tcPr>
          <w:p>
            <w:pPr>
              <w:spacing w:after="0"/>
            </w:pPr>
            <w:r/>
            <w:r>
              <w:rPr>
                <w:sz w:val="15"/>
              </w:rPr>
              <w:t>attendances</w:t>
            </w:r>
          </w:p>
        </w:tc>
        <w:tc>
          <w:tcPr>
            <w:tcW w:type="dxa" w:w="3168"/>
          </w:tcPr>
          <w:p>
            <w:pPr>
              <w:spacing w:after="0"/>
            </w:pPr>
            <w:r/>
            <w:r>
              <w:rPr>
                <w:sz w:val="15"/>
              </w:rPr>
              <w:t>One attendance per employee per day</w:t>
            </w:r>
          </w:p>
        </w:tc>
      </w:tr>
      <w:tr>
        <w:trPr>
          <w:cantSplit/>
        </w:trPr>
        <w:tc>
          <w:tcPr>
            <w:tcW w:type="dxa" w:w="4176"/>
          </w:tcPr>
          <w:p>
            <w:pPr>
              <w:spacing w:after="0"/>
            </w:pPr>
            <w:r/>
            <w:r>
              <w:rPr>
                <w:sz w:val="15"/>
              </w:rPr>
              <w:t>payrolls UNIQUE (employee_id, period_month, period_year)</w:t>
            </w:r>
          </w:p>
        </w:tc>
        <w:tc>
          <w:tcPr>
            <w:tcW w:type="dxa" w:w="2016"/>
          </w:tcPr>
          <w:p>
            <w:pPr>
              <w:spacing w:after="0"/>
            </w:pPr>
            <w:r/>
            <w:r>
              <w:rPr>
                <w:sz w:val="15"/>
              </w:rPr>
              <w:t>payrolls</w:t>
            </w:r>
          </w:p>
        </w:tc>
        <w:tc>
          <w:tcPr>
            <w:tcW w:type="dxa" w:w="3168"/>
          </w:tcPr>
          <w:p>
            <w:pPr>
              <w:spacing w:after="0"/>
            </w:pPr>
            <w:r/>
            <w:r>
              <w:rPr>
                <w:sz w:val="15"/>
              </w:rPr>
              <w:t>One payroll per employee per period</w:t>
            </w:r>
          </w:p>
        </w:tc>
      </w:tr>
      <w:tr>
        <w:trPr>
          <w:cantSplit/>
        </w:trPr>
        <w:tc>
          <w:tcPr>
            <w:tcW w:type="dxa" w:w="4176"/>
          </w:tcPr>
          <w:p>
            <w:pPr>
              <w:spacing w:after="0"/>
            </w:pPr>
            <w:r/>
            <w:r>
              <w:rPr>
                <w:sz w:val="15"/>
              </w:rPr>
              <w:t>report_templates UNIQUE (report_code, version) + partial default index</w:t>
            </w:r>
          </w:p>
        </w:tc>
        <w:tc>
          <w:tcPr>
            <w:tcW w:type="dxa" w:w="2016"/>
          </w:tcPr>
          <w:p>
            <w:pPr>
              <w:spacing w:after="0"/>
            </w:pPr>
            <w:r/>
            <w:r>
              <w:rPr>
                <w:sz w:val="15"/>
              </w:rPr>
              <w:t>report_templates</w:t>
            </w:r>
          </w:p>
        </w:tc>
        <w:tc>
          <w:tcPr>
            <w:tcW w:type="dxa" w:w="3168"/>
          </w:tcPr>
          <w:p>
            <w:pPr>
              <w:spacing w:after="0"/>
            </w:pPr>
            <w:r/>
            <w:r>
              <w:rPr>
                <w:sz w:val="15"/>
              </w:rPr>
              <w:t>Template versioning and active lookup</w:t>
            </w:r>
          </w:p>
        </w:tc>
      </w:tr>
      <w:tr>
        <w:trPr>
          <w:cantSplit/>
        </w:trPr>
        <w:tc>
          <w:tcPr>
            <w:tcW w:type="dxa" w:w="4176"/>
          </w:tcPr>
          <w:p>
            <w:pPr>
              <w:spacing w:after="0"/>
            </w:pPr>
            <w:r/>
            <w:r>
              <w:rPr>
                <w:sz w:val="15"/>
              </w:rPr>
              <w:t>idx_report_templates_code_status</w:t>
            </w:r>
          </w:p>
        </w:tc>
        <w:tc>
          <w:tcPr>
            <w:tcW w:type="dxa" w:w="2016"/>
          </w:tcPr>
          <w:p>
            <w:pPr>
              <w:spacing w:after="0"/>
            </w:pPr>
            <w:r/>
            <w:r>
              <w:rPr>
                <w:sz w:val="15"/>
              </w:rPr>
              <w:t>report_templates</w:t>
            </w:r>
          </w:p>
        </w:tc>
        <w:tc>
          <w:tcPr>
            <w:tcW w:type="dxa" w:w="3168"/>
          </w:tcPr>
          <w:p>
            <w:pPr>
              <w:spacing w:after="0"/>
            </w:pPr>
            <w:r/>
            <w:r>
              <w:rPr>
                <w:sz w:val="15"/>
              </w:rPr>
              <w:t>Listing templates by code and status</w:t>
            </w:r>
          </w:p>
        </w:tc>
      </w:tr>
    </w:tbl>
    <w:p>
      <w:pPr>
        <w:spacing w:after="200"/>
      </w:pPr>
      <w:r>
        <w:rPr>
          <w:i/>
          <w:color w:val="555F6D"/>
          <w:sz w:val="17"/>
        </w:rPr>
        <w:t>Table 55. Indexes that carry business meaning</w:t>
      </w:r>
    </w:p>
    <w:p>
      <w:r>
        <w:rPr>
          <w:i w:val="0"/>
        </w:rPr>
        <w:t>The complete index list (269 entries) is in docs/audit/raw/indexes.csv and summarised per table in Appendix C.</w:t>
      </w:r>
    </w:p>
    <w:p>
      <w:bookmarkStart w:id="1095" w:name="_Toc1095"/>
      <w:pPr>
        <w:pStyle w:val="Heading2"/>
      </w:pPr>
      <w:r>
        <w:t>17.4 Constraints</w:t>
      </w:r>
      <w:bookmarkEnd w:id="1095"/>
    </w:p>
    <w:p>
      <w:r>
        <w:rPr>
          <w:i w:val="0"/>
        </w:rPr>
        <w:t>112 check constraints encode the state vocabularies. The most consequential: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1728"/>
            <w:shd w:val="clear" w:color="auto" w:fill="1F3A5F"/>
          </w:tcPr>
          <w:p>
            <w:pPr>
              <w:spacing w:after="0"/>
            </w:pPr>
            <w:r/>
            <w:r>
              <w:rPr>
                <w:b/>
                <w:color w:val="FFFFFF"/>
                <w:sz w:val="15"/>
              </w:rPr>
              <w:t>Table</w:t>
            </w:r>
          </w:p>
        </w:tc>
        <w:tc>
          <w:tcPr>
            <w:tcW w:type="dxa" w:w="3168"/>
            <w:shd w:val="clear" w:color="auto" w:fill="1F3A5F"/>
          </w:tcPr>
          <w:p>
            <w:pPr>
              <w:spacing w:after="0"/>
            </w:pPr>
            <w:r/>
            <w:r>
              <w:rPr>
                <w:b/>
                <w:color w:val="FFFFFF"/>
                <w:sz w:val="15"/>
              </w:rPr>
              <w:t>Constraint</w:t>
            </w:r>
          </w:p>
        </w:tc>
        <w:tc>
          <w:tcPr>
            <w:tcW w:type="dxa" w:w="4464"/>
            <w:shd w:val="clear" w:color="auto" w:fill="1F3A5F"/>
          </w:tcPr>
          <w:p>
            <w:pPr>
              <w:spacing w:after="0"/>
            </w:pPr>
            <w:r/>
            <w:r>
              <w:rPr>
                <w:b/>
                <w:color w:val="FFFFFF"/>
                <w:sz w:val="15"/>
              </w:rPr>
              <w:t>Permitted values</w:t>
            </w:r>
          </w:p>
        </w:tc>
      </w:tr>
      <w:tr>
        <w:trPr>
          <w:cantSplit/>
        </w:trPr>
        <w:tc>
          <w:tcPr>
            <w:tcW w:type="dxa" w:w="1728"/>
          </w:tcPr>
          <w:p>
            <w:pPr>
              <w:spacing w:after="0"/>
            </w:pPr>
            <w:r/>
            <w:r>
              <w:rPr>
                <w:sz w:val="15"/>
              </w:rPr>
              <w:t>sales_orders</w:t>
            </w:r>
          </w:p>
        </w:tc>
        <w:tc>
          <w:tcPr>
            <w:tcW w:type="dxa" w:w="3168"/>
          </w:tcPr>
          <w:p>
            <w:pPr>
              <w:spacing w:after="0"/>
            </w:pPr>
            <w:r/>
            <w:r>
              <w:rPr>
                <w:sz w:val="15"/>
              </w:rPr>
              <w:t>sales_orders_status_check</w:t>
            </w:r>
          </w:p>
        </w:tc>
        <w:tc>
          <w:tcPr>
            <w:tcW w:type="dxa" w:w="4464"/>
          </w:tcPr>
          <w:p>
            <w:pPr>
              <w:spacing w:after="0"/>
            </w:pPr>
            <w:r/>
            <w:r>
              <w:rPr>
                <w:sz w:val="15"/>
              </w:rPr>
              <w:t>draft, pending_approval, confirmed, picking, shipped, delivered, invoiced, paid, cancelled</w:t>
            </w:r>
          </w:p>
        </w:tc>
      </w:tr>
      <w:tr>
        <w:trPr>
          <w:cantSplit/>
        </w:trPr>
        <w:tc>
          <w:tcPr>
            <w:tcW w:type="dxa" w:w="1728"/>
          </w:tcPr>
          <w:p>
            <w:pPr>
              <w:spacing w:after="0"/>
            </w:pPr>
            <w:r/>
            <w:r>
              <w:rPr>
                <w:sz w:val="15"/>
              </w:rPr>
              <w:t>sales_orders</w:t>
            </w:r>
          </w:p>
        </w:tc>
        <w:tc>
          <w:tcPr>
            <w:tcW w:type="dxa" w:w="3168"/>
          </w:tcPr>
          <w:p>
            <w:pPr>
              <w:spacing w:after="0"/>
            </w:pPr>
            <w:r/>
            <w:r>
              <w:rPr>
                <w:sz w:val="15"/>
              </w:rPr>
              <w:t>sales_orders_order_type_check</w:t>
            </w:r>
          </w:p>
        </w:tc>
        <w:tc>
          <w:tcPr>
            <w:tcW w:type="dxa" w:w="4464"/>
          </w:tcPr>
          <w:p>
            <w:pPr>
              <w:spacing w:after="0"/>
            </w:pPr>
            <w:r/>
            <w:r>
              <w:rPr>
                <w:sz w:val="15"/>
              </w:rPr>
              <w:t>regular, pos, consignment, ecommerce</w:t>
            </w:r>
          </w:p>
        </w:tc>
      </w:tr>
      <w:tr>
        <w:trPr>
          <w:cantSplit/>
        </w:trPr>
        <w:tc>
          <w:tcPr>
            <w:tcW w:type="dxa" w:w="1728"/>
          </w:tcPr>
          <w:p>
            <w:pPr>
              <w:spacing w:after="0"/>
            </w:pPr>
            <w:r/>
            <w:r>
              <w:rPr>
                <w:sz w:val="15"/>
              </w:rPr>
              <w:t>sales_orders</w:t>
            </w:r>
          </w:p>
        </w:tc>
        <w:tc>
          <w:tcPr>
            <w:tcW w:type="dxa" w:w="3168"/>
          </w:tcPr>
          <w:p>
            <w:pPr>
              <w:spacing w:after="0"/>
            </w:pPr>
            <w:r/>
            <w:r>
              <w:rPr>
                <w:sz w:val="15"/>
              </w:rPr>
              <w:t>sales_orders_source_type_check</w:t>
            </w:r>
          </w:p>
        </w:tc>
        <w:tc>
          <w:tcPr>
            <w:tcW w:type="dxa" w:w="4464"/>
          </w:tcPr>
          <w:p>
            <w:pPr>
              <w:spacing w:after="0"/>
            </w:pPr>
            <w:r/>
            <w:r>
              <w:rPr>
                <w:sz w:val="15"/>
              </w:rPr>
              <w:t>NOO, EC, AO (NULL allowed)</w:t>
            </w:r>
          </w:p>
        </w:tc>
      </w:tr>
      <w:tr>
        <w:trPr>
          <w:cantSplit/>
        </w:trPr>
        <w:tc>
          <w:tcPr>
            <w:tcW w:type="dxa" w:w="1728"/>
          </w:tcPr>
          <w:p>
            <w:pPr>
              <w:spacing w:after="0"/>
            </w:pPr>
            <w:r/>
            <w:r>
              <w:rPr>
                <w:sz w:val="15"/>
              </w:rPr>
              <w:t>invoices</w:t>
            </w:r>
          </w:p>
        </w:tc>
        <w:tc>
          <w:tcPr>
            <w:tcW w:type="dxa" w:w="3168"/>
          </w:tcPr>
          <w:p>
            <w:pPr>
              <w:spacing w:after="0"/>
            </w:pPr>
            <w:r/>
            <w:r>
              <w:rPr>
                <w:sz w:val="15"/>
              </w:rPr>
              <w:t>invoices_status_check</w:t>
            </w:r>
          </w:p>
        </w:tc>
        <w:tc>
          <w:tcPr>
            <w:tcW w:type="dxa" w:w="4464"/>
          </w:tcPr>
          <w:p>
            <w:pPr>
              <w:spacing w:after="0"/>
            </w:pPr>
            <w:r/>
            <w:r>
              <w:rPr>
                <w:sz w:val="15"/>
              </w:rPr>
              <w:t>unpaid, partial, paid, overdue, cancelled</w:t>
            </w:r>
          </w:p>
        </w:tc>
      </w:tr>
      <w:tr>
        <w:trPr>
          <w:cantSplit/>
        </w:trPr>
        <w:tc>
          <w:tcPr>
            <w:tcW w:type="dxa" w:w="1728"/>
          </w:tcPr>
          <w:p>
            <w:pPr>
              <w:spacing w:after="0"/>
            </w:pPr>
            <w:r/>
            <w:r>
              <w:rPr>
                <w:sz w:val="15"/>
              </w:rPr>
              <w:t>users</w:t>
            </w:r>
          </w:p>
        </w:tc>
        <w:tc>
          <w:tcPr>
            <w:tcW w:type="dxa" w:w="3168"/>
          </w:tcPr>
          <w:p>
            <w:pPr>
              <w:spacing w:after="0"/>
            </w:pPr>
            <w:r/>
            <w:r>
              <w:rPr>
                <w:sz w:val="15"/>
              </w:rPr>
              <w:t>role validation</w:t>
            </w:r>
          </w:p>
        </w:tc>
        <w:tc>
          <w:tcPr>
            <w:tcW w:type="dxa" w:w="4464"/>
          </w:tcPr>
          <w:p>
            <w:pPr>
              <w:spacing w:after="0"/>
            </w:pPr>
            <w:r/>
            <w:r>
              <w:rPr>
                <w:sz w:val="15"/>
              </w:rPr>
              <w:t>Dropped in 000057; validated by internal/system validRole against AllRoles + the roles registry</w:t>
            </w:r>
          </w:p>
        </w:tc>
      </w:tr>
      <w:tr>
        <w:trPr>
          <w:cantSplit/>
        </w:trPr>
        <w:tc>
          <w:tcPr>
            <w:tcW w:type="dxa" w:w="1728"/>
          </w:tcPr>
          <w:p>
            <w:pPr>
              <w:spacing w:after="0"/>
            </w:pPr>
            <w:r/>
            <w:r>
              <w:rPr>
                <w:sz w:val="15"/>
              </w:rPr>
              <w:t>stocks</w:t>
            </w:r>
          </w:p>
        </w:tc>
        <w:tc>
          <w:tcPr>
            <w:tcW w:type="dxa" w:w="3168"/>
          </w:tcPr>
          <w:p>
            <w:pPr>
              <w:spacing w:after="0"/>
            </w:pPr>
            <w:r/>
            <w:r>
              <w:rPr>
                <w:sz w:val="15"/>
              </w:rPr>
              <w:t>quantity / reserved bounds</w:t>
            </w:r>
          </w:p>
        </w:tc>
        <w:tc>
          <w:tcPr>
            <w:tcW w:type="dxa" w:w="4464"/>
          </w:tcPr>
          <w:p>
            <w:pPr>
              <w:spacing w:after="0"/>
            </w:pPr>
            <w:r/>
            <w:r>
              <w:rPr>
                <w:sz w:val="15"/>
              </w:rPr>
              <w:t>No CHECK on sign; negative stock is a service-level policy (ALLOW_NEGATIVE_STOCK)</w:t>
            </w:r>
          </w:p>
        </w:tc>
      </w:tr>
    </w:tbl>
    <w:p>
      <w:pPr>
        <w:spacing w:after="200"/>
      </w:pPr>
      <w:r>
        <w:rPr>
          <w:i/>
          <w:color w:val="555F6D"/>
          <w:sz w:val="17"/>
        </w:rPr>
        <w:t>Table 56. State vocabularies enforced by CHECK constraints</w:t>
      </w:r>
    </w:p>
    <w:p>
      <w:bookmarkStart w:id="1096" w:name="_Toc1096"/>
      <w:pPr>
        <w:pStyle w:val="Heading2"/>
      </w:pPr>
      <w:r>
        <w:t>17.5 Sequences, extensions, views, RLS</w:t>
      </w:r>
      <w:bookmarkEnd w:id="1096"/>
    </w:p>
    <w:p>
      <w:pPr>
        <w:pStyle w:val="ListBullet"/>
      </w:pPr>
      <w:r>
        <w:t>82 BIGSERIAL sequences back the surrogate ids. Document numbers do not use sequences.</w:t>
      </w:r>
    </w:p>
    <w:p>
      <w:pPr>
        <w:pStyle w:val="ListBullet"/>
      </w:pPr>
      <w:r>
        <w:t>The only extension is plpgsql (installed by default).</w:t>
      </w:r>
    </w:p>
    <w:p>
      <w:pPr>
        <w:pStyle w:val="ListBullet"/>
      </w:pPr>
      <w:r>
        <w:t>There are no views, no materialized views, no enum types, no domains and no RLS policies.</w:t>
      </w:r>
    </w:p>
    <w:p>
      <w:pPr>
        <w:pStyle w:val="ListBullet"/>
      </w:pPr>
      <w:r>
        <w:t>No database roles or grants beyond the owner are created by the migrations.</w:t>
      </w:r>
    </w:p>
    <w:p>
      <w:bookmarkStart w:id="1097" w:name="_Toc1097"/>
      <w:pPr>
        <w:pStyle w:val="Heading1"/>
        <w:pageBreakBefore/>
      </w:pPr>
      <w:r>
        <w:t>18. Full database data dictionary</w:t>
      </w:r>
      <w:bookmarkEnd w:id="1097"/>
    </w:p>
    <w:p>
      <w:r>
        <w:rPr>
          <w:i w:val="0"/>
        </w:rPr>
        <w:t>Every column of every table, in ordinal order, with its exact type, nullability, default and the constraint/index context of its table. Column meaning is taken from migration comments, service validation and query usage; where the source does not establish a meaning, the note says 'Meaning not verified beyond type/default' rather than inventing one. Tables are grouped by domain and set in landscape so no row is clipped.</w:t>
      </w:r>
    </w:p>
    <w:p>
      <w:pPr>
        <w:sectPr>
          <w:pgSz w:w="12240" w:h="15840"/>
          <w:pgMar w:top="1224" w:right="1296" w:bottom="1152" w:left="1296" w:header="720" w:footer="720" w:gutter="0"/>
          <w:cols w:space="720"/>
          <w:docGrid w:linePitch="360"/>
        </w:sectPr>
      </w:pPr>
    </w:p>
    <w:p>
      <w:bookmarkStart w:id="1098" w:name="_Toc1098"/>
      <w:pPr>
        <w:pStyle w:val="Heading2"/>
      </w:pPr>
      <w:r>
        <w:t>18.1 Auth</w:t>
      </w:r>
      <w:bookmarkEnd w:id="1098"/>
    </w:p>
    <w:p>
      <w:bookmarkStart w:id="1099" w:name="_Toc1099"/>
      <w:pPr>
        <w:pStyle w:val="Heading3"/>
      </w:pPr>
      <w:r>
        <w:t>password_reset_tokens — Single-use password reset token per email.</w:t>
      </w:r>
      <w:bookmarkEnd w:id="1099"/>
    </w:p>
    <w:p>
      <w:pPr>
        <w:spacing w:after="40"/>
      </w:pPr>
      <w:r>
        <w:rPr>
          <w:i w:val="0"/>
          <w:color w:val="555F6D"/>
          <w:sz w:val="16"/>
        </w:rPr>
        <w:t>3 columns. Classification: Framework/internal.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email</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token</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Opaque token or sha256 hash depending on table.</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00" w:name="_Toc1100"/>
      <w:pPr>
        <w:pStyle w:val="Heading3"/>
      </w:pPr>
      <w:r>
        <w:t>personal_access_tokens — Opaque bearer tokens (sha256 hash), expiry and last use.</w:t>
      </w:r>
      <w:bookmarkEnd w:id="1100"/>
    </w:p>
    <w:p>
      <w:pPr>
        <w:spacing w:after="40"/>
      </w:pPr>
      <w:r>
        <w:rPr>
          <w:i w:val="0"/>
          <w:color w:val="555F6D"/>
          <w:sz w:val="16"/>
        </w:rPr>
        <w:t>10 columns. Classification: Sensitive (PII/financial).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tokenable_type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tokenable_id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Foreign key reference.</w:t>
            </w:r>
          </w:p>
        </w:tc>
      </w:tr>
      <w:tr>
        <w:trPr>
          <w:cantSplit/>
        </w:trPr>
        <w:tc>
          <w:tcPr>
            <w:tcW w:type="dxa" w:w="2160"/>
          </w:tcPr>
          <w:p>
            <w:pPr>
              <w:spacing w:after="0"/>
            </w:pPr>
            <w:r/>
            <w:r>
              <w:rPr>
                <w:sz w:val="13"/>
              </w:rPr>
              <w:t>name</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token</w:t>
            </w:r>
          </w:p>
        </w:tc>
        <w:tc>
          <w:tcPr>
            <w:tcW w:type="dxa" w:w="2376"/>
          </w:tcPr>
          <w:p>
            <w:pPr>
              <w:spacing w:after="0"/>
            </w:pPr>
            <w:r/>
            <w:r>
              <w:rPr>
                <w:sz w:val="13"/>
              </w:rPr>
              <w:t>character varying(64)</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Opaque token or sha256 hash depending on table.</w:t>
            </w:r>
          </w:p>
        </w:tc>
      </w:tr>
      <w:tr>
        <w:trPr>
          <w:cantSplit/>
        </w:trPr>
        <w:tc>
          <w:tcPr>
            <w:tcW w:type="dxa" w:w="2160"/>
          </w:tcPr>
          <w:p>
            <w:pPr>
              <w:spacing w:after="0"/>
            </w:pPr>
            <w:r/>
            <w:r>
              <w:rPr>
                <w:sz w:val="13"/>
              </w:rPr>
              <w:t>abilities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last_used_at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expires_at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01" w:name="_Toc1101"/>
      <w:pPr>
        <w:pStyle w:val="Heading3"/>
      </w:pPr>
      <w:r>
        <w:t>role_permissions — Role → permission glob rows; the only role-permission source.</w:t>
      </w:r>
      <w:bookmarkEnd w:id="1101"/>
    </w:p>
    <w:p>
      <w:pPr>
        <w:spacing w:after="40"/>
      </w:pPr>
      <w:r>
        <w:rPr>
          <w:i w:val="0"/>
          <w:color w:val="555F6D"/>
          <w:sz w:val="16"/>
        </w:rPr>
        <w:t>3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role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permission</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02" w:name="_Toc1102"/>
      <w:pPr>
        <w:pStyle w:val="Heading3"/>
      </w:pPr>
      <w:r>
        <w:t>roles — Role registry (builtin + custom roles).</w:t>
      </w:r>
      <w:bookmarkEnd w:id="1102"/>
    </w:p>
    <w:p>
      <w:pPr>
        <w:spacing w:after="40"/>
      </w:pPr>
      <w:r>
        <w:rPr>
          <w:i w:val="0"/>
          <w:color w:val="555F6D"/>
          <w:sz w:val="16"/>
        </w:rPr>
        <w:t>4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name</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03" w:name="_Toc1103"/>
      <w:pPr>
        <w:pStyle w:val="Heading3"/>
      </w:pPr>
      <w:r>
        <w:t>users — Platform identity: role, per-user permission override, application_access.</w:t>
      </w:r>
      <w:bookmarkEnd w:id="1103"/>
    </w:p>
    <w:p>
      <w:pPr>
        <w:spacing w:after="40"/>
      </w:pPr>
      <w:r>
        <w:rPr>
          <w:i w:val="0"/>
          <w:color w:val="555F6D"/>
          <w:sz w:val="16"/>
        </w:rPr>
        <w:t>14 columns. Classification: Sensitive (PII/financial).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name</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email</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email_verified_at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password</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bcrypt hash (never plaintext).</w:t>
            </w:r>
          </w:p>
        </w:tc>
      </w:tr>
      <w:tr>
        <w:trPr>
          <w:cantSplit/>
        </w:trPr>
        <w:tc>
          <w:tcPr>
            <w:tcW w:type="dxa" w:w="2160"/>
          </w:tcPr>
          <w:p>
            <w:pPr>
              <w:spacing w:after="0"/>
            </w:pPr>
            <w:r/>
            <w:r>
              <w:rPr>
                <w:sz w:val="13"/>
              </w:rPr>
              <w:t>remember_token</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role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'employee'::text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permissions</w:t>
            </w:r>
          </w:p>
        </w:tc>
        <w:tc>
          <w:tcPr>
            <w:tcW w:type="dxa" w:w="2376"/>
          </w:tcPr>
          <w:p>
            <w:pPr>
              <w:spacing w:after="0"/>
            </w:pPr>
            <w:r/>
            <w:r>
              <w:rPr>
                <w:sz w:val="13"/>
              </w:rPr>
              <w:t>jsonb</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Per-user JSON override applied on top of role globs.</w:t>
            </w:r>
          </w:p>
        </w:tc>
      </w:tr>
      <w:tr>
        <w:trPr>
          <w:cantSplit/>
        </w:trPr>
        <w:tc>
          <w:tcPr>
            <w:tcW w:type="dxa" w:w="2160"/>
          </w:tcPr>
          <w:p>
            <w:pPr>
              <w:spacing w:after="0"/>
            </w:pPr>
            <w:r/>
            <w:r>
              <w:rPr>
                <w:sz w:val="13"/>
              </w:rPr>
              <w:t>is_active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last_login_at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avatar</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application_access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'erp'::text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04" w:name="_Toc1104"/>
      <w:pPr>
        <w:pStyle w:val="Heading2"/>
      </w:pPr>
      <w:r>
        <w:t>18.2 Tenancy</w:t>
      </w:r>
      <w:bookmarkEnd w:id="1104"/>
    </w:p>
    <w:p>
      <w:bookmarkStart w:id="1105" w:name="_Toc1105"/>
      <w:pPr>
        <w:pStyle w:val="Heading3"/>
      </w:pPr>
      <w:r>
        <w:t>store_users — User ↔ outlet membership used for tenant scoping.</w:t>
      </w:r>
      <w:bookmarkEnd w:id="1105"/>
    </w:p>
    <w:p>
      <w:pPr>
        <w:spacing w:after="40"/>
      </w:pPr>
      <w:r>
        <w:rPr>
          <w:i w:val="0"/>
          <w:color w:val="555F6D"/>
          <w:sz w:val="16"/>
        </w:rPr>
        <w:t>3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store_id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user_id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06" w:name="_Toc1106"/>
      <w:pPr>
        <w:pStyle w:val="Heading3"/>
      </w:pPr>
      <w:r>
        <w:t>stores — Outlet master; each outlet is bound to one warehouse.</w:t>
      </w:r>
      <w:bookmarkEnd w:id="1106"/>
    </w:p>
    <w:p>
      <w:pPr>
        <w:spacing w:after="40"/>
      </w:pPr>
      <w:r>
        <w:rPr>
          <w:i w:val="0"/>
          <w:color w:val="555F6D"/>
          <w:sz w:val="16"/>
        </w:rPr>
        <w:t>13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code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name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address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phone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is_active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latitude</w:t>
            </w:r>
          </w:p>
        </w:tc>
        <w:tc>
          <w:tcPr>
            <w:tcW w:type="dxa" w:w="2376"/>
          </w:tcPr>
          <w:p>
            <w:pPr>
              <w:spacing w:after="0"/>
            </w:pPr>
            <w:r/>
            <w:r>
              <w:rPr>
                <w:sz w:val="13"/>
              </w:rPr>
              <w:t>numeric(10,7)</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longitude</w:t>
            </w:r>
          </w:p>
        </w:tc>
        <w:tc>
          <w:tcPr>
            <w:tcW w:type="dxa" w:w="2376"/>
          </w:tcPr>
          <w:p>
            <w:pPr>
              <w:spacing w:after="0"/>
            </w:pPr>
            <w:r/>
            <w:r>
              <w:rPr>
                <w:sz w:val="13"/>
              </w:rPr>
              <w:t>numeric(11,7)</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location_note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warehouse_id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coordinate_precision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07" w:name="_Toc1107"/>
      <w:pPr>
        <w:pStyle w:val="Heading2"/>
      </w:pPr>
      <w:r>
        <w:t>18.3 Catalog</w:t>
      </w:r>
      <w:bookmarkEnd w:id="1107"/>
    </w:p>
    <w:p>
      <w:bookmarkStart w:id="1108" w:name="_Toc1108"/>
      <w:pPr>
        <w:pStyle w:val="Heading3"/>
      </w:pPr>
      <w:r>
        <w:t>brands — Product brand master (B2B filtering and catalog grouping).</w:t>
      </w:r>
      <w:bookmarkEnd w:id="1108"/>
    </w:p>
    <w:p>
      <w:pPr>
        <w:spacing w:after="40"/>
      </w:pPr>
      <w:r>
        <w:rPr>
          <w:i w:val="0"/>
          <w:color w:val="555F6D"/>
          <w:sz w:val="16"/>
        </w:rPr>
        <w:t>6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name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description</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is_active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09" w:name="_Toc1109"/>
      <w:pPr>
        <w:pStyle w:val="Heading3"/>
      </w:pPr>
      <w:r>
        <w:t>categories — Product category master; also drives product-code prefixes.</w:t>
      </w:r>
      <w:bookmarkEnd w:id="1109"/>
    </w:p>
    <w:p>
      <w:pPr>
        <w:spacing w:after="40"/>
      </w:pPr>
      <w:r>
        <w:rPr>
          <w:i w:val="0"/>
          <w:color w:val="555F6D"/>
          <w:sz w:val="16"/>
        </w:rPr>
        <w:t>6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name</w:t>
            </w:r>
          </w:p>
        </w:tc>
        <w:tc>
          <w:tcPr>
            <w:tcW w:type="dxa" w:w="2376"/>
          </w:tcPr>
          <w:p>
            <w:pPr>
              <w:spacing w:after="0"/>
            </w:pPr>
            <w:r/>
            <w:r>
              <w:rPr>
                <w:sz w:val="13"/>
              </w:rPr>
              <w:t>character varying(100)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description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is_active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10" w:name="_Toc1110"/>
      <w:pPr>
        <w:pStyle w:val="Heading3"/>
      </w:pPr>
      <w:r>
        <w:t>product_barcodes — Barcodes per product (and optional per unit) for scanning.</w:t>
      </w:r>
      <w:bookmarkEnd w:id="1110"/>
    </w:p>
    <w:p>
      <w:pPr>
        <w:spacing w:after="40"/>
      </w:pPr>
      <w:r>
        <w:rPr>
          <w:i w:val="0"/>
          <w:color w:val="555F6D"/>
          <w:sz w:val="16"/>
        </w:rPr>
        <w:t>7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product_id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product_unit_id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barcode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is_primary</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false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11" w:name="_Toc1111"/>
      <w:pPr>
        <w:pStyle w:val="Heading3"/>
      </w:pPr>
      <w:r>
        <w:t>product_units — Per-product unit configurations with conversion factor and price.</w:t>
      </w:r>
      <w:bookmarkEnd w:id="1111"/>
    </w:p>
    <w:p>
      <w:pPr>
        <w:spacing w:after="40"/>
      </w:pPr>
      <w:r>
        <w:rPr>
          <w:i w:val="0"/>
          <w:color w:val="555F6D"/>
          <w:sz w:val="16"/>
        </w:rPr>
        <w:t>10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product_id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unit_id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conversion_factor</w:t>
            </w:r>
          </w:p>
        </w:tc>
        <w:tc>
          <w:tcPr>
            <w:tcW w:type="dxa" w:w="2376"/>
          </w:tcPr>
          <w:p>
            <w:pPr>
              <w:spacing w:after="0"/>
            </w:pPr>
            <w:r/>
            <w:r>
              <w:rPr>
                <w:sz w:val="13"/>
              </w:rPr>
              <w:t>numeric(14,4)</w:t>
            </w:r>
          </w:p>
        </w:tc>
        <w:tc>
          <w:tcPr>
            <w:tcW w:type="dxa" w:w="576"/>
          </w:tcPr>
          <w:p>
            <w:pPr>
              <w:spacing w:after="0"/>
            </w:pPr>
            <w:r/>
            <w:r>
              <w:rPr>
                <w:sz w:val="13"/>
              </w:rPr>
              <w:t>NO</w:t>
            </w:r>
          </w:p>
        </w:tc>
        <w:tc>
          <w:tcPr>
            <w:tcW w:type="dxa" w:w="2160"/>
          </w:tcPr>
          <w:p>
            <w:pPr>
              <w:spacing w:after="0"/>
            </w:pPr>
            <w:r/>
            <w:r>
              <w:rPr>
                <w:sz w:val="13"/>
              </w:rPr>
              <w:t>1</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selling_price</w:t>
            </w:r>
          </w:p>
        </w:tc>
        <w:tc>
          <w:tcPr>
            <w:tcW w:type="dxa" w:w="2376"/>
          </w:tcPr>
          <w:p>
            <w:pPr>
              <w:spacing w:after="0"/>
            </w:pPr>
            <w:r/>
            <w:r>
              <w:rPr>
                <w:sz w:val="13"/>
              </w:rPr>
              <w:t>numeric(15,2)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min_purchase</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1</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is_base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false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is_active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12" w:name="_Toc1112"/>
      <w:pPr>
        <w:pStyle w:val="Heading3"/>
      </w:pPr>
      <w:r>
        <w:t>products — Central product catalogue (shared by every outlet).</w:t>
      </w:r>
      <w:bookmarkEnd w:id="1112"/>
    </w:p>
    <w:p>
      <w:pPr>
        <w:spacing w:after="40"/>
      </w:pPr>
      <w:r>
        <w:rPr>
          <w:i w:val="0"/>
          <w:color w:val="555F6D"/>
          <w:sz w:val="16"/>
        </w:rPr>
        <w:t>17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code</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name</w:t>
            </w:r>
          </w:p>
        </w:tc>
        <w:tc>
          <w:tcPr>
            <w:tcW w:type="dxa" w:w="2376"/>
          </w:tcPr>
          <w:p>
            <w:pPr>
              <w:spacing w:after="0"/>
            </w:pPr>
            <w:r/>
            <w:r>
              <w:rPr>
                <w:sz w:val="13"/>
              </w:rPr>
              <w:t>character varying(200)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description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category_id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unit_id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purchase_price</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selling_price</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current_stock</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min_stock</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is_active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image</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deleted_at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Soft-delete marker (NULL = live row).</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brand_id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is_featured</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false</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13" w:name="_Toc1113"/>
      <w:pPr>
        <w:pStyle w:val="Heading3"/>
      </w:pPr>
      <w:r>
        <w:t>units — Unit of measure master.</w:t>
      </w:r>
      <w:bookmarkEnd w:id="1113"/>
    </w:p>
    <w:p>
      <w:pPr>
        <w:spacing w:after="40"/>
      </w:pPr>
      <w:r>
        <w:rPr>
          <w:i w:val="0"/>
          <w:color w:val="555F6D"/>
          <w:sz w:val="16"/>
        </w:rPr>
        <w:t>6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name</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symbol</w:t>
            </w:r>
          </w:p>
        </w:tc>
        <w:tc>
          <w:tcPr>
            <w:tcW w:type="dxa" w:w="2376"/>
          </w:tcPr>
          <w:p>
            <w:pPr>
              <w:spacing w:after="0"/>
            </w:pPr>
            <w:r/>
            <w:r>
              <w:rPr>
                <w:sz w:val="13"/>
              </w:rPr>
              <w:t>character varying(20)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description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14" w:name="_Toc1114"/>
      <w:pPr>
        <w:pStyle w:val="Heading2"/>
      </w:pPr>
      <w:r>
        <w:t>18.4 Partners</w:t>
      </w:r>
      <w:bookmarkEnd w:id="1114"/>
    </w:p>
    <w:p>
      <w:bookmarkStart w:id="1115" w:name="_Toc1115"/>
      <w:pPr>
        <w:pStyle w:val="Heading3"/>
      </w:pPr>
      <w:r>
        <w:t>customers — Customer master, including B2B portal link (user_id) and geo area.</w:t>
      </w:r>
      <w:bookmarkEnd w:id="1115"/>
    </w:p>
    <w:p>
      <w:pPr>
        <w:spacing w:after="40"/>
      </w:pPr>
      <w:r>
        <w:rPr>
          <w:i w:val="0"/>
          <w:color w:val="555F6D"/>
          <w:sz w:val="16"/>
        </w:rPr>
        <w:t>28 columns. Classification: Sensitive (PII/financial).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code</w:t>
            </w:r>
          </w:p>
        </w:tc>
        <w:tc>
          <w:tcPr>
            <w:tcW w:type="dxa" w:w="2376"/>
          </w:tcPr>
          <w:p>
            <w:pPr>
              <w:spacing w:after="0"/>
            </w:pPr>
            <w:r/>
            <w:r>
              <w:rPr>
                <w:sz w:val="13"/>
              </w:rPr>
              <w:t>character varying(30)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name</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contact_person</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phone</w:t>
            </w:r>
          </w:p>
        </w:tc>
        <w:tc>
          <w:tcPr>
            <w:tcW w:type="dxa" w:w="2376"/>
          </w:tcPr>
          <w:p>
            <w:pPr>
              <w:spacing w:after="0"/>
            </w:pPr>
            <w:r/>
            <w:r>
              <w:rPr>
                <w:sz w:val="13"/>
              </w:rPr>
              <w:t>character varying(20)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email</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address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city</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tax_number</w:t>
            </w:r>
          </w:p>
        </w:tc>
        <w:tc>
          <w:tcPr>
            <w:tcW w:type="dxa" w:w="2376"/>
          </w:tcPr>
          <w:p>
            <w:pPr>
              <w:spacing w:after="0"/>
            </w:pPr>
            <w:r/>
            <w:r>
              <w:rPr>
                <w:sz w:val="13"/>
              </w:rPr>
              <w:t>character varying(50)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credit_limit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payment_terms</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30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customer_type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'retail'::text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assigned_sales_id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is_active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deleted_at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Soft-delete marker (NULL = live row).</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user_id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is_ecommerce_admin</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false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latitude</w:t>
            </w:r>
          </w:p>
        </w:tc>
        <w:tc>
          <w:tcPr>
            <w:tcW w:type="dxa" w:w="2376"/>
          </w:tcPr>
          <w:p>
            <w:pPr>
              <w:spacing w:after="0"/>
            </w:pPr>
            <w:r/>
            <w:r>
              <w:rPr>
                <w:sz w:val="13"/>
              </w:rPr>
              <w:t>numeric(10,7)</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longitude</w:t>
            </w:r>
          </w:p>
        </w:tc>
        <w:tc>
          <w:tcPr>
            <w:tcW w:type="dxa" w:w="2376"/>
          </w:tcPr>
          <w:p>
            <w:pPr>
              <w:spacing w:after="0"/>
            </w:pPr>
            <w:r/>
            <w:r>
              <w:rPr>
                <w:sz w:val="13"/>
              </w:rPr>
              <w:t>numeric(11,7)</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delivery_note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kecamatan</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kelurahan</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desa</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website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billing_address_id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shipping_address_id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bl>
    <w:p>
      <w:bookmarkStart w:id="1116" w:name="_Toc1116"/>
      <w:pPr>
        <w:pStyle w:val="Heading3"/>
      </w:pPr>
      <w:r>
        <w:t>suppliers — Supplier master with credit limit and payment terms.</w:t>
      </w:r>
      <w:bookmarkEnd w:id="1116"/>
    </w:p>
    <w:p>
      <w:pPr>
        <w:spacing w:after="40"/>
      </w:pPr>
      <w:r>
        <w:rPr>
          <w:i w:val="0"/>
          <w:color w:val="555F6D"/>
          <w:sz w:val="16"/>
        </w:rPr>
        <w:t>17 columns. Classification: Sensitive (PII/financial).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code</w:t>
            </w:r>
          </w:p>
        </w:tc>
        <w:tc>
          <w:tcPr>
            <w:tcW w:type="dxa" w:w="2376"/>
          </w:tcPr>
          <w:p>
            <w:pPr>
              <w:spacing w:after="0"/>
            </w:pPr>
            <w:r/>
            <w:r>
              <w:rPr>
                <w:sz w:val="13"/>
              </w:rPr>
              <w:t>character varying(30)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name</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contact_person</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phone</w:t>
            </w:r>
          </w:p>
        </w:tc>
        <w:tc>
          <w:tcPr>
            <w:tcW w:type="dxa" w:w="2376"/>
          </w:tcPr>
          <w:p>
            <w:pPr>
              <w:spacing w:after="0"/>
            </w:pPr>
            <w:r/>
            <w:r>
              <w:rPr>
                <w:sz w:val="13"/>
              </w:rPr>
              <w:t>character varying(20)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email</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address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city</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tax_number</w:t>
            </w:r>
          </w:p>
        </w:tc>
        <w:tc>
          <w:tcPr>
            <w:tcW w:type="dxa" w:w="2376"/>
          </w:tcPr>
          <w:p>
            <w:pPr>
              <w:spacing w:after="0"/>
            </w:pPr>
            <w:r/>
            <w:r>
              <w:rPr>
                <w:sz w:val="13"/>
              </w:rPr>
              <w:t>character varying(50)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bank_name</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bank_account</w:t>
            </w:r>
          </w:p>
        </w:tc>
        <w:tc>
          <w:tcPr>
            <w:tcW w:type="dxa" w:w="2376"/>
          </w:tcPr>
          <w:p>
            <w:pPr>
              <w:spacing w:after="0"/>
            </w:pPr>
            <w:r/>
            <w:r>
              <w:rPr>
                <w:sz w:val="13"/>
              </w:rPr>
              <w:t>character varying(50)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credit_limit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payment_terms</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30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is_active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deleted_at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Soft-delete marker (NULL = live row).</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17" w:name="_Toc1117"/>
      <w:pPr>
        <w:pStyle w:val="Heading2"/>
      </w:pPr>
      <w:r>
        <w:t>18.5 Membership</w:t>
      </w:r>
      <w:bookmarkEnd w:id="1117"/>
    </w:p>
    <w:p>
      <w:bookmarkStart w:id="1118" w:name="_Toc1118"/>
      <w:pPr>
        <w:pStyle w:val="Heading3"/>
      </w:pPr>
      <w:r>
        <w:t>membership_tier_config_history — Audit trail of tier discount/requirement changes.</w:t>
      </w:r>
      <w:bookmarkEnd w:id="1118"/>
    </w:p>
    <w:p>
      <w:pPr>
        <w:spacing w:after="40"/>
      </w:pPr>
      <w:r>
        <w:rPr>
          <w:i w:val="0"/>
          <w:color w:val="555F6D"/>
          <w:sz w:val="16"/>
        </w:rPr>
        <w:t>13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membership_tier_id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from_discount_type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from_discount_value</w:t>
            </w:r>
          </w:p>
        </w:tc>
        <w:tc>
          <w:tcPr>
            <w:tcW w:type="dxa" w:w="2376"/>
          </w:tcPr>
          <w:p>
            <w:pPr>
              <w:spacing w:after="0"/>
            </w:pPr>
            <w:r/>
            <w:r>
              <w:rPr>
                <w:sz w:val="13"/>
              </w:rPr>
              <w:t>numeric(14,2)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to_discount_type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to_discount_value</w:t>
            </w:r>
          </w:p>
        </w:tc>
        <w:tc>
          <w:tcPr>
            <w:tcW w:type="dxa" w:w="2376"/>
          </w:tcPr>
          <w:p>
            <w:pPr>
              <w:spacing w:after="0"/>
            </w:pPr>
            <w:r/>
            <w:r>
              <w:rPr>
                <w:sz w:val="13"/>
              </w:rPr>
              <w:t>numeric(14,2)</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reason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changed_by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changed_at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from_min_orders</w:t>
            </w:r>
          </w:p>
        </w:tc>
        <w:tc>
          <w:tcPr>
            <w:tcW w:type="dxa" w:w="2376"/>
          </w:tcPr>
          <w:p>
            <w:pPr>
              <w:spacing w:after="0"/>
            </w:pPr>
            <w:r/>
            <w:r>
              <w:rPr>
                <w:sz w:val="13"/>
              </w:rPr>
              <w:t>integer</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to_min_orders</w:t>
            </w:r>
          </w:p>
        </w:tc>
        <w:tc>
          <w:tcPr>
            <w:tcW w:type="dxa" w:w="2376"/>
          </w:tcPr>
          <w:p>
            <w:pPr>
              <w:spacing w:after="0"/>
            </w:pPr>
            <w:r/>
            <w:r>
              <w:rPr>
                <w:sz w:val="13"/>
              </w:rPr>
              <w:t>integer</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from_min_spend</w:t>
            </w:r>
          </w:p>
        </w:tc>
        <w:tc>
          <w:tcPr>
            <w:tcW w:type="dxa" w:w="2376"/>
          </w:tcPr>
          <w:p>
            <w:pPr>
              <w:spacing w:after="0"/>
            </w:pPr>
            <w:r/>
            <w:r>
              <w:rPr>
                <w:sz w:val="13"/>
              </w:rPr>
              <w:t>numeric(14,2)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to_min_spend</w:t>
            </w:r>
          </w:p>
        </w:tc>
        <w:tc>
          <w:tcPr>
            <w:tcW w:type="dxa" w:w="2376"/>
          </w:tcPr>
          <w:p>
            <w:pPr>
              <w:spacing w:after="0"/>
            </w:pPr>
            <w:r/>
            <w:r>
              <w:rPr>
                <w:sz w:val="13"/>
              </w:rPr>
              <w:t>numeric(14,2)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19" w:name="_Toc1119"/>
      <w:pPr>
        <w:pStyle w:val="Heading3"/>
      </w:pPr>
      <w:r>
        <w:t>membership_tier_history — Audit trail of a member's tier changes.</w:t>
      </w:r>
      <w:bookmarkEnd w:id="1119"/>
    </w:p>
    <w:p>
      <w:pPr>
        <w:spacing w:after="40"/>
      </w:pPr>
      <w:r>
        <w:rPr>
          <w:i w:val="0"/>
          <w:color w:val="555F6D"/>
          <w:sz w:val="16"/>
        </w:rPr>
        <w:t>7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membership_id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from_tier</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to_tier</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reason</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changed_by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20" w:name="_Toc1120"/>
      <w:pPr>
        <w:pStyle w:val="Heading3"/>
      </w:pPr>
      <w:r>
        <w:t>membership_tiers — Tier catalogue with discount_type/value and promotion thresholds.</w:t>
      </w:r>
      <w:bookmarkEnd w:id="1120"/>
    </w:p>
    <w:p>
      <w:pPr>
        <w:spacing w:after="40"/>
      </w:pPr>
      <w:r>
        <w:rPr>
          <w:i w:val="0"/>
          <w:color w:val="555F6D"/>
          <w:sz w:val="16"/>
        </w:rPr>
        <w:t>10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code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name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discount_type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'percentage'::text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discount_value</w:t>
            </w:r>
          </w:p>
        </w:tc>
        <w:tc>
          <w:tcPr>
            <w:tcW w:type="dxa" w:w="2376"/>
          </w:tcPr>
          <w:p>
            <w:pPr>
              <w:spacing w:after="0"/>
            </w:pPr>
            <w:r/>
            <w:r>
              <w:rPr>
                <w:sz w:val="13"/>
              </w:rPr>
              <w:t>numeric(14,2)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is_active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min_orders</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min_spend</w:t>
            </w:r>
          </w:p>
        </w:tc>
        <w:tc>
          <w:tcPr>
            <w:tcW w:type="dxa" w:w="2376"/>
          </w:tcPr>
          <w:p>
            <w:pPr>
              <w:spacing w:after="0"/>
            </w:pPr>
            <w:r/>
            <w:r>
              <w:rPr>
                <w:sz w:val="13"/>
              </w:rPr>
              <w:t>numeric(14,2)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21" w:name="_Toc1121"/>
      <w:pPr>
        <w:pStyle w:val="Heading3"/>
      </w:pPr>
      <w:r>
        <w:t>memberships — Customer membership identity, tier and points.</w:t>
      </w:r>
      <w:bookmarkEnd w:id="1121"/>
    </w:p>
    <w:p>
      <w:pPr>
        <w:spacing w:after="40"/>
      </w:pPr>
      <w:r>
        <w:rPr>
          <w:i w:val="0"/>
          <w:color w:val="555F6D"/>
          <w:sz w:val="16"/>
        </w:rPr>
        <w:t>11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member_number</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customer_id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tier</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joined_date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is_active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points</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22" w:name="_Toc1122"/>
      <w:pPr>
        <w:pStyle w:val="Heading2"/>
      </w:pPr>
      <w:r>
        <w:t>18.6 Inventory</w:t>
      </w:r>
      <w:bookmarkEnd w:id="1122"/>
    </w:p>
    <w:p>
      <w:bookmarkStart w:id="1123" w:name="_Toc1123"/>
      <w:pPr>
        <w:pStyle w:val="Heading3"/>
      </w:pPr>
      <w:r>
        <w:t>stock_movements — Append-only stock ledger with before/after quantities.</w:t>
      </w:r>
      <w:bookmarkEnd w:id="1123"/>
    </w:p>
    <w:p>
      <w:pPr>
        <w:spacing w:after="40"/>
      </w:pPr>
      <w:r>
        <w:rPr>
          <w:i w:val="0"/>
          <w:color w:val="555F6D"/>
          <w:sz w:val="16"/>
        </w:rPr>
        <w:t>14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movement_number</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product_id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warehouse_id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movement_type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quantity</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quantity_before</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quantity_after</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reference_type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reference_id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24" w:name="_Toc1124"/>
      <w:pPr>
        <w:pStyle w:val="Heading3"/>
      </w:pPr>
      <w:r>
        <w:t>stock_opname_items — Per-product system vs physical quantity in an opname.</w:t>
      </w:r>
      <w:bookmarkEnd w:id="1124"/>
    </w:p>
    <w:p>
      <w:pPr>
        <w:spacing w:after="40"/>
      </w:pPr>
      <w:r>
        <w:rPr>
          <w:i w:val="0"/>
          <w:color w:val="555F6D"/>
          <w:sz w:val="16"/>
        </w:rPr>
        <w:t>7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stock_opname_id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product_id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system_quantity</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physical_quantity</w:t>
            </w:r>
          </w:p>
        </w:tc>
        <w:tc>
          <w:tcPr>
            <w:tcW w:type="dxa" w:w="2376"/>
          </w:tcPr>
          <w:p>
            <w:pPr>
              <w:spacing w:after="0"/>
            </w:pPr>
            <w:r/>
            <w:r>
              <w:rPr>
                <w:sz w:val="13"/>
              </w:rPr>
              <w:t>numeric(12,2)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difference</w:t>
            </w:r>
          </w:p>
        </w:tc>
        <w:tc>
          <w:tcPr>
            <w:tcW w:type="dxa" w:w="2376"/>
          </w:tcPr>
          <w:p>
            <w:pPr>
              <w:spacing w:after="0"/>
            </w:pPr>
            <w:r/>
            <w:r>
              <w:rPr>
                <w:sz w:val="13"/>
              </w:rPr>
              <w:t>numeric(12,4)</w:t>
            </w:r>
          </w:p>
        </w:tc>
        <w:tc>
          <w:tcPr>
            <w:tcW w:type="dxa" w:w="576"/>
          </w:tcPr>
          <w:p>
            <w:pPr>
              <w:spacing w:after="0"/>
            </w:pPr>
            <w:r/>
            <w:r>
              <w:rPr>
                <w:sz w:val="13"/>
              </w:rPr>
              <w:t>YES</w:t>
            </w:r>
          </w:p>
        </w:tc>
        <w:tc>
          <w:tcPr>
            <w:tcW w:type="dxa" w:w="2160"/>
          </w:tcPr>
          <w:p>
            <w:pPr>
              <w:spacing w:after="0"/>
            </w:pPr>
            <w:r/>
            <w:r>
              <w:rPr>
                <w:sz w:val="13"/>
              </w:rPr>
              <w:t>(COALESCE(physical_quantity, (0)::numeric) - system_quant…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25" w:name="_Toc1125"/>
      <w:pPr>
        <w:pStyle w:val="Heading3"/>
      </w:pPr>
      <w:r>
        <w:t>stock_opnames — Stock opname header (OPN-) with approval state.</w:t>
      </w:r>
      <w:bookmarkEnd w:id="1125"/>
    </w:p>
    <w:p>
      <w:pPr>
        <w:spacing w:after="40"/>
      </w:pPr>
      <w:r>
        <w:rPr>
          <w:i w:val="0"/>
          <w:color w:val="555F6D"/>
          <w:sz w:val="16"/>
        </w:rPr>
        <w:t>10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opname_number</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warehouse_id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opname_date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'draft'::text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approved_by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26" w:name="_Toc1126"/>
      <w:pPr>
        <w:pStyle w:val="Heading3"/>
      </w:pPr>
      <w:r>
        <w:t>stock_transfer_items — Requested/sent/received quantities per transfer line.</w:t>
      </w:r>
      <w:bookmarkEnd w:id="1126"/>
    </w:p>
    <w:p>
      <w:pPr>
        <w:spacing w:after="40"/>
      </w:pPr>
      <w:r>
        <w:rPr>
          <w:i w:val="0"/>
          <w:color w:val="555F6D"/>
          <w:sz w:val="16"/>
        </w:rPr>
        <w:t>6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stock_transfer_id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product_id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quantity_requested</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quantity_sent</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quantity_received</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bl>
    <w:p>
      <w:bookmarkStart w:id="1127" w:name="_Toc1127"/>
      <w:pPr>
        <w:pStyle w:val="Heading3"/>
      </w:pPr>
      <w:r>
        <w:t>stock_transfers — Inter-warehouse transfer header (TRF-).</w:t>
      </w:r>
      <w:bookmarkEnd w:id="1127"/>
    </w:p>
    <w:p>
      <w:pPr>
        <w:spacing w:after="40"/>
      </w:pPr>
      <w:r>
        <w:rPr>
          <w:i w:val="0"/>
          <w:color w:val="555F6D"/>
          <w:sz w:val="16"/>
        </w:rPr>
        <w:t>11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transfer_number</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from_warehouse_id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to_warehouse_id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transfer_date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'draft'::text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approved_by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28" w:name="_Toc1128"/>
      <w:pPr>
        <w:pStyle w:val="Heading3"/>
      </w:pPr>
      <w:r>
        <w:t>stocks — Per (product, warehouse) quantity and reservation.</w:t>
      </w:r>
      <w:bookmarkEnd w:id="1128"/>
    </w:p>
    <w:p>
      <w:pPr>
        <w:spacing w:after="40"/>
      </w:pPr>
      <w:r>
        <w:rPr>
          <w:i w:val="0"/>
          <w:color w:val="555F6D"/>
          <w:sz w:val="16"/>
        </w:rPr>
        <w:t>8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product_id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warehouse_id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quantity</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reserved_quantity</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last_updated_at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29" w:name="_Toc1129"/>
      <w:pPr>
        <w:pStyle w:val="Heading3"/>
      </w:pPr>
      <w:r>
        <w:t>warehouses — Warehouse master (every outlet owns one).</w:t>
      </w:r>
      <w:bookmarkEnd w:id="1129"/>
    </w:p>
    <w:p>
      <w:pPr>
        <w:spacing w:after="40"/>
      </w:pPr>
      <w:r>
        <w:rPr>
          <w:i w:val="0"/>
          <w:color w:val="555F6D"/>
          <w:sz w:val="16"/>
        </w:rPr>
        <w:t>13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code</w:t>
            </w:r>
          </w:p>
        </w:tc>
        <w:tc>
          <w:tcPr>
            <w:tcW w:type="dxa" w:w="2376"/>
          </w:tcPr>
          <w:p>
            <w:pPr>
              <w:spacing w:after="0"/>
            </w:pPr>
            <w:r/>
            <w:r>
              <w:rPr>
                <w:sz w:val="13"/>
              </w:rPr>
              <w:t>character varying(20)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name</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address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city</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phone</w:t>
            </w:r>
          </w:p>
        </w:tc>
        <w:tc>
          <w:tcPr>
            <w:tcW w:type="dxa" w:w="2376"/>
          </w:tcPr>
          <w:p>
            <w:pPr>
              <w:spacing w:after="0"/>
            </w:pPr>
            <w:r/>
            <w:r>
              <w:rPr>
                <w:sz w:val="13"/>
              </w:rPr>
              <w:t>character varying(20)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manager_id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is_active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latitude</w:t>
            </w:r>
          </w:p>
        </w:tc>
        <w:tc>
          <w:tcPr>
            <w:tcW w:type="dxa" w:w="2376"/>
          </w:tcPr>
          <w:p>
            <w:pPr>
              <w:spacing w:after="0"/>
            </w:pPr>
            <w:r/>
            <w:r>
              <w:rPr>
                <w:sz w:val="13"/>
              </w:rPr>
              <w:t>numeric(10,7)</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longitude</w:t>
            </w:r>
          </w:p>
        </w:tc>
        <w:tc>
          <w:tcPr>
            <w:tcW w:type="dxa" w:w="2376"/>
          </w:tcPr>
          <w:p>
            <w:pPr>
              <w:spacing w:after="0"/>
            </w:pPr>
            <w:r/>
            <w:r>
              <w:rPr>
                <w:sz w:val="13"/>
              </w:rPr>
              <w:t>numeric(11,7)</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coordinate_precision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30" w:name="_Toc1130"/>
      <w:pPr>
        <w:pStyle w:val="Heading2"/>
      </w:pPr>
      <w:r>
        <w:t>18.7 Purchasing</w:t>
      </w:r>
      <w:bookmarkEnd w:id="1130"/>
    </w:p>
    <w:p>
      <w:bookmarkStart w:id="1131" w:name="_Toc1131"/>
      <w:pPr>
        <w:pStyle w:val="Heading3"/>
      </w:pPr>
      <w:r>
        <w:t>goods_receipt_items — Received lines per goods receipt, with batch and expiry.</w:t>
      </w:r>
      <w:bookmarkEnd w:id="1131"/>
    </w:p>
    <w:p>
      <w:pPr>
        <w:spacing w:after="40"/>
      </w:pPr>
      <w:r>
        <w:rPr>
          <w:i w:val="0"/>
          <w:color w:val="555F6D"/>
          <w:sz w:val="16"/>
        </w:rPr>
        <w:t>8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goods_receipt_id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purchase_order_item_id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product_id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quantity_ordered</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quantity_received</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batch_number</w:t>
            </w:r>
          </w:p>
        </w:tc>
        <w:tc>
          <w:tcPr>
            <w:tcW w:type="dxa" w:w="2376"/>
          </w:tcPr>
          <w:p>
            <w:pPr>
              <w:spacing w:after="0"/>
            </w:pPr>
            <w:r/>
            <w:r>
              <w:rPr>
                <w:sz w:val="13"/>
              </w:rPr>
              <w:t>character varying(50)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expired_date</w:t>
            </w:r>
          </w:p>
        </w:tc>
        <w:tc>
          <w:tcPr>
            <w:tcW w:type="dxa" w:w="2376"/>
          </w:tcPr>
          <w:p>
            <w:pPr>
              <w:spacing w:after="0"/>
            </w:pPr>
            <w:r/>
            <w:r>
              <w:rPr>
                <w:sz w:val="13"/>
              </w:rPr>
              <w:t>date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32" w:name="_Toc1132"/>
      <w:pPr>
        <w:pStyle w:val="Heading3"/>
      </w:pPr>
      <w:r>
        <w:t>goods_receipts — Goods receipt header (GR-...) against a purchase order.</w:t>
      </w:r>
      <w:bookmarkEnd w:id="1132"/>
    </w:p>
    <w:p>
      <w:pPr>
        <w:spacing w:after="40"/>
      </w:pPr>
      <w:r>
        <w:rPr>
          <w:i w:val="0"/>
          <w:color w:val="555F6D"/>
          <w:sz w:val="16"/>
        </w:rPr>
        <w:t>10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gr_number</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purchase_order_id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warehouse_id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received_by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received_date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'draft'::text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33" w:name="_Toc1133"/>
      <w:pPr>
        <w:pStyle w:val="Heading3"/>
      </w:pPr>
      <w:r>
        <w:t>purchase_order_items — Ordered lines with received_quantity progress.</w:t>
      </w:r>
      <w:bookmarkEnd w:id="1133"/>
    </w:p>
    <w:p>
      <w:pPr>
        <w:spacing w:after="40"/>
      </w:pPr>
      <w:r>
        <w:rPr>
          <w:i w:val="0"/>
          <w:color w:val="555F6D"/>
          <w:sz w:val="16"/>
        </w:rPr>
        <w:t>8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purchase_order_id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product_id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quantity</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received_quantity</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unit_price</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discount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subtotal</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bl>
    <w:p>
      <w:bookmarkStart w:id="1134" w:name="_Toc1134"/>
      <w:pPr>
        <w:pStyle w:val="Heading3"/>
      </w:pPr>
      <w:r>
        <w:t>purchase_orders — Purchase order (PO-) with approval and payment progress.</w:t>
      </w:r>
      <w:bookmarkEnd w:id="1134"/>
    </w:p>
    <w:p>
      <w:pPr>
        <w:spacing w:after="40"/>
      </w:pPr>
      <w:r>
        <w:rPr>
          <w:i w:val="0"/>
          <w:color w:val="555F6D"/>
          <w:sz w:val="16"/>
        </w:rPr>
        <w:t>20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po_number</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supplier_id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warehouse_id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order_date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expected_date</w:t>
            </w:r>
          </w:p>
        </w:tc>
        <w:tc>
          <w:tcPr>
            <w:tcW w:type="dxa" w:w="2376"/>
          </w:tcPr>
          <w:p>
            <w:pPr>
              <w:spacing w:after="0"/>
            </w:pPr>
            <w:r/>
            <w:r>
              <w:rPr>
                <w:sz w:val="13"/>
              </w:rPr>
              <w:t>date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due_date</w:t>
            </w:r>
          </w:p>
        </w:tc>
        <w:tc>
          <w:tcPr>
            <w:tcW w:type="dxa" w:w="2376"/>
          </w:tcPr>
          <w:p>
            <w:pPr>
              <w:spacing w:after="0"/>
            </w:pPr>
            <w:r/>
            <w:r>
              <w:rPr>
                <w:sz w:val="13"/>
              </w:rPr>
              <w:t>date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'draft'::text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subtotal</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tax_amount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discount_amount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total_amount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paid_amount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remaining_amount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approved_by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approved_at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35" w:name="_Toc1135"/>
      <w:pPr>
        <w:pStyle w:val="Heading3"/>
      </w:pPr>
      <w:r>
        <w:t>vouchers — Supplier payment voucher (PV-) with PO/supplier link and print state.</w:t>
      </w:r>
      <w:bookmarkEnd w:id="1135"/>
    </w:p>
    <w:p>
      <w:pPr>
        <w:spacing w:after="40"/>
      </w:pPr>
      <w:r>
        <w:rPr>
          <w:i w:val="0"/>
          <w:color w:val="555F6D"/>
          <w:sz w:val="16"/>
        </w:rPr>
        <w:t>15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voucher_number</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'payment'::text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description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voucher_date</w:t>
            </w:r>
          </w:p>
        </w:tc>
        <w:tc>
          <w:tcPr>
            <w:tcW w:type="dxa" w:w="2376"/>
          </w:tcPr>
          <w:p>
            <w:pPr>
              <w:spacing w:after="0"/>
            </w:pPr>
            <w:r/>
            <w:r>
              <w:rPr>
                <w:sz w:val="13"/>
              </w:rPr>
              <w:t>date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'available'::text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supplier_id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po_id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cash_account_code</w:t>
            </w:r>
          </w:p>
        </w:tc>
        <w:tc>
          <w:tcPr>
            <w:tcW w:type="dxa" w:w="2376"/>
          </w:tcPr>
          <w:p>
            <w:pPr>
              <w:spacing w:after="0"/>
            </w:pPr>
            <w:r/>
            <w:r>
              <w:rPr>
                <w:sz w:val="13"/>
              </w:rPr>
              <w:t>character varying(20)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printed_at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printed_by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36" w:name="_Toc1136"/>
      <w:pPr>
        <w:pStyle w:val="Heading2"/>
      </w:pPr>
      <w:r>
        <w:t>18.8 Sales</w:t>
      </w:r>
      <w:bookmarkEnd w:id="1136"/>
    </w:p>
    <w:p>
      <w:bookmarkStart w:id="1137" w:name="_Toc1137"/>
      <w:pPr>
        <w:pStyle w:val="Heading3"/>
      </w:pPr>
      <w:r>
        <w:t>sales_order_items — Immutable priced line snapshots (unit, conversion, membership discount).</w:t>
      </w:r>
      <w:bookmarkEnd w:id="1137"/>
    </w:p>
    <w:p>
      <w:pPr>
        <w:spacing w:after="40"/>
      </w:pPr>
      <w:r>
        <w:rPr>
          <w:i w:val="0"/>
          <w:color w:val="555F6D"/>
          <w:sz w:val="16"/>
        </w:rPr>
        <w:t>17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sales_order_id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product_id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quantity</w:t>
            </w:r>
          </w:p>
        </w:tc>
        <w:tc>
          <w:tcPr>
            <w:tcW w:type="dxa" w:w="2376"/>
          </w:tcPr>
          <w:p>
            <w:pPr>
              <w:spacing w:after="0"/>
            </w:pPr>
            <w:r/>
            <w:r>
              <w:rPr>
                <w:sz w:val="13"/>
              </w:rPr>
              <w:t>numeric(12,2)</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unit_price</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discount_percent</w:t>
            </w:r>
          </w:p>
        </w:tc>
        <w:tc>
          <w:tcPr>
            <w:tcW w:type="dxa" w:w="2376"/>
          </w:tcPr>
          <w:p>
            <w:pPr>
              <w:spacing w:after="0"/>
            </w:pPr>
            <w:r/>
            <w:r>
              <w:rPr>
                <w:sz w:val="13"/>
              </w:rPr>
              <w:t>numeric(5,2)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discount_amount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subtotal</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product_unit_id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unit_id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unit_name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unit_symbol</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conversion_factor</w:t>
            </w:r>
          </w:p>
        </w:tc>
        <w:tc>
          <w:tcPr>
            <w:tcW w:type="dxa" w:w="2376"/>
          </w:tcPr>
          <w:p>
            <w:pPr>
              <w:spacing w:after="0"/>
            </w:pPr>
            <w:r/>
            <w:r>
              <w:rPr>
                <w:sz w:val="13"/>
              </w:rPr>
              <w:t>numeric(14,4)</w:t>
            </w:r>
          </w:p>
        </w:tc>
        <w:tc>
          <w:tcPr>
            <w:tcW w:type="dxa" w:w="576"/>
          </w:tcPr>
          <w:p>
            <w:pPr>
              <w:spacing w:after="0"/>
            </w:pPr>
            <w:r/>
            <w:r>
              <w:rPr>
                <w:sz w:val="13"/>
              </w:rPr>
              <w:t>NO</w:t>
            </w:r>
          </w:p>
        </w:tc>
        <w:tc>
          <w:tcPr>
            <w:tcW w:type="dxa" w:w="2160"/>
          </w:tcPr>
          <w:p>
            <w:pPr>
              <w:spacing w:after="0"/>
            </w:pPr>
            <w:r/>
            <w:r>
              <w:rPr>
                <w:sz w:val="13"/>
              </w:rPr>
              <w:t>1</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base_quantity</w:t>
            </w:r>
          </w:p>
        </w:tc>
        <w:tc>
          <w:tcPr>
            <w:tcW w:type="dxa" w:w="2376"/>
          </w:tcPr>
          <w:p>
            <w:pPr>
              <w:spacing w:after="0"/>
            </w:pPr>
            <w:r/>
            <w:r>
              <w:rPr>
                <w:sz w:val="13"/>
              </w:rPr>
              <w:t>numeric(14,4)</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min_purchase</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1</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membership_tier</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membership_discount_amount</w:t>
            </w:r>
          </w:p>
        </w:tc>
        <w:tc>
          <w:tcPr>
            <w:tcW w:type="dxa" w:w="2376"/>
          </w:tcPr>
          <w:p>
            <w:pPr>
              <w:spacing w:after="0"/>
            </w:pPr>
            <w:r/>
            <w:r>
              <w:rPr>
                <w:sz w:val="13"/>
              </w:rPr>
              <w:t>numeric(14,2)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bl>
    <w:p>
      <w:bookmarkStart w:id="1138" w:name="_Toc1138"/>
      <w:pPr>
        <w:pStyle w:val="Heading3"/>
      </w:pPr>
      <w:r>
        <w:t>sales_order_status_history — Status transition log for sales orders.</w:t>
      </w:r>
      <w:bookmarkEnd w:id="1138"/>
    </w:p>
    <w:p>
      <w:pPr>
        <w:spacing w:after="40"/>
      </w:pPr>
      <w:r>
        <w:rPr>
          <w:i w:val="0"/>
          <w:color w:val="555F6D"/>
          <w:sz w:val="16"/>
        </w:rPr>
        <w:t>9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sales_order_id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from_status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to_status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reason</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reference_type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reference_id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changed_by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39" w:name="_Toc1139"/>
      <w:pPr>
        <w:pStyle w:val="Heading3"/>
      </w:pPr>
      <w:r>
        <w:t>sales_orders — Sales order header for every channel (regular/pos/ecommerce).</w:t>
      </w:r>
      <w:bookmarkEnd w:id="1139"/>
    </w:p>
    <w:p>
      <w:pPr>
        <w:spacing w:after="40"/>
      </w:pPr>
      <w:r>
        <w:rPr>
          <w:i w:val="0"/>
          <w:color w:val="555F6D"/>
          <w:sz w:val="16"/>
        </w:rPr>
        <w:t>28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so_number</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customer_id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warehouse_id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sales_id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order_date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delivery_date</w:t>
            </w:r>
          </w:p>
        </w:tc>
        <w:tc>
          <w:tcPr>
            <w:tcW w:type="dxa" w:w="2376"/>
          </w:tcPr>
          <w:p>
            <w:pPr>
              <w:spacing w:after="0"/>
            </w:pPr>
            <w:r/>
            <w:r>
              <w:rPr>
                <w:sz w:val="13"/>
              </w:rPr>
              <w:t>date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'draft'::text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order_type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'regular'::text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subtotal</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tax_amount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discount_amount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total_amount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paid_amount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remaining_amount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shipping_cost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shipping_address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shift_id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store_id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source_type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supervisor_id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is_urgent</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false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approved_by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approved_at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payment_terms</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40" w:name="_Toc1140"/>
      <w:pPr>
        <w:pStyle w:val="Heading3"/>
      </w:pPr>
      <w:r>
        <w:t>sales_return_items — Returned lines with condition and restock flag.</w:t>
      </w:r>
      <w:bookmarkEnd w:id="1140"/>
    </w:p>
    <w:p>
      <w:pPr>
        <w:spacing w:after="40"/>
      </w:pPr>
      <w:r>
        <w:rPr>
          <w:i w:val="0"/>
          <w:color w:val="555F6D"/>
          <w:sz w:val="16"/>
        </w:rPr>
        <w:t>11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sales_return_id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sales_order_item_id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product_id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quantity</w:t>
            </w:r>
          </w:p>
        </w:tc>
        <w:tc>
          <w:tcPr>
            <w:tcW w:type="dxa" w:w="2376"/>
          </w:tcPr>
          <w:p>
            <w:pPr>
              <w:spacing w:after="0"/>
            </w:pPr>
            <w:r/>
            <w:r>
              <w:rPr>
                <w:sz w:val="13"/>
              </w:rPr>
              <w:t>numeric(12,2)</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unit_price</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refund_amount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reason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condition</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'good'::text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restocked</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false</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41" w:name="_Toc1141"/>
      <w:pPr>
        <w:pStyle w:val="Heading3"/>
      </w:pPr>
      <w:r>
        <w:t>sales_returns — Sales return header with refund method and amount.</w:t>
      </w:r>
      <w:bookmarkEnd w:id="1141"/>
    </w:p>
    <w:p>
      <w:pPr>
        <w:spacing w:after="40"/>
      </w:pPr>
      <w:r>
        <w:rPr>
          <w:i w:val="0"/>
          <w:color w:val="555F6D"/>
          <w:sz w:val="16"/>
        </w:rPr>
        <w:t>13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return_number</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sales_order_id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customer_id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warehouse_id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return_date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CURRENT_DATE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refund_amount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refund_method</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'cash'::text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'completed'::text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reason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42" w:name="_Toc1142"/>
      <w:pPr>
        <w:pStyle w:val="Heading3"/>
      </w:pPr>
      <w:r>
        <w:t>sales_targets — Sales targets per period, role level and scope.</w:t>
      </w:r>
      <w:bookmarkEnd w:id="1142"/>
    </w:p>
    <w:p>
      <w:pPr>
        <w:spacing w:after="40"/>
      </w:pPr>
      <w:r>
        <w:rPr>
          <w:i w:val="0"/>
          <w:color w:val="555F6D"/>
          <w:sz w:val="16"/>
        </w:rPr>
        <w:t>16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period</w:t>
            </w:r>
          </w:p>
        </w:tc>
        <w:tc>
          <w:tcPr>
            <w:tcW w:type="dxa" w:w="2376"/>
          </w:tcPr>
          <w:p>
            <w:pPr>
              <w:spacing w:after="0"/>
            </w:pPr>
            <w:r/>
            <w:r>
              <w:rPr>
                <w:sz w:val="13"/>
              </w:rPr>
              <w:t>character varying(7)</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role_level</w:t>
            </w:r>
          </w:p>
        </w:tc>
        <w:tc>
          <w:tcPr>
            <w:tcW w:type="dxa" w:w="2376"/>
          </w:tcPr>
          <w:p>
            <w:pPr>
              <w:spacing w:after="0"/>
            </w:pPr>
            <w:r/>
            <w:r>
              <w:rPr>
                <w:sz w:val="13"/>
              </w:rPr>
              <w:t>character varying(20)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user_id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scope_level</w:t>
            </w:r>
          </w:p>
        </w:tc>
        <w:tc>
          <w:tcPr>
            <w:tcW w:type="dxa" w:w="2376"/>
          </w:tcPr>
          <w:p>
            <w:pPr>
              <w:spacing w:after="0"/>
            </w:pPr>
            <w:r/>
            <w:r>
              <w:rPr>
                <w:sz w:val="13"/>
              </w:rPr>
              <w:t>character varying(20)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scope_name</w:t>
            </w:r>
          </w:p>
        </w:tc>
        <w:tc>
          <w:tcPr>
            <w:tcW w:type="dxa" w:w="2376"/>
          </w:tcPr>
          <w:p>
            <w:pPr>
              <w:spacing w:after="0"/>
            </w:pPr>
            <w:r/>
            <w:r>
              <w:rPr>
                <w:sz w:val="13"/>
              </w:rPr>
              <w:t>character varying(100)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target_amount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target_orders</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target_visits</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achieved_amount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achieved_orders</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achieved_visits</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43" w:name="_Toc1143"/>
      <w:pPr>
        <w:pStyle w:val="Heading3"/>
      </w:pPr>
      <w:r>
        <w:t>sales_vouchers — Sales voucher codes (promotion/member_discount/sales_voucher).</w:t>
      </w:r>
      <w:bookmarkEnd w:id="1143"/>
    </w:p>
    <w:p>
      <w:pPr>
        <w:spacing w:after="40"/>
      </w:pPr>
      <w:r>
        <w:rPr>
          <w:i w:val="0"/>
          <w:color w:val="555F6D"/>
          <w:sz w:val="16"/>
        </w:rPr>
        <w:t>11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voucher_number</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description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voucher_date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CURRENT_DATE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amount</w:t>
            </w:r>
          </w:p>
        </w:tc>
        <w:tc>
          <w:tcPr>
            <w:tcW w:type="dxa" w:w="2376"/>
          </w:tcPr>
          <w:p>
            <w:pPr>
              <w:spacing w:after="0"/>
            </w:pPr>
            <w:r/>
            <w:r>
              <w:rPr>
                <w:sz w:val="13"/>
              </w:rPr>
              <w:t>numeric(12,2)</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'available'::text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expired_at</w:t>
            </w:r>
          </w:p>
        </w:tc>
        <w:tc>
          <w:tcPr>
            <w:tcW w:type="dxa" w:w="2376"/>
          </w:tcPr>
          <w:p>
            <w:pPr>
              <w:spacing w:after="0"/>
            </w:pPr>
            <w:r/>
            <w:r>
              <w:rPr>
                <w:sz w:val="13"/>
              </w:rPr>
              <w:t>date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44" w:name="_Toc1144"/>
      <w:pPr>
        <w:pStyle w:val="Heading2"/>
      </w:pPr>
      <w:r>
        <w:t>18.9 POS</w:t>
      </w:r>
      <w:bookmarkEnd w:id="1144"/>
    </w:p>
    <w:p>
      <w:bookmarkStart w:id="1145" w:name="_Toc1145"/>
      <w:pPr>
        <w:pStyle w:val="Heading3"/>
      </w:pPr>
      <w:r>
        <w:t>cashier_drawer_entries — Cash drawer movements (cash in/out) recorded inside a shift.</w:t>
      </w:r>
      <w:bookmarkEnd w:id="1145"/>
    </w:p>
    <w:p>
      <w:pPr>
        <w:spacing w:after="40"/>
      </w:pPr>
      <w:r>
        <w:rPr>
          <w:i w:val="0"/>
          <w:color w:val="555F6D"/>
          <w:sz w:val="16"/>
        </w:rPr>
        <w:t>7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shift_id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46" w:name="_Toc1146"/>
      <w:pPr>
        <w:pStyle w:val="Heading3"/>
      </w:pPr>
      <w:r>
        <w:t>cashier_shifts — Cashier shift open/close with opening cash, actual cash and variance.</w:t>
      </w:r>
      <w:bookmarkEnd w:id="1146"/>
    </w:p>
    <w:p>
      <w:pPr>
        <w:spacing w:after="40"/>
      </w:pPr>
      <w:r>
        <w:rPr>
          <w:i w:val="0"/>
          <w:color w:val="555F6D"/>
          <w:sz w:val="16"/>
        </w:rPr>
        <w:t>14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shift_number</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cashier_id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'open'::text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opened_at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opening_cash</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closed_at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actual_cash</w:t>
            </w:r>
          </w:p>
        </w:tc>
        <w:tc>
          <w:tcPr>
            <w:tcW w:type="dxa" w:w="2376"/>
          </w:tcPr>
          <w:p>
            <w:pPr>
              <w:spacing w:after="0"/>
            </w:pPr>
            <w:r/>
            <w:r>
              <w:rPr>
                <w:sz w:val="13"/>
              </w:rPr>
              <w:t>numeric(15,2)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variance</w:t>
            </w:r>
          </w:p>
        </w:tc>
        <w:tc>
          <w:tcPr>
            <w:tcW w:type="dxa" w:w="2376"/>
          </w:tcPr>
          <w:p>
            <w:pPr>
              <w:spacing w:after="0"/>
            </w:pPr>
            <w:r/>
            <w:r>
              <w:rPr>
                <w:sz w:val="13"/>
              </w:rPr>
              <w:t>numeric(15,2)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register_id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store_id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bl>
    <w:p>
      <w:bookmarkStart w:id="1147" w:name="_Toc1147"/>
      <w:pPr>
        <w:pStyle w:val="Heading2"/>
      </w:pPr>
      <w:r>
        <w:t>18.10 Galon</w:t>
      </w:r>
      <w:bookmarkEnd w:id="1147"/>
    </w:p>
    <w:p>
      <w:bookmarkStart w:id="1148" w:name="_Toc1148"/>
      <w:pPr>
        <w:pStyle w:val="Heading3"/>
      </w:pPr>
      <w:r>
        <w:t>galon_transactions — Refill/new-gallon transactions with container loan tracking.</w:t>
      </w:r>
      <w:bookmarkEnd w:id="1148"/>
    </w:p>
    <w:p>
      <w:pPr>
        <w:spacing w:after="40"/>
      </w:pPr>
      <w:r>
        <w:rPr>
          <w:i w:val="0"/>
          <w:color w:val="555F6D"/>
          <w:sz w:val="16"/>
        </w:rPr>
        <w:t>18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transaction_number</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customer_id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fulfillment_mode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product_id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quantity</w:t>
            </w:r>
          </w:p>
        </w:tc>
        <w:tc>
          <w:tcPr>
            <w:tcW w:type="dxa" w:w="2376"/>
          </w:tcPr>
          <w:p>
            <w:pPr>
              <w:spacing w:after="0"/>
            </w:pPr>
            <w:r/>
            <w:r>
              <w:rPr>
                <w:sz w:val="13"/>
              </w:rPr>
              <w:t>numeric(12,2)</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unit_price</w:t>
            </w:r>
          </w:p>
        </w:tc>
        <w:tc>
          <w:tcPr>
            <w:tcW w:type="dxa" w:w="2376"/>
          </w:tcPr>
          <w:p>
            <w:pPr>
              <w:spacing w:after="0"/>
            </w:pPr>
            <w:r/>
            <w:r>
              <w:rPr>
                <w:sz w:val="13"/>
              </w:rPr>
              <w:t>numeric(12,2)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deposit_amount</w:t>
            </w:r>
          </w:p>
        </w:tc>
        <w:tc>
          <w:tcPr>
            <w:tcW w:type="dxa" w:w="2376"/>
          </w:tcPr>
          <w:p>
            <w:pPr>
              <w:spacing w:after="0"/>
            </w:pPr>
            <w:r/>
            <w:r>
              <w:rPr>
                <w:sz w:val="13"/>
              </w:rPr>
              <w:t>numeric(12,2)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'pending'::text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loan_amount</w:t>
            </w:r>
          </w:p>
        </w:tc>
        <w:tc>
          <w:tcPr>
            <w:tcW w:type="dxa" w:w="2376"/>
          </w:tcPr>
          <w:p>
            <w:pPr>
              <w:spacing w:after="0"/>
            </w:pPr>
            <w:r/>
            <w:r>
              <w:rPr>
                <w:sz w:val="13"/>
              </w:rPr>
              <w:t>numeric</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loan_returned</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false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store_id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gallon_code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49" w:name="_Toc1149"/>
      <w:pPr>
        <w:pStyle w:val="Heading2"/>
      </w:pPr>
      <w:r>
        <w:t>18.11 Finance</w:t>
      </w:r>
      <w:bookmarkEnd w:id="1149"/>
    </w:p>
    <w:p>
      <w:bookmarkStart w:id="1150" w:name="_Toc1150"/>
      <w:pPr>
        <w:pStyle w:val="Heading3"/>
      </w:pPr>
      <w:r>
        <w:t>cash_accounts — Cash/bank accounts used by cashflow and payment vouchers.</w:t>
      </w:r>
      <w:bookmarkEnd w:id="1150"/>
    </w:p>
    <w:p>
      <w:pPr>
        <w:spacing w:after="40"/>
      </w:pPr>
      <w:r>
        <w:rPr>
          <w:i w:val="0"/>
          <w:color w:val="555F6D"/>
          <w:sz w:val="16"/>
        </w:rPr>
        <w:t>9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name</w:t>
            </w:r>
          </w:p>
        </w:tc>
        <w:tc>
          <w:tcPr>
            <w:tcW w:type="dxa" w:w="2376"/>
          </w:tcPr>
          <w:p>
            <w:pPr>
              <w:spacing w:after="0"/>
            </w:pPr>
            <w:r/>
            <w:r>
              <w:rPr>
                <w:sz w:val="13"/>
              </w:rPr>
              <w:t>character varying(100)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account_type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bank_name</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bank_account_number</w:t>
            </w:r>
          </w:p>
        </w:tc>
        <w:tc>
          <w:tcPr>
            <w:tcW w:type="dxa" w:w="2376"/>
          </w:tcPr>
          <w:p>
            <w:pPr>
              <w:spacing w:after="0"/>
            </w:pPr>
            <w:r/>
            <w:r>
              <w:rPr>
                <w:sz w:val="13"/>
              </w:rPr>
              <w:t>character varying(50)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is_active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51" w:name="_Toc1151"/>
      <w:pPr>
        <w:pStyle w:val="Heading3"/>
      </w:pPr>
      <w:r>
        <w:t>cashflows — Cash in/out ledger with reversal chain, outlet scope and attachment metadata.</w:t>
      </w:r>
      <w:bookmarkEnd w:id="1151"/>
    </w:p>
    <w:p>
      <w:pPr>
        <w:spacing w:after="40"/>
      </w:pPr>
      <w:r>
        <w:rPr>
          <w:i w:val="0"/>
          <w:color w:val="555F6D"/>
          <w:sz w:val="16"/>
        </w:rPr>
        <w:t>24 columns. Classification: Sensitive (PII/financial).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transaction_number</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category</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transaction_date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description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reference_type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reference_id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reversal_of</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account_id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counterpart_account_id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flow_type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payment_method</w:t>
            </w:r>
          </w:p>
        </w:tc>
        <w:tc>
          <w:tcPr>
            <w:tcW w:type="dxa" w:w="2376"/>
          </w:tcPr>
          <w:p>
            <w:pPr>
              <w:spacing w:after="0"/>
            </w:pPr>
            <w:r/>
            <w:r>
              <w:rPr>
                <w:sz w:val="13"/>
              </w:rPr>
              <w:t>character varying(30)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attachment_key</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attachment_filename</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attachment_content_type</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attachment_size</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attachment_uploaded_by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attachment_uploaded_at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store_id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bl>
    <w:p>
      <w:bookmarkStart w:id="1152" w:name="_Toc1152"/>
      <w:pPr>
        <w:pStyle w:val="Heading3"/>
      </w:pPr>
      <w:r>
        <w:t>invoices — Sales invoices (INV-...) with gateway reconciliation columns.</w:t>
      </w:r>
      <w:bookmarkEnd w:id="1152"/>
    </w:p>
    <w:p>
      <w:pPr>
        <w:spacing w:after="40"/>
      </w:pPr>
      <w:r>
        <w:rPr>
          <w:i w:val="0"/>
          <w:color w:val="555F6D"/>
          <w:sz w:val="16"/>
        </w:rPr>
        <w:t>19 columns. Classification: Sensitive (PII/financial).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invoice_number</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sales_order_id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customer_id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invoice_date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due_date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'unpaid'::text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subtotal</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tax_amount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total_amount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paid_amount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remaining_amount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snap_order_ref</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snap_last_checked_at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gateway_transaction_id</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gateway_expires_at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53" w:name="_Toc1153"/>
      <w:pPr>
        <w:pStyle w:val="Heading3"/>
      </w:pPr>
      <w:r>
        <w:t>payments — Polymorphic payment rows (payable_type/payable_id) plus gateway metadata.</w:t>
      </w:r>
      <w:bookmarkEnd w:id="1153"/>
    </w:p>
    <w:p>
      <w:pPr>
        <w:spacing w:after="40"/>
      </w:pPr>
      <w:r>
        <w:rPr>
          <w:i w:val="0"/>
          <w:color w:val="555F6D"/>
          <w:sz w:val="16"/>
        </w:rPr>
        <w:t>19 columns. Classification: Sensitive (PII/financial).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payment_number</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payable_type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payable_id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payment_date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payment_method</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bank_name</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bank_account</w:t>
            </w:r>
          </w:p>
        </w:tc>
        <w:tc>
          <w:tcPr>
            <w:tcW w:type="dxa" w:w="2376"/>
          </w:tcPr>
          <w:p>
            <w:pPr>
              <w:spacing w:after="0"/>
            </w:pPr>
            <w:r/>
            <w:r>
              <w:rPr>
                <w:sz w:val="13"/>
              </w:rPr>
              <w:t>character varying(50)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reference_number</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proof_url</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deposit_id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gateway</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gateway_txn_id</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gateway_status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bl>
    <w:p>
      <w:bookmarkStart w:id="1154" w:name="_Toc1154"/>
      <w:pPr>
        <w:pStyle w:val="Heading2"/>
      </w:pPr>
      <w:r>
        <w:t>18.12 Accounting</w:t>
      </w:r>
      <w:bookmarkEnd w:id="1154"/>
    </w:p>
    <w:p>
      <w:bookmarkStart w:id="1155" w:name="_Toc1155"/>
      <w:pPr>
        <w:pStyle w:val="Heading3"/>
      </w:pPr>
      <w:r>
        <w:t>accounting_departments — Cost-centre / department master for journal lines.</w:t>
      </w:r>
      <w:bookmarkEnd w:id="1155"/>
    </w:p>
    <w:p>
      <w:pPr>
        <w:spacing w:after="40"/>
      </w:pPr>
      <w:r>
        <w:rPr>
          <w:i w:val="0"/>
          <w:color w:val="555F6D"/>
          <w:sz w:val="16"/>
        </w:rPr>
        <w:t>6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code</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name</w:t>
            </w:r>
          </w:p>
        </w:tc>
        <w:tc>
          <w:tcPr>
            <w:tcW w:type="dxa" w:w="2376"/>
          </w:tcPr>
          <w:p>
            <w:pPr>
              <w:spacing w:after="0"/>
            </w:pPr>
            <w:r/>
            <w:r>
              <w:rPr>
                <w:sz w:val="13"/>
              </w:rPr>
              <w:t>character varying(150)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is_active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56" w:name="_Toc1156"/>
      <w:pPr>
        <w:pStyle w:val="Heading3"/>
      </w:pPr>
      <w:r>
        <w:t>accounting_periods — Monthly period lock; a locked period blocks journal posting.</w:t>
      </w:r>
      <w:bookmarkEnd w:id="1156"/>
    </w:p>
    <w:p>
      <w:pPr>
        <w:spacing w:after="40"/>
      </w:pPr>
      <w:r>
        <w:rPr>
          <w:i w:val="0"/>
          <w:color w:val="555F6D"/>
          <w:sz w:val="16"/>
        </w:rPr>
        <w:t>8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period_year</w:t>
            </w:r>
          </w:p>
        </w:tc>
        <w:tc>
          <w:tcPr>
            <w:tcW w:type="dxa" w:w="2376"/>
          </w:tcPr>
          <w:p>
            <w:pPr>
              <w:spacing w:after="0"/>
            </w:pPr>
            <w:r/>
            <w:r>
              <w:rPr>
                <w:sz w:val="13"/>
              </w:rPr>
              <w:t>smallint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period_month</w:t>
            </w:r>
          </w:p>
        </w:tc>
        <w:tc>
          <w:tcPr>
            <w:tcW w:type="dxa" w:w="2376"/>
          </w:tcPr>
          <w:p>
            <w:pPr>
              <w:spacing w:after="0"/>
            </w:pPr>
            <w:r/>
            <w:r>
              <w:rPr>
                <w:sz w:val="13"/>
              </w:rPr>
              <w:t>smallint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'open'::text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locked_at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locked_by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57" w:name="_Toc1157"/>
      <w:pPr>
        <w:pStyle w:val="Heading3"/>
      </w:pPr>
      <w:r>
        <w:t>accounts — Chart of Accounts (COA) tree with parent_id, type and normal_balance.</w:t>
      </w:r>
      <w:bookmarkEnd w:id="1157"/>
    </w:p>
    <w:p>
      <w:pPr>
        <w:spacing w:after="40"/>
      </w:pPr>
      <w:r>
        <w:rPr>
          <w:i w:val="0"/>
          <w:color w:val="555F6D"/>
          <w:sz w:val="16"/>
        </w:rPr>
        <w:t>11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code</w:t>
            </w:r>
          </w:p>
        </w:tc>
        <w:tc>
          <w:tcPr>
            <w:tcW w:type="dxa" w:w="2376"/>
          </w:tcPr>
          <w:p>
            <w:pPr>
              <w:spacing w:after="0"/>
            </w:pPr>
            <w:r/>
            <w:r>
              <w:rPr>
                <w:sz w:val="13"/>
              </w:rPr>
              <w:t>character varying(20)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name</w:t>
            </w:r>
          </w:p>
        </w:tc>
        <w:tc>
          <w:tcPr>
            <w:tcW w:type="dxa" w:w="2376"/>
          </w:tcPr>
          <w:p>
            <w:pPr>
              <w:spacing w:after="0"/>
            </w:pPr>
            <w:r/>
            <w:r>
              <w:rPr>
                <w:sz w:val="13"/>
              </w:rPr>
              <w:t>character varying(150)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is_active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parent_id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normal_balance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'debit'::text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is_postable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is_placeholder</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false</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58" w:name="_Toc1158"/>
      <w:pPr>
        <w:pStyle w:val="Heading3"/>
      </w:pPr>
      <w:r>
        <w:t>advance_transactions — Allocation/refund ledger for customer and supplier advances.</w:t>
      </w:r>
      <w:bookmarkEnd w:id="1158"/>
    </w:p>
    <w:p>
      <w:pPr>
        <w:spacing w:after="40"/>
      </w:pPr>
      <w:r>
        <w:rPr>
          <w:i w:val="0"/>
          <w:color w:val="555F6D"/>
          <w:sz w:val="16"/>
        </w:rPr>
        <w:t>11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advance_id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txn_type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reference</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invoice_id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purchase_order_id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journal_entry_id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59" w:name="_Toc1159"/>
      <w:pPr>
        <w:pStyle w:val="Heading3"/>
      </w:pPr>
      <w:r>
        <w:t>advances — Customer deposits (uang muka) and supplier advances with allocated/refunded totals.</w:t>
      </w:r>
      <w:bookmarkEnd w:id="1159"/>
    </w:p>
    <w:p>
      <w:pPr>
        <w:spacing w:after="40"/>
      </w:pPr>
      <w:r>
        <w:rPr>
          <w:i w:val="0"/>
          <w:color w:val="555F6D"/>
          <w:sz w:val="16"/>
        </w:rPr>
        <w:t>15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advance_number</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advance_type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customer_id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supplier_id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allocated_amount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refunded_amount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'received'::text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advance_date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journal_entry_id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60" w:name="_Toc1160"/>
      <w:pPr>
        <w:pStyle w:val="Heading3"/>
      </w:pPr>
      <w:r>
        <w:t>journal_entries — Double-entry journal header with posting/reversal state.</w:t>
      </w:r>
      <w:bookmarkEnd w:id="1160"/>
    </w:p>
    <w:p>
      <w:pPr>
        <w:spacing w:after="40"/>
      </w:pPr>
      <w:r>
        <w:rPr>
          <w:i w:val="0"/>
          <w:color w:val="555F6D"/>
          <w:sz w:val="16"/>
        </w:rPr>
        <w:t>20 columns. Classification: Sensitive (PII/financial).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journal_number</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journal_type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entry_date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reference</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description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'draft'::text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store_id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total_debit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total_credit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posted_by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posted_at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reversed_at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reversal_of</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reversal_entry_id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source_type</w:t>
            </w:r>
          </w:p>
        </w:tc>
        <w:tc>
          <w:tcPr>
            <w:tcW w:type="dxa" w:w="2376"/>
          </w:tcPr>
          <w:p>
            <w:pPr>
              <w:spacing w:after="0"/>
            </w:pPr>
            <w:r/>
            <w:r>
              <w:rPr>
                <w:sz w:val="13"/>
              </w:rPr>
              <w:t>character varying(50)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source_id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61" w:name="_Toc1161"/>
      <w:pPr>
        <w:pStyle w:val="Heading3"/>
      </w:pPr>
      <w:r>
        <w:t>journal_lines — Debit/credit lines of a journal entry.</w:t>
      </w:r>
      <w:bookmarkEnd w:id="1161"/>
    </w:p>
    <w:p>
      <w:pPr>
        <w:spacing w:after="40"/>
      </w:pPr>
      <w:r>
        <w:rPr>
          <w:i w:val="0"/>
          <w:color w:val="555F6D"/>
          <w:sz w:val="16"/>
        </w:rPr>
        <w:t>7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journal_entry_id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account_id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department_id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debit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credit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description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62" w:name="_Toc1162"/>
      <w:pPr>
        <w:pStyle w:val="Heading3"/>
      </w:pPr>
      <w:r>
        <w:t>payment_voucher_lines — Expense allocation lines of a payment voucher.</w:t>
      </w:r>
      <w:bookmarkEnd w:id="1162"/>
    </w:p>
    <w:p>
      <w:pPr>
        <w:spacing w:after="40"/>
      </w:pPr>
      <w:r>
        <w:rPr>
          <w:i w:val="0"/>
          <w:color w:val="555F6D"/>
          <w:sz w:val="16"/>
        </w:rPr>
        <w:t>6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voucher_id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account_id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description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reference</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63" w:name="_Toc1163"/>
      <w:pPr>
        <w:pStyle w:val="Heading3"/>
      </w:pPr>
      <w:r>
        <w:t>payment_vouchers — Cash/bank payment voucher (PV-) with approval state.</w:t>
      </w:r>
      <w:bookmarkEnd w:id="1163"/>
    </w:p>
    <w:p>
      <w:pPr>
        <w:spacing w:after="40"/>
      </w:pPr>
      <w:r>
        <w:rPr>
          <w:i w:val="0"/>
          <w:color w:val="555F6D"/>
          <w:sz w:val="16"/>
        </w:rPr>
        <w:t>16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voucher_number</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voucher_date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account_id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payee</w:t>
            </w:r>
          </w:p>
        </w:tc>
        <w:tc>
          <w:tcPr>
            <w:tcW w:type="dxa" w:w="2376"/>
          </w:tcPr>
          <w:p>
            <w:pPr>
              <w:spacing w:after="0"/>
            </w:pPr>
            <w:r/>
            <w:r>
              <w:rPr>
                <w:sz w:val="13"/>
              </w:rPr>
              <w:t>character varying(200)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payment_method</w:t>
            </w:r>
          </w:p>
        </w:tc>
        <w:tc>
          <w:tcPr>
            <w:tcW w:type="dxa" w:w="2376"/>
          </w:tcPr>
          <w:p>
            <w:pPr>
              <w:spacing w:after="0"/>
            </w:pPr>
            <w:r/>
            <w:r>
              <w:rPr>
                <w:sz w:val="13"/>
              </w:rPr>
              <w:t>character varying(30)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reference</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description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total_amount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'draft'::text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attachment_key</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approved_by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approved_at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64" w:name="_Toc1164"/>
      <w:pPr>
        <w:pStyle w:val="Heading2"/>
      </w:pPr>
      <w:r>
        <w:t>18.13 Distribution</w:t>
      </w:r>
      <w:bookmarkEnd w:id="1164"/>
    </w:p>
    <w:p>
      <w:bookmarkStart w:id="1165" w:name="_Toc1165"/>
      <w:pPr>
        <w:pStyle w:val="Heading3"/>
      </w:pPr>
      <w:r>
        <w:t>delivery_order_items — Per-product requested/shipped/delivered quantities on a DO.</w:t>
      </w:r>
      <w:bookmarkEnd w:id="1165"/>
    </w:p>
    <w:p>
      <w:pPr>
        <w:spacing w:after="40"/>
      </w:pPr>
      <w:r>
        <w:rPr>
          <w:i w:val="0"/>
          <w:color w:val="555F6D"/>
          <w:sz w:val="16"/>
        </w:rPr>
        <w:t>7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delivery_order_id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product_id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requested_quantity</w:t>
            </w:r>
          </w:p>
        </w:tc>
        <w:tc>
          <w:tcPr>
            <w:tcW w:type="dxa" w:w="2376"/>
          </w:tcPr>
          <w:p>
            <w:pPr>
              <w:spacing w:after="0"/>
            </w:pPr>
            <w:r/>
            <w:r>
              <w:rPr>
                <w:sz w:val="13"/>
              </w:rPr>
              <w:t>numeric(12,2)</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shipped_quantity</w:t>
            </w:r>
          </w:p>
        </w:tc>
        <w:tc>
          <w:tcPr>
            <w:tcW w:type="dxa" w:w="2376"/>
          </w:tcPr>
          <w:p>
            <w:pPr>
              <w:spacing w:after="0"/>
            </w:pPr>
            <w:r/>
            <w:r>
              <w:rPr>
                <w:sz w:val="13"/>
              </w:rPr>
              <w:t>numeric(12,2)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delivered_quantity</w:t>
            </w:r>
          </w:p>
        </w:tc>
        <w:tc>
          <w:tcPr>
            <w:tcW w:type="dxa" w:w="2376"/>
          </w:tcPr>
          <w:p>
            <w:pPr>
              <w:spacing w:after="0"/>
            </w:pPr>
            <w:r/>
            <w:r>
              <w:rPr>
                <w:sz w:val="13"/>
              </w:rPr>
              <w:t>numeric(12,2)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remaining_quantity</w:t>
            </w:r>
          </w:p>
        </w:tc>
        <w:tc>
          <w:tcPr>
            <w:tcW w:type="dxa" w:w="2376"/>
          </w:tcPr>
          <w:p>
            <w:pPr>
              <w:spacing w:after="0"/>
            </w:pPr>
            <w:r/>
            <w:r>
              <w:rPr>
                <w:sz w:val="13"/>
              </w:rPr>
              <w:t>numeric(12,2)</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Quantity in the line's stored unit.</w:t>
            </w:r>
          </w:p>
        </w:tc>
      </w:tr>
    </w:tbl>
    <w:p>
      <w:bookmarkStart w:id="1166" w:name="_Toc1166"/>
      <w:pPr>
        <w:pStyle w:val="Heading3"/>
      </w:pPr>
      <w:r>
        <w:t>delivery_orders — Delivery order (Surat Jalan) derived from a sales order.</w:t>
      </w:r>
      <w:bookmarkEnd w:id="1166"/>
    </w:p>
    <w:p>
      <w:pPr>
        <w:spacing w:after="40"/>
      </w:pPr>
      <w:r>
        <w:rPr>
          <w:i w:val="0"/>
          <w:color w:val="555F6D"/>
          <w:sz w:val="16"/>
        </w:rPr>
        <w:t>16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do_number</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sales_order_id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customer_id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warehouse_id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do_date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priority</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'normal'::text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'draft'::text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requested_quantity</w:t>
            </w:r>
          </w:p>
        </w:tc>
        <w:tc>
          <w:tcPr>
            <w:tcW w:type="dxa" w:w="2376"/>
          </w:tcPr>
          <w:p>
            <w:pPr>
              <w:spacing w:after="0"/>
            </w:pPr>
            <w:r/>
            <w:r>
              <w:rPr>
                <w:sz w:val="13"/>
              </w:rPr>
              <w:t>numeric(12,2)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shipped_quantity</w:t>
            </w:r>
          </w:p>
        </w:tc>
        <w:tc>
          <w:tcPr>
            <w:tcW w:type="dxa" w:w="2376"/>
          </w:tcPr>
          <w:p>
            <w:pPr>
              <w:spacing w:after="0"/>
            </w:pPr>
            <w:r/>
            <w:r>
              <w:rPr>
                <w:sz w:val="13"/>
              </w:rPr>
              <w:t>numeric(12,2)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delivered_quantity</w:t>
            </w:r>
          </w:p>
        </w:tc>
        <w:tc>
          <w:tcPr>
            <w:tcW w:type="dxa" w:w="2376"/>
          </w:tcPr>
          <w:p>
            <w:pPr>
              <w:spacing w:after="0"/>
            </w:pPr>
            <w:r/>
            <w:r>
              <w:rPr>
                <w:sz w:val="13"/>
              </w:rPr>
              <w:t>numeric(12,2)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remaining_quantity</w:t>
            </w:r>
          </w:p>
        </w:tc>
        <w:tc>
          <w:tcPr>
            <w:tcW w:type="dxa" w:w="2376"/>
          </w:tcPr>
          <w:p>
            <w:pPr>
              <w:spacing w:after="0"/>
            </w:pPr>
            <w:r/>
            <w:r>
              <w:rPr>
                <w:sz w:val="13"/>
              </w:rPr>
              <w:t>numeric(12,2)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67" w:name="_Toc1167"/>
      <w:pPr>
        <w:pStyle w:val="Heading3"/>
      </w:pPr>
      <w:r>
        <w:t>delivery_status_history — Status transition log for delivery orders.</w:t>
      </w:r>
      <w:bookmarkEnd w:id="1167"/>
    </w:p>
    <w:p>
      <w:pPr>
        <w:spacing w:after="40"/>
      </w:pPr>
      <w:r>
        <w:rPr>
          <w:i w:val="0"/>
          <w:color w:val="555F6D"/>
          <w:sz w:val="16"/>
        </w:rPr>
        <w:t>9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delivery_order_id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from_status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to_status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reason</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reference_type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reference_id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changed_by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68" w:name="_Toc1168"/>
      <w:pPr>
        <w:pStyle w:val="Heading3"/>
      </w:pPr>
      <w:r>
        <w:t>dispatches — Dispatch queue entry binding a DO to a shipment, fleet and driver.</w:t>
      </w:r>
      <w:bookmarkEnd w:id="1168"/>
    </w:p>
    <w:p>
      <w:pPr>
        <w:spacing w:after="40"/>
      </w:pPr>
      <w:r>
        <w:rPr>
          <w:i w:val="0"/>
          <w:color w:val="555F6D"/>
          <w:sz w:val="16"/>
        </w:rPr>
        <w:t>13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delivery_order_id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shipment_id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fleet_id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priority</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'normal'::text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queue_order</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driver_id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scheduled_for</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'assigned'::text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dispatched_at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dispatcher_id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69" w:name="_Toc1169"/>
      <w:pPr>
        <w:pStyle w:val="Heading3"/>
      </w:pPr>
      <w:r>
        <w:t>fleet — Vehicle master for dispatches.</w:t>
      </w:r>
      <w:bookmarkEnd w:id="1169"/>
    </w:p>
    <w:p>
      <w:pPr>
        <w:spacing w:after="40"/>
      </w:pPr>
      <w:r>
        <w:rPr>
          <w:i w:val="0"/>
          <w:color w:val="555F6D"/>
          <w:sz w:val="16"/>
        </w:rPr>
        <w:t>9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plate_number</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vehicle_name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vehicle_type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capacity_weight</w:t>
            </w:r>
          </w:p>
        </w:tc>
        <w:tc>
          <w:tcPr>
            <w:tcW w:type="dxa" w:w="2376"/>
          </w:tcPr>
          <w:p>
            <w:pPr>
              <w:spacing w:after="0"/>
            </w:pPr>
            <w:r/>
            <w:r>
              <w:rPr>
                <w:sz w:val="13"/>
              </w:rPr>
              <w:t>numeric(15,2)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capacity_volume</w:t>
            </w:r>
          </w:p>
        </w:tc>
        <w:tc>
          <w:tcPr>
            <w:tcW w:type="dxa" w:w="2376"/>
          </w:tcPr>
          <w:p>
            <w:pPr>
              <w:spacing w:after="0"/>
            </w:pPr>
            <w:r/>
            <w:r>
              <w:rPr>
                <w:sz w:val="13"/>
              </w:rPr>
              <w:t>numeric(15,2)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is_active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70" w:name="_Toc1170"/>
      <w:pPr>
        <w:pStyle w:val="Heading3"/>
      </w:pPr>
      <w:r>
        <w:t>lhpp_group_history — Audit trail for LHPP group membership changes.</w:t>
      </w:r>
      <w:bookmarkEnd w:id="1170"/>
    </w:p>
    <w:p>
      <w:pPr>
        <w:spacing w:after="40"/>
      </w:pPr>
      <w:r>
        <w:rPr>
          <w:i w:val="0"/>
          <w:color w:val="555F6D"/>
          <w:sz w:val="16"/>
        </w:rPr>
        <w:t>10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delivery_order_id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action</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from_group_id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to_group_id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from_driver_id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to_driver_id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reason</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changed_by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71" w:name="_Toc1171"/>
      <w:pPr>
        <w:pStyle w:val="Heading3"/>
      </w:pPr>
      <w:r>
        <w:t>lhpp_group_items — Delivery orders assigned to an LHPP group.</w:t>
      </w:r>
      <w:bookmarkEnd w:id="1171"/>
    </w:p>
    <w:p>
      <w:pPr>
        <w:spacing w:after="40"/>
      </w:pPr>
      <w:r>
        <w:rPr>
          <w:i w:val="0"/>
          <w:color w:val="555F6D"/>
          <w:sz w:val="16"/>
        </w:rPr>
        <w:t>5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group_id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delivery_order_id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added_by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72" w:name="_Toc1172"/>
      <w:pPr>
        <w:pStyle w:val="Heading3"/>
      </w:pPr>
      <w:r>
        <w:t>lhpp_groups — LHPP (delivery/route settlement) group per driver and date.</w:t>
      </w:r>
      <w:bookmarkEnd w:id="1172"/>
    </w:p>
    <w:p>
      <w:pPr>
        <w:spacing w:after="40"/>
      </w:pPr>
      <w:r>
        <w:rPr>
          <w:i w:val="0"/>
          <w:color w:val="555F6D"/>
          <w:sz w:val="16"/>
        </w:rPr>
        <w:t>10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lhpp_number</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driver_id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lhpp_date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'active'::text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voided_at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voided_by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73" w:name="_Toc1173"/>
      <w:pPr>
        <w:pStyle w:val="Heading3"/>
      </w:pPr>
      <w:r>
        <w:t>shipment_items — Per-product shipped/delivered quantities on a shipment.</w:t>
      </w:r>
      <w:bookmarkEnd w:id="1173"/>
    </w:p>
    <w:p>
      <w:pPr>
        <w:spacing w:after="40"/>
      </w:pPr>
      <w:r>
        <w:rPr>
          <w:i w:val="0"/>
          <w:color w:val="555F6D"/>
          <w:sz w:val="16"/>
        </w:rPr>
        <w:t>6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shipment_id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delivery_order_item_id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product_id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shipped_quantity</w:t>
            </w:r>
          </w:p>
        </w:tc>
        <w:tc>
          <w:tcPr>
            <w:tcW w:type="dxa" w:w="2376"/>
          </w:tcPr>
          <w:p>
            <w:pPr>
              <w:spacing w:after="0"/>
            </w:pPr>
            <w:r/>
            <w:r>
              <w:rPr>
                <w:sz w:val="13"/>
              </w:rPr>
              <w:t>numeric(12,2)</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delivered_quantity</w:t>
            </w:r>
          </w:p>
        </w:tc>
        <w:tc>
          <w:tcPr>
            <w:tcW w:type="dxa" w:w="2376"/>
          </w:tcPr>
          <w:p>
            <w:pPr>
              <w:spacing w:after="0"/>
            </w:pPr>
            <w:r/>
            <w:r>
              <w:rPr>
                <w:sz w:val="13"/>
              </w:rPr>
              <w:t>numeric(12,2)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Quantity in the line's stored unit.</w:t>
            </w:r>
          </w:p>
        </w:tc>
      </w:tr>
    </w:tbl>
    <w:p>
      <w:bookmarkStart w:id="1174" w:name="_Toc1174"/>
      <w:pPr>
        <w:pStyle w:val="Heading3"/>
      </w:pPr>
      <w:r>
        <w:t>shipment_tracking_events — Tracking events (status + GPS) for a shipment.</w:t>
      </w:r>
      <w:bookmarkEnd w:id="1174"/>
    </w:p>
    <w:p>
      <w:pPr>
        <w:spacing w:after="40"/>
      </w:pPr>
      <w:r>
        <w:rPr>
          <w:i w:val="0"/>
          <w:color w:val="555F6D"/>
          <w:sz w:val="16"/>
        </w:rPr>
        <w:t>14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shipment_id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event_time</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source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latitude</w:t>
            </w:r>
          </w:p>
        </w:tc>
        <w:tc>
          <w:tcPr>
            <w:tcW w:type="dxa" w:w="2376"/>
          </w:tcPr>
          <w:p>
            <w:pPr>
              <w:spacing w:after="0"/>
            </w:pPr>
            <w:r/>
            <w:r>
              <w:rPr>
                <w:sz w:val="13"/>
              </w:rPr>
              <w:t>numeric(10,7)</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longitude</w:t>
            </w:r>
          </w:p>
        </w:tc>
        <w:tc>
          <w:tcPr>
            <w:tcW w:type="dxa" w:w="2376"/>
          </w:tcPr>
          <w:p>
            <w:pPr>
              <w:spacing w:after="0"/>
            </w:pPr>
            <w:r/>
            <w:r>
              <w:rPr>
                <w:sz w:val="13"/>
              </w:rPr>
              <w:t>numeric(10,7)</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accuracy_m</w:t>
            </w:r>
          </w:p>
        </w:tc>
        <w:tc>
          <w:tcPr>
            <w:tcW w:type="dxa" w:w="2376"/>
          </w:tcPr>
          <w:p>
            <w:pPr>
              <w:spacing w:after="0"/>
            </w:pPr>
            <w:r/>
            <w:r>
              <w:rPr>
                <w:sz w:val="13"/>
              </w:rPr>
              <w:t>numeric(10,2)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note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provider_ref</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speed_mps</w:t>
            </w:r>
          </w:p>
        </w:tc>
        <w:tc>
          <w:tcPr>
            <w:tcW w:type="dxa" w:w="2376"/>
          </w:tcPr>
          <w:p>
            <w:pPr>
              <w:spacing w:after="0"/>
            </w:pPr>
            <w:r/>
            <w:r>
              <w:rPr>
                <w:sz w:val="13"/>
              </w:rPr>
              <w:t>numeric(8,2)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heading_deg</w:t>
            </w:r>
          </w:p>
        </w:tc>
        <w:tc>
          <w:tcPr>
            <w:tcW w:type="dxa" w:w="2376"/>
          </w:tcPr>
          <w:p>
            <w:pPr>
              <w:spacing w:after="0"/>
            </w:pPr>
            <w:r/>
            <w:r>
              <w:rPr>
                <w:sz w:val="13"/>
              </w:rPr>
              <w:t>numeric(5,2)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75" w:name="_Toc1175"/>
      <w:pPr>
        <w:pStyle w:val="Heading3"/>
      </w:pPr>
      <w:r>
        <w:t>shipments — Shipment (SJ-) with tracking number and barcode.</w:t>
      </w:r>
      <w:bookmarkEnd w:id="1175"/>
    </w:p>
    <w:p>
      <w:pPr>
        <w:spacing w:after="40"/>
      </w:pPr>
      <w:r>
        <w:rPr>
          <w:i w:val="0"/>
          <w:color w:val="555F6D"/>
          <w:sz w:val="16"/>
        </w:rPr>
        <w:t>11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shipment_number</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delivery_order_id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'pending'::text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ship_date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tracking_number</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barcode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76" w:name="_Toc1176"/>
      <w:pPr>
        <w:pStyle w:val="Heading3"/>
      </w:pPr>
      <w:r>
        <w:t>warehouse_deposits — Driver cash deposit to the warehouse, linkable to a shift.</w:t>
      </w:r>
      <w:bookmarkEnd w:id="1176"/>
    </w:p>
    <w:p>
      <w:pPr>
        <w:spacing w:after="40"/>
      </w:pPr>
      <w:r>
        <w:rPr>
          <w:i w:val="0"/>
          <w:color w:val="555F6D"/>
          <w:sz w:val="16"/>
        </w:rPr>
        <w:t>16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deposit_number</w:t>
            </w:r>
          </w:p>
        </w:tc>
        <w:tc>
          <w:tcPr>
            <w:tcW w:type="dxa" w:w="2376"/>
          </w:tcPr>
          <w:p>
            <w:pPr>
              <w:spacing w:after="0"/>
            </w:pPr>
            <w:r/>
            <w:r>
              <w:rPr>
                <w:sz w:val="13"/>
              </w:rPr>
              <w:t>character varying(64)</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warehouse_id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driver_name</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amount</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Monetary value (NUMERIC, never float).</w:t>
            </w:r>
          </w:p>
        </w:tc>
      </w:tr>
      <w:tr>
        <w:trPr>
          <w:cantSplit/>
        </w:trPr>
        <w:tc>
          <w:tcPr>
            <w:tcW w:type="dxa" w:w="2160"/>
          </w:tcPr>
          <w:p>
            <w:pPr>
              <w:spacing w:after="0"/>
            </w:pPr>
            <w:r/>
            <w:r>
              <w:rPr>
                <w:sz w:val="13"/>
              </w:rPr>
              <w:t>deposit_date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CURRENT_DATE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character varying(32)</w:t>
            </w:r>
          </w:p>
        </w:tc>
        <w:tc>
          <w:tcPr>
            <w:tcW w:type="dxa" w:w="576"/>
          </w:tcPr>
          <w:p>
            <w:pPr>
              <w:spacing w:after="0"/>
            </w:pPr>
            <w:r/>
            <w:r>
              <w:rPr>
                <w:sz w:val="13"/>
              </w:rPr>
              <w:t>NO</w:t>
            </w:r>
          </w:p>
        </w:tc>
        <w:tc>
          <w:tcPr>
            <w:tcW w:type="dxa" w:w="2160"/>
          </w:tcPr>
          <w:p>
            <w:pPr>
              <w:spacing w:after="0"/>
            </w:pPr>
            <w:r/>
            <w:r>
              <w:rPr>
                <w:sz w:val="13"/>
              </w:rPr>
              <w:t>'pending'::character varying</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shift_id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drawer_entry_id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received_by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received_at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driver_id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bl>
    <w:p>
      <w:bookmarkStart w:id="1177" w:name="_Toc1177"/>
      <w:pPr>
        <w:pStyle w:val="Heading2"/>
      </w:pPr>
      <w:r>
        <w:t>18.14 Sales tracking</w:t>
      </w:r>
      <w:bookmarkEnd w:id="1177"/>
    </w:p>
    <w:p>
      <w:bookmarkStart w:id="1178" w:name="_Toc1178"/>
      <w:pPr>
        <w:pStyle w:val="Heading3"/>
      </w:pPr>
      <w:r>
        <w:t>sales_activities — Sales activity log (call/meeting/follow-up) per salesperson.</w:t>
      </w:r>
      <w:bookmarkEnd w:id="1178"/>
    </w:p>
    <w:p>
      <w:pPr>
        <w:spacing w:after="40"/>
      </w:pPr>
      <w:r>
        <w:rPr>
          <w:i w:val="0"/>
          <w:color w:val="555F6D"/>
          <w:sz w:val="16"/>
        </w:rPr>
        <w:t>12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sales_id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sales_visit_id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activity_date</w:t>
            </w:r>
          </w:p>
        </w:tc>
        <w:tc>
          <w:tcPr>
            <w:tcW w:type="dxa" w:w="2376"/>
          </w:tcPr>
          <w:p>
            <w:pPr>
              <w:spacing w:after="0"/>
            </w:pPr>
            <w:r/>
            <w:r>
              <w:rPr>
                <w:sz w:val="13"/>
              </w:rPr>
              <w:t>date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activity_type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description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result</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follow_up_date</w:t>
            </w:r>
          </w:p>
        </w:tc>
        <w:tc>
          <w:tcPr>
            <w:tcW w:type="dxa" w:w="2376"/>
          </w:tcPr>
          <w:p>
            <w:pPr>
              <w:spacing w:after="0"/>
            </w:pPr>
            <w:r/>
            <w:r>
              <w:rPr>
                <w:sz w:val="13"/>
              </w:rPr>
              <w:t>date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follow_up_notes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customer_id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bl>
    <w:p>
      <w:bookmarkStart w:id="1179" w:name="_Toc1179"/>
      <w:pPr>
        <w:pStyle w:val="Heading3"/>
      </w:pPr>
      <w:r>
        <w:t>sales_locations — GPS pings from the sales mobile app.</w:t>
      </w:r>
      <w:bookmarkEnd w:id="1179"/>
    </w:p>
    <w:p>
      <w:pPr>
        <w:spacing w:after="40"/>
      </w:pPr>
      <w:r>
        <w:rPr>
          <w:i w:val="0"/>
          <w:color w:val="555F6D"/>
          <w:sz w:val="16"/>
        </w:rPr>
        <w:t>11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sales_id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latitude</w:t>
            </w:r>
          </w:p>
        </w:tc>
        <w:tc>
          <w:tcPr>
            <w:tcW w:type="dxa" w:w="2376"/>
          </w:tcPr>
          <w:p>
            <w:pPr>
              <w:spacing w:after="0"/>
            </w:pPr>
            <w:r/>
            <w:r>
              <w:rPr>
                <w:sz w:val="13"/>
              </w:rPr>
              <w:t>numeric(10,8)</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longitude</w:t>
            </w:r>
          </w:p>
        </w:tc>
        <w:tc>
          <w:tcPr>
            <w:tcW w:type="dxa" w:w="2376"/>
          </w:tcPr>
          <w:p>
            <w:pPr>
              <w:spacing w:after="0"/>
            </w:pPr>
            <w:r/>
            <w:r>
              <w:rPr>
                <w:sz w:val="13"/>
              </w:rPr>
              <w:t>numeric(11,8)</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accuracy</w:t>
            </w:r>
          </w:p>
        </w:tc>
        <w:tc>
          <w:tcPr>
            <w:tcW w:type="dxa" w:w="2376"/>
          </w:tcPr>
          <w:p>
            <w:pPr>
              <w:spacing w:after="0"/>
            </w:pPr>
            <w:r/>
            <w:r>
              <w:rPr>
                <w:sz w:val="13"/>
              </w:rPr>
              <w:t>numeric(8,2)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speed</w:t>
            </w:r>
          </w:p>
        </w:tc>
        <w:tc>
          <w:tcPr>
            <w:tcW w:type="dxa" w:w="2376"/>
          </w:tcPr>
          <w:p>
            <w:pPr>
              <w:spacing w:after="0"/>
            </w:pPr>
            <w:r/>
            <w:r>
              <w:rPr>
                <w:sz w:val="13"/>
              </w:rPr>
              <w:t>numeric(8,2)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heading</w:t>
            </w:r>
          </w:p>
        </w:tc>
        <w:tc>
          <w:tcPr>
            <w:tcW w:type="dxa" w:w="2376"/>
          </w:tcPr>
          <w:p>
            <w:pPr>
              <w:spacing w:after="0"/>
            </w:pPr>
            <w:r/>
            <w:r>
              <w:rPr>
                <w:sz w:val="13"/>
              </w:rPr>
              <w:t>numeric(8,2)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recorded_at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battery_level</w:t>
            </w:r>
          </w:p>
        </w:tc>
        <w:tc>
          <w:tcPr>
            <w:tcW w:type="dxa" w:w="2376"/>
          </w:tcPr>
          <w:p>
            <w:pPr>
              <w:spacing w:after="0"/>
            </w:pPr>
            <w:r/>
            <w:r>
              <w:rPr>
                <w:sz w:val="13"/>
              </w:rPr>
              <w:t>smallint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80" w:name="_Toc1180"/>
      <w:pPr>
        <w:pStyle w:val="Heading3"/>
      </w:pPr>
      <w:r>
        <w:t>sales_routes — Planned daily route per salesperson (JSONB customer list).</w:t>
      </w:r>
      <w:bookmarkEnd w:id="1180"/>
    </w:p>
    <w:p>
      <w:pPr>
        <w:spacing w:after="40"/>
      </w:pPr>
      <w:r>
        <w:rPr>
          <w:i w:val="0"/>
          <w:color w:val="555F6D"/>
          <w:sz w:val="16"/>
        </w:rPr>
        <w:t>9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sales_id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route_date</w:t>
            </w:r>
          </w:p>
        </w:tc>
        <w:tc>
          <w:tcPr>
            <w:tcW w:type="dxa" w:w="2376"/>
          </w:tcPr>
          <w:p>
            <w:pPr>
              <w:spacing w:after="0"/>
            </w:pPr>
            <w:r/>
            <w:r>
              <w:rPr>
                <w:sz w:val="13"/>
              </w:rPr>
              <w:t>date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name</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planned_customers</w:t>
            </w:r>
          </w:p>
        </w:tc>
        <w:tc>
          <w:tcPr>
            <w:tcW w:type="dxa" w:w="2376"/>
          </w:tcPr>
          <w:p>
            <w:pPr>
              <w:spacing w:after="0"/>
            </w:pPr>
            <w:r/>
            <w:r>
              <w:rPr>
                <w:sz w:val="13"/>
              </w:rPr>
              <w:t>jsonb</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'planned'::text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81" w:name="_Toc1181"/>
      <w:pPr>
        <w:pStyle w:val="Heading3"/>
      </w:pPr>
      <w:r>
        <w:t>sales_visits — Planned/actual customer visits with GPS check-in/out.</w:t>
      </w:r>
      <w:bookmarkEnd w:id="1181"/>
    </w:p>
    <w:p>
      <w:pPr>
        <w:spacing w:after="40"/>
      </w:pPr>
      <w:r>
        <w:rPr>
          <w:i w:val="0"/>
          <w:color w:val="555F6D"/>
          <w:sz w:val="16"/>
        </w:rPr>
        <w:t>21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sales_id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customer_id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visit_date</w:t>
            </w:r>
          </w:p>
        </w:tc>
        <w:tc>
          <w:tcPr>
            <w:tcW w:type="dxa" w:w="2376"/>
          </w:tcPr>
          <w:p>
            <w:pPr>
              <w:spacing w:after="0"/>
            </w:pPr>
            <w:r/>
            <w:r>
              <w:rPr>
                <w:sz w:val="13"/>
              </w:rPr>
              <w:t>date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check_in_time</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check_out_time</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check_in_lat</w:t>
            </w:r>
          </w:p>
        </w:tc>
        <w:tc>
          <w:tcPr>
            <w:tcW w:type="dxa" w:w="2376"/>
          </w:tcPr>
          <w:p>
            <w:pPr>
              <w:spacing w:after="0"/>
            </w:pPr>
            <w:r/>
            <w:r>
              <w:rPr>
                <w:sz w:val="13"/>
              </w:rPr>
              <w:t>numeric(10,8)</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check_in_lng</w:t>
            </w:r>
          </w:p>
        </w:tc>
        <w:tc>
          <w:tcPr>
            <w:tcW w:type="dxa" w:w="2376"/>
          </w:tcPr>
          <w:p>
            <w:pPr>
              <w:spacing w:after="0"/>
            </w:pPr>
            <w:r/>
            <w:r>
              <w:rPr>
                <w:sz w:val="13"/>
              </w:rPr>
              <w:t>numeric(11,8)</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check_out_lat</w:t>
            </w:r>
          </w:p>
        </w:tc>
        <w:tc>
          <w:tcPr>
            <w:tcW w:type="dxa" w:w="2376"/>
          </w:tcPr>
          <w:p>
            <w:pPr>
              <w:spacing w:after="0"/>
            </w:pPr>
            <w:r/>
            <w:r>
              <w:rPr>
                <w:sz w:val="13"/>
              </w:rPr>
              <w:t>numeric(10,8)</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check_out_lng</w:t>
            </w:r>
          </w:p>
        </w:tc>
        <w:tc>
          <w:tcPr>
            <w:tcW w:type="dxa" w:w="2376"/>
          </w:tcPr>
          <w:p>
            <w:pPr>
              <w:spacing w:after="0"/>
            </w:pPr>
            <w:r/>
            <w:r>
              <w:rPr>
                <w:sz w:val="13"/>
              </w:rPr>
              <w:t>numeric(11,8)</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purpose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result</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sales_order_id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'planned'::text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photo_check_in</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photo_check_out</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visit_type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'routine'::text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scheduled_by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82" w:name="_Toc1182"/>
      <w:pPr>
        <w:pStyle w:val="Heading2"/>
      </w:pPr>
      <w:r>
        <w:t>18.15 HR</w:t>
      </w:r>
      <w:bookmarkEnd w:id="1182"/>
    </w:p>
    <w:p>
      <w:bookmarkStart w:id="1183" w:name="_Toc1183"/>
      <w:pPr>
        <w:pStyle w:val="Heading3"/>
      </w:pPr>
      <w:r>
        <w:t>attendances — Daily employee attendance with clock in/out and GPS coordinates.</w:t>
      </w:r>
      <w:bookmarkEnd w:id="1183"/>
    </w:p>
    <w:p>
      <w:pPr>
        <w:spacing w:after="40"/>
      </w:pPr>
      <w:r>
        <w:rPr>
          <w:i w:val="0"/>
          <w:color w:val="555F6D"/>
          <w:sz w:val="16"/>
        </w:rPr>
        <w:t>17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employee_id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attendance_date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clock_in</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clock_out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clock_in_lat</w:t>
            </w:r>
          </w:p>
        </w:tc>
        <w:tc>
          <w:tcPr>
            <w:tcW w:type="dxa" w:w="2376"/>
          </w:tcPr>
          <w:p>
            <w:pPr>
              <w:spacing w:after="0"/>
            </w:pPr>
            <w:r/>
            <w:r>
              <w:rPr>
                <w:sz w:val="13"/>
              </w:rPr>
              <w:t>numeric(10,8)</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clock_in_lng</w:t>
            </w:r>
          </w:p>
        </w:tc>
        <w:tc>
          <w:tcPr>
            <w:tcW w:type="dxa" w:w="2376"/>
          </w:tcPr>
          <w:p>
            <w:pPr>
              <w:spacing w:after="0"/>
            </w:pPr>
            <w:r/>
            <w:r>
              <w:rPr>
                <w:sz w:val="13"/>
              </w:rPr>
              <w:t>numeric(11,8)</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clock_out_lat</w:t>
            </w:r>
          </w:p>
        </w:tc>
        <w:tc>
          <w:tcPr>
            <w:tcW w:type="dxa" w:w="2376"/>
          </w:tcPr>
          <w:p>
            <w:pPr>
              <w:spacing w:after="0"/>
            </w:pPr>
            <w:r/>
            <w:r>
              <w:rPr>
                <w:sz w:val="13"/>
              </w:rPr>
              <w:t>numeric(10,8)</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clock_out_lng</w:t>
            </w:r>
          </w:p>
        </w:tc>
        <w:tc>
          <w:tcPr>
            <w:tcW w:type="dxa" w:w="2376"/>
          </w:tcPr>
          <w:p>
            <w:pPr>
              <w:spacing w:after="0"/>
            </w:pPr>
            <w:r/>
            <w:r>
              <w:rPr>
                <w:sz w:val="13"/>
              </w:rPr>
              <w:t>numeric(11,8)</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'present'::text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work_hours</w:t>
            </w:r>
          </w:p>
        </w:tc>
        <w:tc>
          <w:tcPr>
            <w:tcW w:type="dxa" w:w="2376"/>
          </w:tcPr>
          <w:p>
            <w:pPr>
              <w:spacing w:after="0"/>
            </w:pPr>
            <w:r/>
            <w:r>
              <w:rPr>
                <w:sz w:val="13"/>
              </w:rPr>
              <w:t>numeric(10,2)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overtime_hours</w:t>
            </w:r>
          </w:p>
        </w:tc>
        <w:tc>
          <w:tcPr>
            <w:tcW w:type="dxa" w:w="2376"/>
          </w:tcPr>
          <w:p>
            <w:pPr>
              <w:spacing w:after="0"/>
            </w:pPr>
            <w:r/>
            <w:r>
              <w:rPr>
                <w:sz w:val="13"/>
              </w:rPr>
              <w:t>numeric(10,2)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photo_clock_in</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photo_clock_out</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84" w:name="_Toc1184"/>
      <w:pPr>
        <w:pStyle w:val="Heading3"/>
      </w:pPr>
      <w:r>
        <w:t>employees — Employee master; also the FK target for sales_id and driver_id.</w:t>
      </w:r>
      <w:bookmarkEnd w:id="1184"/>
    </w:p>
    <w:p>
      <w:pPr>
        <w:spacing w:after="40"/>
      </w:pPr>
      <w:r>
        <w:rPr>
          <w:i w:val="0"/>
          <w:color w:val="555F6D"/>
          <w:sz w:val="16"/>
        </w:rPr>
        <w:t>30 columns. Classification: Sensitive (PII/financial).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employee_number</w:t>
            </w:r>
          </w:p>
        </w:tc>
        <w:tc>
          <w:tcPr>
            <w:tcW w:type="dxa" w:w="2376"/>
          </w:tcPr>
          <w:p>
            <w:pPr>
              <w:spacing w:after="0"/>
            </w:pPr>
            <w:r/>
            <w:r>
              <w:rPr>
                <w:sz w:val="13"/>
              </w:rPr>
              <w:t>character varying(30)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user_id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name</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nik</w:t>
            </w:r>
          </w:p>
        </w:tc>
        <w:tc>
          <w:tcPr>
            <w:tcW w:type="dxa" w:w="2376"/>
          </w:tcPr>
          <w:p>
            <w:pPr>
              <w:spacing w:after="0"/>
            </w:pPr>
            <w:r/>
            <w:r>
              <w:rPr>
                <w:sz w:val="13"/>
              </w:rPr>
              <w:t>character varying(20)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department</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'operations'::text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position</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employment_type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'permanent'::text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join_date</w:t>
            </w:r>
          </w:p>
        </w:tc>
        <w:tc>
          <w:tcPr>
            <w:tcW w:type="dxa" w:w="2376"/>
          </w:tcPr>
          <w:p>
            <w:pPr>
              <w:spacing w:after="0"/>
            </w:pPr>
            <w:r/>
            <w:r>
              <w:rPr>
                <w:sz w:val="13"/>
              </w:rPr>
              <w:t>date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end_date</w:t>
            </w:r>
          </w:p>
        </w:tc>
        <w:tc>
          <w:tcPr>
            <w:tcW w:type="dxa" w:w="2376"/>
          </w:tcPr>
          <w:p>
            <w:pPr>
              <w:spacing w:after="0"/>
            </w:pPr>
            <w:r/>
            <w:r>
              <w:rPr>
                <w:sz w:val="13"/>
              </w:rPr>
              <w:t>date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basic_salary</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phone</w:t>
            </w:r>
          </w:p>
        </w:tc>
        <w:tc>
          <w:tcPr>
            <w:tcW w:type="dxa" w:w="2376"/>
          </w:tcPr>
          <w:p>
            <w:pPr>
              <w:spacing w:after="0"/>
            </w:pPr>
            <w:r/>
            <w:r>
              <w:rPr>
                <w:sz w:val="13"/>
              </w:rPr>
              <w:t>character varying(20)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email</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address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city</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bank_name</w:t>
            </w:r>
          </w:p>
        </w:tc>
        <w:tc>
          <w:tcPr>
            <w:tcW w:type="dxa" w:w="2376"/>
          </w:tcPr>
          <w:p>
            <w:pPr>
              <w:spacing w:after="0"/>
            </w:pPr>
            <w:r/>
            <w:r>
              <w:rPr>
                <w:sz w:val="13"/>
              </w:rPr>
              <w:t>character varying(100)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bank_account</w:t>
            </w:r>
          </w:p>
        </w:tc>
        <w:tc>
          <w:tcPr>
            <w:tcW w:type="dxa" w:w="2376"/>
          </w:tcPr>
          <w:p>
            <w:pPr>
              <w:spacing w:after="0"/>
            </w:pPr>
            <w:r/>
            <w:r>
              <w:rPr>
                <w:sz w:val="13"/>
              </w:rPr>
              <w:t>character varying(50)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bank_account_name</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photo</w:t>
            </w:r>
          </w:p>
        </w:tc>
        <w:tc>
          <w:tcPr>
            <w:tcW w:type="dxa" w:w="2376"/>
          </w:tcPr>
          <w:p>
            <w:pPr>
              <w:spacing w:after="0"/>
            </w:pPr>
            <w:r/>
            <w:r>
              <w:rPr>
                <w:sz w:val="13"/>
              </w:rPr>
              <w:t>character varying(255)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is_active</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true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deleted_at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Soft-delete marker (NULL = live row).</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leave_balance</w:t>
            </w:r>
          </w:p>
        </w:tc>
        <w:tc>
          <w:tcPr>
            <w:tcW w:type="dxa" w:w="2376"/>
          </w:tcPr>
          <w:p>
            <w:pPr>
              <w:spacing w:after="0"/>
            </w:pPr>
            <w:r/>
            <w:r>
              <w:rPr>
                <w:sz w:val="13"/>
              </w:rPr>
              <w:t>numeric</w:t>
            </w:r>
          </w:p>
        </w:tc>
        <w:tc>
          <w:tcPr>
            <w:tcW w:type="dxa" w:w="576"/>
          </w:tcPr>
          <w:p>
            <w:pPr>
              <w:spacing w:after="0"/>
            </w:pPr>
            <w:r/>
            <w:r>
              <w:rPr>
                <w:sz w:val="13"/>
              </w:rPr>
              <w:t>NO</w:t>
            </w:r>
          </w:p>
        </w:tc>
        <w:tc>
          <w:tcPr>
            <w:tcW w:type="dxa" w:w="2160"/>
          </w:tcPr>
          <w:p>
            <w:pPr>
              <w:spacing w:after="0"/>
            </w:pPr>
            <w:r/>
            <w:r>
              <w:rPr>
                <w:sz w:val="13"/>
              </w:rPr>
              <w:t>12</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leave_used</w:t>
            </w:r>
          </w:p>
        </w:tc>
        <w:tc>
          <w:tcPr>
            <w:tcW w:type="dxa" w:w="2376"/>
          </w:tcPr>
          <w:p>
            <w:pPr>
              <w:spacing w:after="0"/>
            </w:pPr>
            <w:r/>
            <w:r>
              <w:rPr>
                <w:sz w:val="13"/>
              </w:rPr>
              <w:t>numeric</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job_level</w:t>
            </w:r>
          </w:p>
        </w:tc>
        <w:tc>
          <w:tcPr>
            <w:tcW w:type="dxa" w:w="2376"/>
          </w:tcPr>
          <w:p>
            <w:pPr>
              <w:spacing w:after="0"/>
            </w:pPr>
            <w:r/>
            <w:r>
              <w:rPr>
                <w:sz w:val="13"/>
              </w:rPr>
              <w:t>character varying(100)</w:t>
            </w:r>
          </w:p>
        </w:tc>
        <w:tc>
          <w:tcPr>
            <w:tcW w:type="dxa" w:w="576"/>
          </w:tcPr>
          <w:p>
            <w:pPr>
              <w:spacing w:after="0"/>
            </w:pPr>
            <w:r/>
            <w:r>
              <w:rPr>
                <w:sz w:val="13"/>
              </w:rPr>
              <w:t>NO</w:t>
            </w:r>
          </w:p>
        </w:tc>
        <w:tc>
          <w:tcPr>
            <w:tcW w:type="dxa" w:w="2160"/>
          </w:tcPr>
          <w:p>
            <w:pPr>
              <w:spacing w:after="0"/>
            </w:pPr>
            <w:r/>
            <w:r>
              <w:rPr>
                <w:sz w:val="13"/>
              </w:rPr>
              <w:t>'staff'::character varying</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allowance</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npwp</w:t>
            </w:r>
          </w:p>
        </w:tc>
        <w:tc>
          <w:tcPr>
            <w:tcW w:type="dxa" w:w="2376"/>
          </w:tcPr>
          <w:p>
            <w:pPr>
              <w:spacing w:after="0"/>
            </w:pPr>
            <w:r/>
            <w:r>
              <w:rPr>
                <w:sz w:val="13"/>
              </w:rPr>
              <w:t>character varying(30)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bpjs_ketenagakerjaan_no</w:t>
            </w:r>
          </w:p>
        </w:tc>
        <w:tc>
          <w:tcPr>
            <w:tcW w:type="dxa" w:w="2376"/>
          </w:tcPr>
          <w:p>
            <w:pPr>
              <w:spacing w:after="0"/>
            </w:pPr>
            <w:r/>
            <w:r>
              <w:rPr>
                <w:sz w:val="13"/>
              </w:rPr>
              <w:t>character varying(50)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bpjs_kesehatan_no</w:t>
            </w:r>
          </w:p>
        </w:tc>
        <w:tc>
          <w:tcPr>
            <w:tcW w:type="dxa" w:w="2376"/>
          </w:tcPr>
          <w:p>
            <w:pPr>
              <w:spacing w:after="0"/>
            </w:pPr>
            <w:r/>
            <w:r>
              <w:rPr>
                <w:sz w:val="13"/>
              </w:rPr>
              <w:t>character varying(50)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85" w:name="_Toc1185"/>
      <w:pPr>
        <w:pStyle w:val="Heading3"/>
      </w:pPr>
      <w:r>
        <w:t>leaves — Employee leave requests with approval state.</w:t>
      </w:r>
      <w:bookmarkEnd w:id="1185"/>
    </w:p>
    <w:p>
      <w:pPr>
        <w:spacing w:after="40"/>
      </w:pPr>
      <w:r>
        <w:rPr>
          <w:i w:val="0"/>
          <w:color w:val="555F6D"/>
          <w:sz w:val="16"/>
        </w:rPr>
        <w:t>13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employee_id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leave_type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start_date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end_date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total_days</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reason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'pending'::text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approved_by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approved_at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86" w:name="_Toc1186"/>
      <w:pPr>
        <w:pStyle w:val="Heading3"/>
      </w:pPr>
      <w:r>
        <w:t>payrolls — Monthly payroll per employee with BPJS/PPh21 components.</w:t>
      </w:r>
      <w:bookmarkEnd w:id="1186"/>
    </w:p>
    <w:p>
      <w:pPr>
        <w:spacing w:after="40"/>
      </w:pPr>
      <w:r>
        <w:rPr>
          <w:i w:val="0"/>
          <w:color w:val="555F6D"/>
          <w:sz w:val="16"/>
        </w:rPr>
        <w:t>19 columns. Classification: Sensitive (PII/financial).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payroll_number</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employee_id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period_month</w:t>
            </w:r>
          </w:p>
        </w:tc>
        <w:tc>
          <w:tcPr>
            <w:tcW w:type="dxa" w:w="2376"/>
          </w:tcPr>
          <w:p>
            <w:pPr>
              <w:spacing w:after="0"/>
            </w:pPr>
            <w:r/>
            <w:r>
              <w:rPr>
                <w:sz w:val="13"/>
              </w:rPr>
              <w:t>smallint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period_year</w:t>
            </w:r>
          </w:p>
        </w:tc>
        <w:tc>
          <w:tcPr>
            <w:tcW w:type="dxa" w:w="2376"/>
          </w:tcPr>
          <w:p>
            <w:pPr>
              <w:spacing w:after="0"/>
            </w:pPr>
            <w:r/>
            <w:r>
              <w:rPr>
                <w:sz w:val="13"/>
              </w:rPr>
              <w:t>smallint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basic_salary</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allowances</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overtime_pay</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bonus</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deductions</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bpjs_ketenagakerjaan</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bpjs_kesehatan</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pph21</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net_salary</w:t>
            </w:r>
          </w:p>
        </w:tc>
        <w:tc>
          <w:tcPr>
            <w:tcW w:type="dxa" w:w="2376"/>
          </w:tcPr>
          <w:p>
            <w:pPr>
              <w:spacing w:after="0"/>
            </w:pPr>
            <w:r/>
            <w:r>
              <w:rPr>
                <w:sz w:val="13"/>
              </w:rPr>
              <w:t>numeric(15,2)</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payment_date</w:t>
            </w:r>
          </w:p>
        </w:tc>
        <w:tc>
          <w:tcPr>
            <w:tcW w:type="dxa" w:w="2376"/>
          </w:tcPr>
          <w:p>
            <w:pPr>
              <w:spacing w:after="0"/>
            </w:pPr>
            <w:r/>
            <w:r>
              <w:rPr>
                <w:sz w:val="13"/>
              </w:rPr>
              <w:t>date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'draft'::text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87" w:name="_Toc1187"/>
      <w:pPr>
        <w:pStyle w:val="Heading3"/>
      </w:pPr>
      <w:r>
        <w:t>performances — Periodic employee performance evaluation scores and grade.</w:t>
      </w:r>
      <w:bookmarkEnd w:id="1187"/>
    </w:p>
    <w:p>
      <w:pPr>
        <w:spacing w:after="40"/>
      </w:pPr>
      <w:r>
        <w:rPr>
          <w:i w:val="0"/>
          <w:color w:val="555F6D"/>
          <w:sz w:val="16"/>
        </w:rPr>
        <w:t>16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employee_id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evaluator_id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period_month</w:t>
            </w:r>
          </w:p>
        </w:tc>
        <w:tc>
          <w:tcPr>
            <w:tcW w:type="dxa" w:w="2376"/>
          </w:tcPr>
          <w:p>
            <w:pPr>
              <w:spacing w:after="0"/>
            </w:pPr>
            <w:r/>
            <w:r>
              <w:rPr>
                <w:sz w:val="13"/>
              </w:rPr>
              <w:t>smallint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period_year</w:t>
            </w:r>
          </w:p>
        </w:tc>
        <w:tc>
          <w:tcPr>
            <w:tcW w:type="dxa" w:w="2376"/>
          </w:tcPr>
          <w:p>
            <w:pPr>
              <w:spacing w:after="0"/>
            </w:pPr>
            <w:r/>
            <w:r>
              <w:rPr>
                <w:sz w:val="13"/>
              </w:rPr>
              <w:t>smallint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kpi_score</w:t>
            </w:r>
          </w:p>
        </w:tc>
        <w:tc>
          <w:tcPr>
            <w:tcW w:type="dxa" w:w="2376"/>
          </w:tcPr>
          <w:p>
            <w:pPr>
              <w:spacing w:after="0"/>
            </w:pPr>
            <w:r/>
            <w:r>
              <w:rPr>
                <w:sz w:val="13"/>
              </w:rPr>
              <w:t>numeric(5,2)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attitude_score</w:t>
            </w:r>
          </w:p>
        </w:tc>
        <w:tc>
          <w:tcPr>
            <w:tcW w:type="dxa" w:w="2376"/>
          </w:tcPr>
          <w:p>
            <w:pPr>
              <w:spacing w:after="0"/>
            </w:pPr>
            <w:r/>
            <w:r>
              <w:rPr>
                <w:sz w:val="13"/>
              </w:rPr>
              <w:t>numeric(5,2)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teamwork_score</w:t>
            </w:r>
          </w:p>
        </w:tc>
        <w:tc>
          <w:tcPr>
            <w:tcW w:type="dxa" w:w="2376"/>
          </w:tcPr>
          <w:p>
            <w:pPr>
              <w:spacing w:after="0"/>
            </w:pPr>
            <w:r/>
            <w:r>
              <w:rPr>
                <w:sz w:val="13"/>
              </w:rPr>
              <w:t>numeric(5,2)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achievement_score</w:t>
            </w:r>
          </w:p>
        </w:tc>
        <w:tc>
          <w:tcPr>
            <w:tcW w:type="dxa" w:w="2376"/>
          </w:tcPr>
          <w:p>
            <w:pPr>
              <w:spacing w:after="0"/>
            </w:pPr>
            <w:r/>
            <w:r>
              <w:rPr>
                <w:sz w:val="13"/>
              </w:rPr>
              <w:t>numeric(5,2)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total_score</w:t>
            </w:r>
          </w:p>
        </w:tc>
        <w:tc>
          <w:tcPr>
            <w:tcW w:type="dxa" w:w="2376"/>
          </w:tcPr>
          <w:p>
            <w:pPr>
              <w:spacing w:after="0"/>
            </w:pPr>
            <w:r/>
            <w:r>
              <w:rPr>
                <w:sz w:val="13"/>
              </w:rPr>
              <w:t>numeric(5,2)</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grade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achievements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improvements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notes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88" w:name="_Toc1188"/>
      <w:pPr>
        <w:pStyle w:val="Heading2"/>
      </w:pPr>
      <w:r>
        <w:t>18.16 Support</w:t>
      </w:r>
      <w:bookmarkEnd w:id="1188"/>
    </w:p>
    <w:p>
      <w:bookmarkStart w:id="1189" w:name="_Toc1189"/>
      <w:pPr>
        <w:pStyle w:val="Heading3"/>
      </w:pPr>
      <w:r>
        <w:t>ticket_comments — Comments on a support ticket (internal or public).</w:t>
      </w:r>
      <w:bookmarkEnd w:id="1189"/>
    </w:p>
    <w:p>
      <w:pPr>
        <w:spacing w:after="40"/>
      </w:pPr>
      <w:r>
        <w:rPr>
          <w:i w:val="0"/>
          <w:color w:val="555F6D"/>
          <w:sz w:val="16"/>
        </w:rPr>
        <w:t>7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ticket_id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user_id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user_name</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''::character varying</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comment</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is_internal</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false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90" w:name="_Toc1190"/>
      <w:pPr>
        <w:pStyle w:val="Heading3"/>
      </w:pPr>
      <w:r>
        <w:t>tickets — Cross-application support ticket with source app/path.</w:t>
      </w:r>
      <w:bookmarkEnd w:id="1190"/>
    </w:p>
    <w:p>
      <w:pPr>
        <w:spacing w:after="40"/>
      </w:pPr>
      <w:r>
        <w:rPr>
          <w:i w:val="0"/>
          <w:color w:val="555F6D"/>
          <w:sz w:val="16"/>
        </w:rPr>
        <w:t>17 columns. Classification: Sensitive (PII/financial).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ticket_number</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title</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description</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category</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'other'::text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priority</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'medium'::text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'open'::text</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source_app</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'erp'::text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source_path</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''::text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reporter_id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reporter_name</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''::character varying</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reporter_email</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''::character varying</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assigned_to_id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metadata</w:t>
            </w:r>
          </w:p>
        </w:tc>
        <w:tc>
          <w:tcPr>
            <w:tcW w:type="dxa" w:w="2376"/>
          </w:tcPr>
          <w:p>
            <w:pPr>
              <w:spacing w:after="0"/>
            </w:pPr>
            <w:r/>
            <w:r>
              <w:rPr>
                <w:sz w:val="13"/>
              </w:rPr>
              <w:t>jsonb</w:t>
            </w:r>
          </w:p>
        </w:tc>
        <w:tc>
          <w:tcPr>
            <w:tcW w:type="dxa" w:w="576"/>
          </w:tcPr>
          <w:p>
            <w:pPr>
              <w:spacing w:after="0"/>
            </w:pPr>
            <w:r/>
            <w:r>
              <w:rPr>
                <w:sz w:val="13"/>
              </w:rPr>
              <w:t>NO</w:t>
            </w:r>
          </w:p>
        </w:tc>
        <w:tc>
          <w:tcPr>
            <w:tcW w:type="dxa" w:w="2160"/>
          </w:tcPr>
          <w:p>
            <w:pPr>
              <w:spacing w:after="0"/>
            </w:pPr>
            <w:r/>
            <w:r>
              <w:rPr>
                <w:sz w:val="13"/>
              </w:rPr>
              <w:t>'{}'::jsonb</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resolved_at</w:t>
            </w:r>
          </w:p>
        </w:tc>
        <w:tc>
          <w:tcPr>
            <w:tcW w:type="dxa" w:w="2376"/>
          </w:tcPr>
          <w:p>
            <w:pPr>
              <w:spacing w:after="0"/>
            </w:pPr>
            <w:r/>
            <w:r>
              <w:rPr>
                <w:sz w:val="13"/>
              </w:rPr>
              <w:t>timestamp with time zone</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91" w:name="_Toc1191"/>
      <w:pPr>
        <w:pStyle w:val="Heading2"/>
      </w:pPr>
      <w:r>
        <w:t>18.17 Reports</w:t>
      </w:r>
      <w:bookmarkEnd w:id="1191"/>
    </w:p>
    <w:p>
      <w:bookmarkStart w:id="1192" w:name="_Toc1192"/>
      <w:pPr>
        <w:pStyle w:val="Heading3"/>
      </w:pPr>
      <w:r>
        <w:t>report_templates — Versioned NextReport JSON templates (active/draft per report_code).</w:t>
      </w:r>
      <w:bookmarkEnd w:id="1192"/>
    </w:p>
    <w:p>
      <w:pPr>
        <w:spacing w:after="40"/>
      </w:pPr>
      <w:r>
        <w:rPr>
          <w:i w:val="0"/>
          <w:color w:val="555F6D"/>
          <w:sz w:val="16"/>
        </w:rPr>
        <w:t>13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report_code</w:t>
            </w:r>
          </w:p>
        </w:tc>
        <w:tc>
          <w:tcPr>
            <w:tcW w:type="dxa" w:w="2376"/>
          </w:tcPr>
          <w:p>
            <w:pPr>
              <w:spacing w:after="0"/>
            </w:pPr>
            <w:r/>
            <w:r>
              <w:rPr>
                <w:sz w:val="13"/>
              </w:rPr>
              <w:t>character varying(64)</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version</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1</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name</w:t>
            </w:r>
          </w:p>
        </w:tc>
        <w:tc>
          <w:tcPr>
            <w:tcW w:type="dxa" w:w="2376"/>
          </w:tcPr>
          <w:p>
            <w:pPr>
              <w:spacing w:after="0"/>
            </w:pPr>
            <w:r/>
            <w:r>
              <w:rPr>
                <w:sz w:val="13"/>
              </w:rPr>
              <w:t>character varying(128)</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description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template_data</w:t>
            </w:r>
          </w:p>
        </w:tc>
        <w:tc>
          <w:tcPr>
            <w:tcW w:type="dxa" w:w="2376"/>
          </w:tcPr>
          <w:p>
            <w:pPr>
              <w:spacing w:after="0"/>
            </w:pPr>
            <w:r/>
            <w:r>
              <w:rPr>
                <w:sz w:val="13"/>
              </w:rPr>
              <w:t>jsonb</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sample_data</w:t>
            </w:r>
          </w:p>
        </w:tc>
        <w:tc>
          <w:tcPr>
            <w:tcW w:type="dxa" w:w="2376"/>
          </w:tcPr>
          <w:p>
            <w:pPr>
              <w:spacing w:after="0"/>
            </w:pPr>
            <w:r/>
            <w:r>
              <w:rPr>
                <w:sz w:val="13"/>
              </w:rPr>
              <w:t>jsonb</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status</w:t>
            </w:r>
          </w:p>
        </w:tc>
        <w:tc>
          <w:tcPr>
            <w:tcW w:type="dxa" w:w="2376"/>
          </w:tcPr>
          <w:p>
            <w:pPr>
              <w:spacing w:after="0"/>
            </w:pPr>
            <w:r/>
            <w:r>
              <w:rPr>
                <w:sz w:val="13"/>
              </w:rPr>
              <w:t>character varying(20)</w:t>
            </w:r>
          </w:p>
        </w:tc>
        <w:tc>
          <w:tcPr>
            <w:tcW w:type="dxa" w:w="576"/>
          </w:tcPr>
          <w:p>
            <w:pPr>
              <w:spacing w:after="0"/>
            </w:pPr>
            <w:r/>
            <w:r>
              <w:rPr>
                <w:sz w:val="13"/>
              </w:rPr>
              <w:t>NO</w:t>
            </w:r>
          </w:p>
        </w:tc>
        <w:tc>
          <w:tcPr>
            <w:tcW w:type="dxa" w:w="2160"/>
          </w:tcPr>
          <w:p>
            <w:pPr>
              <w:spacing w:after="0"/>
            </w:pPr>
            <w:r/>
            <w:r>
              <w:rPr>
                <w:sz w:val="13"/>
              </w:rPr>
              <w:t>'draft'::character varying</w:t>
            </w:r>
          </w:p>
        </w:tc>
        <w:tc>
          <w:tcPr>
            <w:tcW w:type="dxa" w:w="648"/>
          </w:tcPr>
          <w:p>
            <w:pPr>
              <w:spacing w:after="0"/>
            </w:pPr>
            <w:r/>
            <w:r>
              <w:rPr>
                <w:sz w:val="13"/>
              </w:rPr>
            </w:r>
          </w:p>
        </w:tc>
        <w:tc>
          <w:tcPr>
            <w:tcW w:type="dxa" w:w="6192"/>
          </w:tcPr>
          <w:p>
            <w:pPr>
              <w:spacing w:after="0"/>
            </w:pPr>
            <w:r/>
            <w:r>
              <w:rPr>
                <w:sz w:val="13"/>
              </w:rPr>
              <w:t>State machine value; permitted values enforced by CHECK or service.</w:t>
            </w:r>
          </w:p>
        </w:tc>
      </w:tr>
      <w:tr>
        <w:trPr>
          <w:cantSplit/>
        </w:trPr>
        <w:tc>
          <w:tcPr>
            <w:tcW w:type="dxa" w:w="2160"/>
          </w:tcPr>
          <w:p>
            <w:pPr>
              <w:spacing w:after="0"/>
            </w:pPr>
            <w:r/>
            <w:r>
              <w:rPr>
                <w:sz w:val="13"/>
              </w:rPr>
              <w:t>is_default</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false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updated_by</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93" w:name="_Toc1193"/>
      <w:pPr>
        <w:pStyle w:val="Heading2"/>
      </w:pPr>
      <w:r>
        <w:t>18.18 System</w:t>
      </w:r>
      <w:bookmarkEnd w:id="1193"/>
    </w:p>
    <w:p>
      <w:bookmarkStart w:id="1194" w:name="_Toc1194"/>
      <w:pPr>
        <w:pStyle w:val="Heading3"/>
      </w:pPr>
      <w:r>
        <w:t>activity_logs — Mutation audit trail written by the actLog middleware and services.</w:t>
      </w:r>
      <w:bookmarkEnd w:id="1194"/>
    </w:p>
    <w:p>
      <w:pPr>
        <w:spacing w:after="40"/>
      </w:pPr>
      <w:r>
        <w:rPr>
          <w:i w:val="0"/>
          <w:color w:val="555F6D"/>
          <w:sz w:val="16"/>
        </w:rPr>
        <w:t>13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user_id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module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action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description</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model_type</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model_id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old_values</w:t>
            </w:r>
          </w:p>
        </w:tc>
        <w:tc>
          <w:tcPr>
            <w:tcW w:type="dxa" w:w="2376"/>
          </w:tcPr>
          <w:p>
            <w:pPr>
              <w:spacing w:after="0"/>
            </w:pPr>
            <w:r/>
            <w:r>
              <w:rPr>
                <w:sz w:val="13"/>
              </w:rPr>
              <w:t>jsonb</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new_values</w:t>
            </w:r>
          </w:p>
        </w:tc>
        <w:tc>
          <w:tcPr>
            <w:tcW w:type="dxa" w:w="2376"/>
          </w:tcPr>
          <w:p>
            <w:pPr>
              <w:spacing w:after="0"/>
            </w:pPr>
            <w:r/>
            <w:r>
              <w:rPr>
                <w:sz w:val="13"/>
              </w:rPr>
              <w:t>jsonb</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ip_address</w:t>
            </w:r>
          </w:p>
        </w:tc>
        <w:tc>
          <w:tcPr>
            <w:tcW w:type="dxa" w:w="2376"/>
          </w:tcPr>
          <w:p>
            <w:pPr>
              <w:spacing w:after="0"/>
            </w:pPr>
            <w:r/>
            <w:r>
              <w:rPr>
                <w:sz w:val="13"/>
              </w:rPr>
              <w:t>character varying(45)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user_agent</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95" w:name="_Toc1195"/>
      <w:pPr>
        <w:pStyle w:val="Heading3"/>
      </w:pPr>
      <w:r>
        <w:t>app_settings — Key/value JSONB application settings (store profile, receipt, tax).</w:t>
      </w:r>
      <w:bookmarkEnd w:id="1195"/>
    </w:p>
    <w:p>
      <w:pPr>
        <w:spacing w:after="40"/>
      </w:pPr>
      <w:r>
        <w:rPr>
          <w:i w:val="0"/>
          <w:color w:val="555F6D"/>
          <w:sz w:val="16"/>
        </w:rPr>
        <w:t>3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key</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value</w:t>
            </w:r>
          </w:p>
        </w:tc>
        <w:tc>
          <w:tcPr>
            <w:tcW w:type="dxa" w:w="2376"/>
          </w:tcPr>
          <w:p>
            <w:pPr>
              <w:spacing w:after="0"/>
            </w:pPr>
            <w:r/>
            <w:r>
              <w:rPr>
                <w:sz w:val="13"/>
              </w:rPr>
              <w:t>jsonb</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196" w:name="_Toc1196"/>
      <w:pPr>
        <w:pStyle w:val="Heading3"/>
      </w:pPr>
      <w:r>
        <w:t>document_number_sequences — Per-prefix, per-date counter backing atomic document numbers.</w:t>
      </w:r>
      <w:bookmarkEnd w:id="1196"/>
    </w:p>
    <w:p>
      <w:pPr>
        <w:spacing w:after="40"/>
      </w:pPr>
      <w:r>
        <w:rPr>
          <w:i w:val="0"/>
          <w:color w:val="555F6D"/>
          <w:sz w:val="16"/>
        </w:rPr>
        <w:t>3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prefix</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doc_date</w:t>
            </w:r>
          </w:p>
        </w:tc>
        <w:tc>
          <w:tcPr>
            <w:tcW w:type="dxa" w:w="2376"/>
          </w:tcPr>
          <w:p>
            <w:pPr>
              <w:spacing w:after="0"/>
            </w:pPr>
            <w:r/>
            <w:r>
              <w:rPr>
                <w:sz w:val="13"/>
              </w:rPr>
              <w:t>date</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counter</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0</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97" w:name="_Toc1197"/>
      <w:pPr>
        <w:pStyle w:val="Heading3"/>
      </w:pPr>
      <w:r>
        <w:t>schema_migrations — Migration runner bookkeeping (version + applied_at) written by internal/dbmigrate.</w:t>
      </w:r>
      <w:bookmarkEnd w:id="1197"/>
    </w:p>
    <w:p>
      <w:pPr>
        <w:spacing w:after="40"/>
      </w:pPr>
      <w:r>
        <w:rPr>
          <w:i w:val="0"/>
          <w:color w:val="555F6D"/>
          <w:sz w:val="16"/>
        </w:rPr>
        <w:t>2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version</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applied_at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198" w:name="_Toc1198"/>
      <w:pPr>
        <w:pStyle w:val="Heading2"/>
      </w:pPr>
      <w:r>
        <w:t>18.19 E-commerce</w:t>
      </w:r>
      <w:bookmarkEnd w:id="1198"/>
    </w:p>
    <w:p>
      <w:bookmarkStart w:id="1199" w:name="_Toc1199"/>
      <w:pPr>
        <w:pStyle w:val="Heading3"/>
      </w:pPr>
      <w:r>
        <w:t>buyer_addresses — B2B buyer address book (shipping/billing defaults).</w:t>
      </w:r>
      <w:bookmarkEnd w:id="1199"/>
    </w:p>
    <w:p>
      <w:pPr>
        <w:spacing w:after="40"/>
      </w:pPr>
      <w:r>
        <w:rPr>
          <w:i w:val="0"/>
          <w:color w:val="555F6D"/>
          <w:sz w:val="16"/>
        </w:rPr>
        <w:t>17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user_id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label</w:t>
            </w:r>
          </w:p>
        </w:tc>
        <w:tc>
          <w:tcPr>
            <w:tcW w:type="dxa" w:w="2376"/>
          </w:tcPr>
          <w:p>
            <w:pPr>
              <w:spacing w:after="0"/>
            </w:pPr>
            <w:r/>
            <w:r>
              <w:rPr>
                <w:sz w:val="13"/>
              </w:rPr>
              <w:t>character varying(100)</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contact_name</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phone</w:t>
            </w:r>
          </w:p>
        </w:tc>
        <w:tc>
          <w:tcPr>
            <w:tcW w:type="dxa" w:w="2376"/>
          </w:tcPr>
          <w:p>
            <w:pPr>
              <w:spacing w:after="0"/>
            </w:pPr>
            <w:r/>
            <w:r>
              <w:rPr>
                <w:sz w:val="13"/>
              </w:rPr>
              <w:t>character varying(50)</w:t>
            </w:r>
          </w:p>
        </w:tc>
        <w:tc>
          <w:tcPr>
            <w:tcW w:type="dxa" w:w="576"/>
          </w:tcPr>
          <w:p>
            <w:pPr>
              <w:spacing w:after="0"/>
            </w:pPr>
            <w:r/>
            <w:r>
              <w:rPr>
                <w:sz w:val="13"/>
              </w:rPr>
              <w:t>NO</w:t>
            </w:r>
          </w:p>
        </w:tc>
        <w:tc>
          <w:tcPr>
            <w:tcW w:type="dxa" w:w="2160"/>
          </w:tcPr>
          <w:p>
            <w:pPr>
              <w:spacing w:after="0"/>
            </w:pPr>
            <w:r/>
            <w:r>
              <w:rPr>
                <w:sz w:val="13"/>
              </w:rPr>
              <w:t>''::character varying</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line1</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line2</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city</w:t>
            </w:r>
          </w:p>
        </w:tc>
        <w:tc>
          <w:tcPr>
            <w:tcW w:type="dxa" w:w="2376"/>
          </w:tcPr>
          <w:p>
            <w:pPr>
              <w:spacing w:after="0"/>
            </w:pPr>
            <w:r/>
            <w:r>
              <w:rPr>
                <w:sz w:val="13"/>
              </w:rPr>
              <w:t>character varying(150)</w:t>
            </w:r>
          </w:p>
        </w:tc>
        <w:tc>
          <w:tcPr>
            <w:tcW w:type="dxa" w:w="576"/>
          </w:tcPr>
          <w:p>
            <w:pPr>
              <w:spacing w:after="0"/>
            </w:pPr>
            <w:r/>
            <w:r>
              <w:rPr>
                <w:sz w:val="13"/>
              </w:rPr>
              <w:t>NO</w:t>
            </w:r>
          </w:p>
        </w:tc>
        <w:tc>
          <w:tcPr>
            <w:tcW w:type="dxa" w:w="2160"/>
          </w:tcPr>
          <w:p>
            <w:pPr>
              <w:spacing w:after="0"/>
            </w:pPr>
            <w:r/>
            <w:r>
              <w:rPr>
                <w:sz w:val="13"/>
              </w:rPr>
              <w:t>''::character varying</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province</w:t>
            </w:r>
          </w:p>
        </w:tc>
        <w:tc>
          <w:tcPr>
            <w:tcW w:type="dxa" w:w="2376"/>
          </w:tcPr>
          <w:p>
            <w:pPr>
              <w:spacing w:after="0"/>
            </w:pPr>
            <w:r/>
            <w:r>
              <w:rPr>
                <w:sz w:val="13"/>
              </w:rPr>
              <w:t>character varying(150)</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postal_code</w:t>
            </w:r>
          </w:p>
        </w:tc>
        <w:tc>
          <w:tcPr>
            <w:tcW w:type="dxa" w:w="2376"/>
          </w:tcPr>
          <w:p>
            <w:pPr>
              <w:spacing w:after="0"/>
            </w:pPr>
            <w:r/>
            <w:r>
              <w:rPr>
                <w:sz w:val="13"/>
              </w:rPr>
              <w:t>character varying(20)</w:t>
            </w:r>
          </w:p>
        </w:tc>
        <w:tc>
          <w:tcPr>
            <w:tcW w:type="dxa" w:w="576"/>
          </w:tcPr>
          <w:p>
            <w:pPr>
              <w:spacing w:after="0"/>
            </w:pPr>
            <w:r/>
            <w:r>
              <w:rPr>
                <w:sz w:val="13"/>
              </w:rPr>
              <w:t>NO</w:t>
            </w:r>
          </w:p>
        </w:tc>
        <w:tc>
          <w:tcPr>
            <w:tcW w:type="dxa" w:w="2160"/>
          </w:tcPr>
          <w:p>
            <w:pPr>
              <w:spacing w:after="0"/>
            </w:pPr>
            <w:r/>
            <w:r>
              <w:rPr>
                <w:sz w:val="13"/>
              </w:rPr>
              <w:t>''::character varying</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country</w:t>
            </w:r>
          </w:p>
        </w:tc>
        <w:tc>
          <w:tcPr>
            <w:tcW w:type="dxa" w:w="2376"/>
          </w:tcPr>
          <w:p>
            <w:pPr>
              <w:spacing w:after="0"/>
            </w:pPr>
            <w:r/>
            <w:r>
              <w:rPr>
                <w:sz w:val="13"/>
              </w:rPr>
              <w:t>character varying(100)</w:t>
            </w:r>
          </w:p>
        </w:tc>
        <w:tc>
          <w:tcPr>
            <w:tcW w:type="dxa" w:w="576"/>
          </w:tcPr>
          <w:p>
            <w:pPr>
              <w:spacing w:after="0"/>
            </w:pPr>
            <w:r/>
            <w:r>
              <w:rPr>
                <w:sz w:val="13"/>
              </w:rPr>
              <w:t>NO</w:t>
            </w:r>
          </w:p>
        </w:tc>
        <w:tc>
          <w:tcPr>
            <w:tcW w:type="dxa" w:w="2160"/>
          </w:tcPr>
          <w:p>
            <w:pPr>
              <w:spacing w:after="0"/>
            </w:pPr>
            <w:r/>
            <w:r>
              <w:rPr>
                <w:sz w:val="13"/>
              </w:rPr>
              <w:t>'Indonesia'::character varying</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latitude</w:t>
            </w:r>
          </w:p>
        </w:tc>
        <w:tc>
          <w:tcPr>
            <w:tcW w:type="dxa" w:w="2376"/>
          </w:tcPr>
          <w:p>
            <w:pPr>
              <w:spacing w:after="0"/>
            </w:pPr>
            <w:r/>
            <w:r>
              <w:rPr>
                <w:sz w:val="13"/>
              </w:rPr>
              <w:t>double precision</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longitude</w:t>
            </w:r>
          </w:p>
        </w:tc>
        <w:tc>
          <w:tcPr>
            <w:tcW w:type="dxa" w:w="2376"/>
          </w:tcPr>
          <w:p>
            <w:pPr>
              <w:spacing w:after="0"/>
            </w:pPr>
            <w:r/>
            <w:r>
              <w:rPr>
                <w:sz w:val="13"/>
              </w:rPr>
              <w:t>double precision</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is_default_shipping</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false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is_default_billing</w:t>
            </w:r>
          </w:p>
        </w:tc>
        <w:tc>
          <w:tcPr>
            <w:tcW w:type="dxa" w:w="2376"/>
          </w:tcPr>
          <w:p>
            <w:pPr>
              <w:spacing w:after="0"/>
            </w:pPr>
            <w:r/>
            <w:r>
              <w:rPr>
                <w:sz w:val="13"/>
              </w:rPr>
              <w:t>boolean</w:t>
            </w:r>
          </w:p>
        </w:tc>
        <w:tc>
          <w:tcPr>
            <w:tcW w:type="dxa" w:w="576"/>
          </w:tcPr>
          <w:p>
            <w:pPr>
              <w:spacing w:after="0"/>
            </w:pPr>
            <w:r/>
            <w:r>
              <w:rPr>
                <w:sz w:val="13"/>
              </w:rPr>
              <w:t>NO</w:t>
            </w:r>
          </w:p>
        </w:tc>
        <w:tc>
          <w:tcPr>
            <w:tcW w:type="dxa" w:w="2160"/>
          </w:tcPr>
          <w:p>
            <w:pPr>
              <w:spacing w:after="0"/>
            </w:pPr>
            <w:r/>
            <w:r>
              <w:rPr>
                <w:sz w:val="13"/>
              </w:rPr>
              <w:t>false</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200" w:name="_Toc1200"/>
      <w:pPr>
        <w:pStyle w:val="Heading3"/>
      </w:pPr>
      <w:r>
        <w:t>cart_items — Line items of an e-commerce cart.</w:t>
      </w:r>
      <w:bookmarkEnd w:id="1200"/>
    </w:p>
    <w:p>
      <w:pPr>
        <w:spacing w:after="40"/>
      </w:pPr>
      <w:r>
        <w:rPr>
          <w:i w:val="0"/>
          <w:color w:val="555F6D"/>
          <w:sz w:val="16"/>
        </w:rPr>
        <w:t>6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cart_id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product_id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quantity</w:t>
            </w:r>
          </w:p>
        </w:tc>
        <w:tc>
          <w:tcPr>
            <w:tcW w:type="dxa" w:w="2376"/>
          </w:tcPr>
          <w:p>
            <w:pPr>
              <w:spacing w:after="0"/>
            </w:pPr>
            <w:r/>
            <w:r>
              <w:rPr>
                <w:sz w:val="13"/>
              </w:rPr>
              <w:t>numeric(12,4)</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Quantity in the line's stored unit.</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201" w:name="_Toc1201"/>
      <w:pPr>
        <w:pStyle w:val="Heading3"/>
      </w:pPr>
      <w:r>
        <w:t>carts — One cart per buyer user (unique user_id).</w:t>
      </w:r>
      <w:bookmarkEnd w:id="1201"/>
    </w:p>
    <w:p>
      <w:pPr>
        <w:spacing w:after="40"/>
      </w:pPr>
      <w:r>
        <w:rPr>
          <w:i w:val="0"/>
          <w:color w:val="555F6D"/>
          <w:sz w:val="16"/>
        </w:rPr>
        <w:t>4 columns. Classification: Operational.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user_id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created_at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updated_at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Row lifecycle timestamp.</w:t>
            </w:r>
          </w:p>
        </w:tc>
      </w:tr>
    </w:tbl>
    <w:p>
      <w:bookmarkStart w:id="1202" w:name="_Toc1202"/>
      <w:pPr>
        <w:pStyle w:val="Heading2"/>
      </w:pPr>
      <w:r>
        <w:t>18.20 Framework</w:t>
      </w:r>
      <w:bookmarkEnd w:id="1202"/>
    </w:p>
    <w:p>
      <w:bookmarkStart w:id="1203" w:name="_Toc1203"/>
      <w:pPr>
        <w:pStyle w:val="Heading3"/>
      </w:pPr>
      <w:r>
        <w:t>cache — Laravel framework cache table; unused by the Go backend (Redis replaces it).</w:t>
      </w:r>
      <w:bookmarkEnd w:id="1203"/>
    </w:p>
    <w:p>
      <w:pPr>
        <w:spacing w:after="40"/>
      </w:pPr>
      <w:r>
        <w:rPr>
          <w:i w:val="0"/>
          <w:color w:val="555F6D"/>
          <w:sz w:val="16"/>
        </w:rPr>
        <w:t>3 columns. Classification: Framework/internal.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key</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value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expiration</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204" w:name="_Toc1204"/>
      <w:pPr>
        <w:pStyle w:val="Heading3"/>
      </w:pPr>
      <w:r>
        <w:t>cache_locks — Laravel framework cache-lock table; unused by the Go backend.</w:t>
      </w:r>
      <w:bookmarkEnd w:id="1204"/>
    </w:p>
    <w:p>
      <w:pPr>
        <w:spacing w:after="40"/>
      </w:pPr>
      <w:r>
        <w:rPr>
          <w:i w:val="0"/>
          <w:color w:val="555F6D"/>
          <w:sz w:val="16"/>
        </w:rPr>
        <w:t>3 columns. Classification: Framework/internal.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key</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owner</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expiration</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205" w:name="_Toc1205"/>
      <w:pPr>
        <w:pStyle w:val="Heading3"/>
      </w:pPr>
      <w:r>
        <w:t>failed_jobs — Laravel framework failed-job table; unused by the Go backend.</w:t>
      </w:r>
      <w:bookmarkEnd w:id="1205"/>
    </w:p>
    <w:p>
      <w:pPr>
        <w:spacing w:after="40"/>
      </w:pPr>
      <w:r>
        <w:rPr>
          <w:i w:val="0"/>
          <w:color w:val="555F6D"/>
          <w:sz w:val="16"/>
        </w:rPr>
        <w:t>7 columns. Classification: Framework/internal.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uuid</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connection</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queue</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payload</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exception</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failed_at</w:t>
            </w:r>
          </w:p>
        </w:tc>
        <w:tc>
          <w:tcPr>
            <w:tcW w:type="dxa" w:w="2376"/>
          </w:tcPr>
          <w:p>
            <w:pPr>
              <w:spacing w:after="0"/>
            </w:pPr>
            <w:r/>
            <w:r>
              <w:rPr>
                <w:sz w:val="13"/>
              </w:rPr>
              <w:t>timestamp with time zone</w:t>
            </w:r>
          </w:p>
        </w:tc>
        <w:tc>
          <w:tcPr>
            <w:tcW w:type="dxa" w:w="576"/>
          </w:tcPr>
          <w:p>
            <w:pPr>
              <w:spacing w:after="0"/>
            </w:pPr>
            <w:r/>
            <w:r>
              <w:rPr>
                <w:sz w:val="13"/>
              </w:rPr>
              <w:t>NO</w:t>
            </w:r>
          </w:p>
        </w:tc>
        <w:tc>
          <w:tcPr>
            <w:tcW w:type="dxa" w:w="2160"/>
          </w:tcPr>
          <w:p>
            <w:pPr>
              <w:spacing w:after="0"/>
            </w:pPr>
            <w:r/>
            <w:r>
              <w:rPr>
                <w:sz w:val="13"/>
              </w:rPr>
              <w:t>now()</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206" w:name="_Toc1206"/>
      <w:pPr>
        <w:pStyle w:val="Heading3"/>
      </w:pPr>
      <w:r>
        <w:t>job_batches — Laravel framework job-batch table; unused by the Go backend.</w:t>
      </w:r>
      <w:bookmarkEnd w:id="1206"/>
    </w:p>
    <w:p>
      <w:pPr>
        <w:spacing w:after="40"/>
      </w:pPr>
      <w:r>
        <w:rPr>
          <w:i w:val="0"/>
          <w:color w:val="555F6D"/>
          <w:sz w:val="16"/>
        </w:rPr>
        <w:t>10 columns. Classification: Framework/internal.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name</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total_jobs</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pending_jobs</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failed_jobs</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failed_job_ids</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options</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cancelled_at</w:t>
            </w:r>
          </w:p>
        </w:tc>
        <w:tc>
          <w:tcPr>
            <w:tcW w:type="dxa" w:w="2376"/>
          </w:tcPr>
          <w:p>
            <w:pPr>
              <w:spacing w:after="0"/>
            </w:pPr>
            <w:r/>
            <w:r>
              <w:rPr>
                <w:sz w:val="13"/>
              </w:rPr>
              <w:t>integer</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Row lifecycle timestamp.</w:t>
            </w:r>
          </w:p>
        </w:tc>
      </w:tr>
      <w:tr>
        <w:trPr>
          <w:cantSplit/>
        </w:trPr>
        <w:tc>
          <w:tcPr>
            <w:tcW w:type="dxa" w:w="2160"/>
          </w:tcPr>
          <w:p>
            <w:pPr>
              <w:spacing w:after="0"/>
            </w:pPr>
            <w:r/>
            <w:r>
              <w:rPr>
                <w:sz w:val="13"/>
              </w:rPr>
              <w:t>finished_at</w:t>
            </w:r>
          </w:p>
        </w:tc>
        <w:tc>
          <w:tcPr>
            <w:tcW w:type="dxa" w:w="2376"/>
          </w:tcPr>
          <w:p>
            <w:pPr>
              <w:spacing w:after="0"/>
            </w:pPr>
            <w:r/>
            <w:r>
              <w:rPr>
                <w:sz w:val="13"/>
              </w:rPr>
              <w:t>integer</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207" w:name="_Toc1207"/>
      <w:pPr>
        <w:pStyle w:val="Heading3"/>
      </w:pPr>
      <w:r>
        <w:t>jobs — Laravel framework queue table; unused by the Go backend.</w:t>
      </w:r>
      <w:bookmarkEnd w:id="1207"/>
    </w:p>
    <w:p>
      <w:pPr>
        <w:spacing w:after="40"/>
      </w:pPr>
      <w:r>
        <w:rPr>
          <w:i w:val="0"/>
          <w:color w:val="555F6D"/>
          <w:sz w:val="16"/>
        </w:rPr>
        <w:t>7 columns. Classification: Framework/internal.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queue</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payload</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attempts</w:t>
            </w:r>
          </w:p>
        </w:tc>
        <w:tc>
          <w:tcPr>
            <w:tcW w:type="dxa" w:w="2376"/>
          </w:tcPr>
          <w:p>
            <w:pPr>
              <w:spacing w:after="0"/>
            </w:pPr>
            <w:r/>
            <w:r>
              <w:rPr>
                <w:sz w:val="13"/>
              </w:rPr>
              <w:t>smallint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reserved_at</w:t>
            </w:r>
          </w:p>
        </w:tc>
        <w:tc>
          <w:tcPr>
            <w:tcW w:type="dxa" w:w="2376"/>
          </w:tcPr>
          <w:p>
            <w:pPr>
              <w:spacing w:after="0"/>
            </w:pPr>
            <w:r/>
            <w:r>
              <w:rPr>
                <w:sz w:val="13"/>
              </w:rPr>
              <w:t>integer</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available_at</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created_at</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Row lifecycle timestamp.</w:t>
            </w:r>
          </w:p>
        </w:tc>
      </w:tr>
    </w:tbl>
    <w:p>
      <w:bookmarkStart w:id="1208" w:name="_Toc1208"/>
      <w:pPr>
        <w:pStyle w:val="Heading3"/>
      </w:pPr>
      <w:r>
        <w:t>migrations — Legacy Laravel migration bookkeeping table (not used by dbmigrate).</w:t>
      </w:r>
      <w:bookmarkEnd w:id="1208"/>
    </w:p>
    <w:p>
      <w:pPr>
        <w:spacing w:after="40"/>
      </w:pPr>
      <w:r>
        <w:rPr>
          <w:i w:val="0"/>
          <w:color w:val="555F6D"/>
          <w:sz w:val="16"/>
        </w:rPr>
        <w:t>3 columns. Classification: Framework/internal.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bigint</w:t>
            </w:r>
          </w:p>
        </w:tc>
        <w:tc>
          <w:tcPr>
            <w:tcW w:type="dxa" w:w="576"/>
          </w:tcPr>
          <w:p>
            <w:pPr>
              <w:spacing w:after="0"/>
            </w:pPr>
            <w:r/>
            <w:r>
              <w:rPr>
                <w:sz w:val="13"/>
              </w:rPr>
              <w:t>NO</w:t>
            </w:r>
          </w:p>
        </w:tc>
        <w:tc>
          <w:tcPr>
            <w:tcW w:type="dxa" w:w="2160"/>
          </w:tcPr>
          <w:p>
            <w:pPr>
              <w:spacing w:after="0"/>
            </w:pPr>
            <w:r/>
            <w:r>
              <w:rPr>
                <w:sz w:val="13"/>
              </w:rPr>
              <w:t>nextval(seq)</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migration</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batch</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bookmarkStart w:id="1209" w:name="_Toc1209"/>
      <w:pPr>
        <w:pStyle w:val="Heading3"/>
      </w:pPr>
      <w:r>
        <w:t>sessions — Laravel session table; unused by the Go backend (bearer tokens).</w:t>
      </w:r>
      <w:bookmarkEnd w:id="1209"/>
    </w:p>
    <w:p>
      <w:pPr>
        <w:spacing w:after="40"/>
      </w:pPr>
      <w:r>
        <w:rPr>
          <w:i w:val="0"/>
          <w:color w:val="555F6D"/>
          <w:sz w:val="16"/>
        </w:rPr>
        <w:t>6 columns. Classification: Framework/internal.</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1" w:type="dxa"/>
      </w:tblPr>
      <w:tblGrid>
        <w:gridCol w:w="2352"/>
        <w:gridCol w:w="2352"/>
        <w:gridCol w:w="2352"/>
        <w:gridCol w:w="2352"/>
        <w:gridCol w:w="2352"/>
        <w:gridCol w:w="2352"/>
      </w:tblGrid>
      <w:tr>
        <w:trPr>
          <w:tblHeader w:val="true"/>
        </w:trPr>
        <w:tc>
          <w:tcPr>
            <w:tcW w:type="dxa" w:w="2160"/>
            <w:shd w:val="clear" w:color="auto" w:fill="1F3A5F"/>
          </w:tcPr>
          <w:p>
            <w:pPr>
              <w:spacing w:after="0"/>
            </w:pPr>
            <w:r/>
            <w:r>
              <w:rPr>
                <w:b/>
                <w:color w:val="FFFFFF"/>
                <w:sz w:val="13"/>
              </w:rPr>
              <w:t>Column</w:t>
            </w:r>
          </w:p>
        </w:tc>
        <w:tc>
          <w:tcPr>
            <w:tcW w:type="dxa" w:w="2376"/>
            <w:shd w:val="clear" w:color="auto" w:fill="1F3A5F"/>
          </w:tcPr>
          <w:p>
            <w:pPr>
              <w:spacing w:after="0"/>
            </w:pPr>
            <w:r/>
            <w:r>
              <w:rPr>
                <w:b/>
                <w:color w:val="FFFFFF"/>
                <w:sz w:val="13"/>
              </w:rPr>
              <w:t>Type</w:t>
            </w:r>
          </w:p>
        </w:tc>
        <w:tc>
          <w:tcPr>
            <w:tcW w:type="dxa" w:w="576"/>
            <w:shd w:val="clear" w:color="auto" w:fill="1F3A5F"/>
          </w:tcPr>
          <w:p>
            <w:pPr>
              <w:spacing w:after="0"/>
            </w:pPr>
            <w:r/>
            <w:r>
              <w:rPr>
                <w:b/>
                <w:color w:val="FFFFFF"/>
                <w:sz w:val="13"/>
              </w:rPr>
              <w:t>Null</w:t>
            </w:r>
          </w:p>
        </w:tc>
        <w:tc>
          <w:tcPr>
            <w:tcW w:type="dxa" w:w="2160"/>
            <w:shd w:val="clear" w:color="auto" w:fill="1F3A5F"/>
          </w:tcPr>
          <w:p>
            <w:pPr>
              <w:spacing w:after="0"/>
            </w:pPr>
            <w:r/>
            <w:r>
              <w:rPr>
                <w:b/>
                <w:color w:val="FFFFFF"/>
                <w:sz w:val="13"/>
              </w:rPr>
              <w:t>Default</w:t>
            </w:r>
          </w:p>
        </w:tc>
        <w:tc>
          <w:tcPr>
            <w:tcW w:type="dxa" w:w="648"/>
            <w:shd w:val="clear" w:color="auto" w:fill="1F3A5F"/>
          </w:tcPr>
          <w:p>
            <w:pPr>
              <w:spacing w:after="0"/>
            </w:pPr>
            <w:r/>
            <w:r>
              <w:rPr>
                <w:b/>
                <w:color w:val="FFFFFF"/>
                <w:sz w:val="13"/>
              </w:rPr>
              <w:t>Key</w:t>
            </w:r>
          </w:p>
        </w:tc>
        <w:tc>
          <w:tcPr>
            <w:tcW w:type="dxa" w:w="6192"/>
            <w:shd w:val="clear" w:color="auto" w:fill="1F3A5F"/>
          </w:tcPr>
          <w:p>
            <w:pPr>
              <w:spacing w:after="0"/>
            </w:pPr>
            <w:r/>
            <w:r>
              <w:rPr>
                <w:b/>
                <w:color w:val="FFFFFF"/>
                <w:sz w:val="13"/>
              </w:rPr>
              <w:t>Note</w:t>
            </w:r>
          </w:p>
        </w:tc>
      </w:tr>
      <w:tr>
        <w:trPr>
          <w:cantSplit/>
        </w:trPr>
        <w:tc>
          <w:tcPr>
            <w:tcW w:type="dxa" w:w="2160"/>
          </w:tcPr>
          <w:p>
            <w:pPr>
              <w:spacing w:after="0"/>
            </w:pPr>
            <w:r/>
            <w:r>
              <w:rPr>
                <w:sz w:val="13"/>
              </w:rPr>
              <w:t>id</w:t>
            </w:r>
          </w:p>
        </w:tc>
        <w:tc>
          <w:tcPr>
            <w:tcW w:type="dxa" w:w="2376"/>
          </w:tcPr>
          <w:p>
            <w:pPr>
              <w:spacing w:after="0"/>
            </w:pPr>
            <w:r/>
            <w:r>
              <w:rPr>
                <w:sz w:val="13"/>
              </w:rPr>
              <w:t>character varying(255)</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t>PK</w:t>
            </w:r>
          </w:p>
        </w:tc>
        <w:tc>
          <w:tcPr>
            <w:tcW w:type="dxa" w:w="6192"/>
          </w:tcPr>
          <w:p>
            <w:pPr>
              <w:spacing w:after="0"/>
            </w:pPr>
            <w:r/>
            <w:r>
              <w:rPr>
                <w:sz w:val="13"/>
              </w:rPr>
              <w:t>Surrogate primary key.</w:t>
            </w:r>
          </w:p>
        </w:tc>
      </w:tr>
      <w:tr>
        <w:trPr>
          <w:cantSplit/>
        </w:trPr>
        <w:tc>
          <w:tcPr>
            <w:tcW w:type="dxa" w:w="2160"/>
          </w:tcPr>
          <w:p>
            <w:pPr>
              <w:spacing w:after="0"/>
            </w:pPr>
            <w:r/>
            <w:r>
              <w:rPr>
                <w:sz w:val="13"/>
              </w:rPr>
              <w:t>user_id</w:t>
            </w:r>
          </w:p>
        </w:tc>
        <w:tc>
          <w:tcPr>
            <w:tcW w:type="dxa" w:w="2376"/>
          </w:tcPr>
          <w:p>
            <w:pPr>
              <w:spacing w:after="0"/>
            </w:pPr>
            <w:r/>
            <w:r>
              <w:rPr>
                <w:sz w:val="13"/>
              </w:rPr>
              <w:t>bigint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t>FK</w:t>
            </w:r>
          </w:p>
        </w:tc>
        <w:tc>
          <w:tcPr>
            <w:tcW w:type="dxa" w:w="6192"/>
          </w:tcPr>
          <w:p>
            <w:pPr>
              <w:spacing w:after="0"/>
            </w:pPr>
            <w:r/>
            <w:r>
              <w:rPr>
                <w:sz w:val="13"/>
              </w:rPr>
              <w:t>Foreign key reference.</w:t>
            </w:r>
          </w:p>
        </w:tc>
      </w:tr>
      <w:tr>
        <w:trPr>
          <w:cantSplit/>
        </w:trPr>
        <w:tc>
          <w:tcPr>
            <w:tcW w:type="dxa" w:w="2160"/>
          </w:tcPr>
          <w:p>
            <w:pPr>
              <w:spacing w:after="0"/>
            </w:pPr>
            <w:r/>
            <w:r>
              <w:rPr>
                <w:sz w:val="13"/>
              </w:rPr>
              <w:t>ip_address</w:t>
            </w:r>
          </w:p>
        </w:tc>
        <w:tc>
          <w:tcPr>
            <w:tcW w:type="dxa" w:w="2376"/>
          </w:tcPr>
          <w:p>
            <w:pPr>
              <w:spacing w:after="0"/>
            </w:pPr>
            <w:r/>
            <w:r>
              <w:rPr>
                <w:sz w:val="13"/>
              </w:rPr>
              <w:t>character varying(45)</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user_agent</w:t>
            </w:r>
          </w:p>
        </w:tc>
        <w:tc>
          <w:tcPr>
            <w:tcW w:type="dxa" w:w="2376"/>
          </w:tcPr>
          <w:p>
            <w:pPr>
              <w:spacing w:after="0"/>
            </w:pPr>
            <w:r/>
            <w:r>
              <w:rPr>
                <w:sz w:val="13"/>
              </w:rPr>
              <w:t>text</w:t>
            </w:r>
          </w:p>
        </w:tc>
        <w:tc>
          <w:tcPr>
            <w:tcW w:type="dxa" w:w="576"/>
          </w:tcPr>
          <w:p>
            <w:pPr>
              <w:spacing w:after="0"/>
            </w:pPr>
            <w:r/>
            <w:r>
              <w:rPr>
                <w:sz w:val="13"/>
              </w:rPr>
              <w:t>YES</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payload</w:t>
            </w:r>
          </w:p>
        </w:tc>
        <w:tc>
          <w:tcPr>
            <w:tcW w:type="dxa" w:w="2376"/>
          </w:tcPr>
          <w:p>
            <w:pPr>
              <w:spacing w:after="0"/>
            </w:pPr>
            <w:r/>
            <w:r>
              <w:rPr>
                <w:sz w:val="13"/>
              </w:rPr>
              <w:t>text</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r>
        <w:trPr>
          <w:cantSplit/>
        </w:trPr>
        <w:tc>
          <w:tcPr>
            <w:tcW w:type="dxa" w:w="2160"/>
          </w:tcPr>
          <w:p>
            <w:pPr>
              <w:spacing w:after="0"/>
            </w:pPr>
            <w:r/>
            <w:r>
              <w:rPr>
                <w:sz w:val="13"/>
              </w:rPr>
              <w:t>last_activity</w:t>
            </w:r>
          </w:p>
        </w:tc>
        <w:tc>
          <w:tcPr>
            <w:tcW w:type="dxa" w:w="2376"/>
          </w:tcPr>
          <w:p>
            <w:pPr>
              <w:spacing w:after="0"/>
            </w:pPr>
            <w:r/>
            <w:r>
              <w:rPr>
                <w:sz w:val="13"/>
              </w:rPr>
              <w:t>integer</w:t>
            </w:r>
          </w:p>
        </w:tc>
        <w:tc>
          <w:tcPr>
            <w:tcW w:type="dxa" w:w="576"/>
          </w:tcPr>
          <w:p>
            <w:pPr>
              <w:spacing w:after="0"/>
            </w:pPr>
            <w:r/>
            <w:r>
              <w:rPr>
                <w:sz w:val="13"/>
              </w:rPr>
              <w:t>NO</w:t>
            </w:r>
          </w:p>
        </w:tc>
        <w:tc>
          <w:tcPr>
            <w:tcW w:type="dxa" w:w="2160"/>
          </w:tcPr>
          <w:p>
            <w:pPr>
              <w:spacing w:after="0"/>
            </w:pPr>
            <w:r/>
            <w:r>
              <w:rPr>
                <w:sz w:val="13"/>
              </w:rPr>
              <w:t>—</w:t>
            </w:r>
          </w:p>
        </w:tc>
        <w:tc>
          <w:tcPr>
            <w:tcW w:type="dxa" w:w="648"/>
          </w:tcPr>
          <w:p>
            <w:pPr>
              <w:spacing w:after="0"/>
            </w:pPr>
            <w:r/>
            <w:r>
              <w:rPr>
                <w:sz w:val="13"/>
              </w:rPr>
            </w:r>
          </w:p>
        </w:tc>
        <w:tc>
          <w:tcPr>
            <w:tcW w:type="dxa" w:w="6192"/>
          </w:tcPr>
          <w:p>
            <w:pPr>
              <w:spacing w:after="0"/>
            </w:pPr>
            <w:r/>
            <w:r>
              <w:rPr>
                <w:sz w:val="13"/>
              </w:rPr>
              <w:t>Meaning not verified beyond type/default.</w:t>
            </w:r>
          </w:p>
        </w:tc>
      </w:tr>
    </w:tbl>
    <w:p>
      <w:pPr>
        <w:sectPr>
          <w:pgSz w:w="15840" w:h="12240" w:orient="landscape"/>
          <w:pgMar w:top="1008" w:right="864" w:bottom="864" w:left="864" w:header="720" w:footer="720" w:gutter="0"/>
          <w:cols w:space="720"/>
          <w:docGrid w:linePitch="360"/>
        </w:sectPr>
      </w:pPr>
    </w:p>
    <w:p>
      <w:bookmarkStart w:id="1210" w:name="_Toc1210"/>
      <w:pPr>
        <w:pStyle w:val="Heading1"/>
      </w:pPr>
      <w:r>
        <w:t>19. Complete ERD and domain ERDs</w:t>
      </w:r>
      <w:bookmarkEnd w:id="1210"/>
    </w:p>
    <w:p>
      <w:r>
        <w:rPr>
          <w:i w:val="0"/>
        </w:rPr>
        <w:t>The diagrams are generated from the live schema: docs/diagrams/gen_erd.py reads the introspection dumps and emits Mermaid erDiagram sources, which were rendered to PNG at 2x for embedding. Only declared foreign keys are drawn; relationships that exist only in application logic (for example payments.payable_id, cashflows.reference_id, sales_orders.sales_id → employees) are called out in text because they are polymorphic or logical rather than declared.</w:t>
      </w:r>
    </w:p>
    <w:p>
      <w:pPr>
        <w:keepNext/>
        <w:spacing w:before="80" w:after="40"/>
        <w:jc w:val="center"/>
      </w:pPr>
      <w:r>
        <w:drawing>
          <wp:inline xmlns:a="http://schemas.openxmlformats.org/drawingml/2006/main" xmlns:pic="http://schemas.openxmlformats.org/drawingml/2006/picture">
            <wp:extent cx="6035040" cy="1652595"/>
            <wp:docPr id="12" name="Picture 12"/>
            <wp:cNvGraphicFramePr>
              <a:graphicFrameLocks noChangeAspect="1"/>
            </wp:cNvGraphicFramePr>
            <a:graphic>
              <a:graphicData uri="http://schemas.openxmlformats.org/drawingml/2006/picture">
                <pic:pic>
                  <pic:nvPicPr>
                    <pic:cNvPr id="0" name="erd-full.png"/>
                    <pic:cNvPicPr/>
                  </pic:nvPicPr>
                  <pic:blipFill>
                    <a:blip r:embed="rId21"/>
                    <a:stretch>
                      <a:fillRect/>
                    </a:stretch>
                  </pic:blipFill>
                  <pic:spPr>
                    <a:xfrm>
                      <a:off x="0" y="0"/>
                      <a:ext cx="6035040" cy="1652595"/>
                    </a:xfrm>
                    <a:prstGeom prst="rect"/>
                  </pic:spPr>
                </pic:pic>
              </a:graphicData>
            </a:graphic>
          </wp:inline>
        </w:drawing>
      </w:r>
    </w:p>
    <w:p>
      <w:pPr>
        <w:spacing w:after="40"/>
        <w:jc w:val="center"/>
      </w:pPr>
      <w:r>
        <w:rPr>
          <w:i/>
          <w:color w:val="555F6D"/>
          <w:sz w:val="17"/>
        </w:rPr>
        <w:t>Figure 12. Full schema overview: all 92 tables, primary and foreign keys only. At this scale the diagram is an index; use the domain ERDs for readable detail.</w:t>
      </w:r>
    </w:p>
    <w:p>
      <w:pPr>
        <w:sectPr>
          <w:pgSz w:w="12240" w:h="15840"/>
          <w:pgMar w:top="1224" w:right="1296" w:bottom="1152" w:left="1296" w:header="720" w:footer="720" w:gutter="0"/>
          <w:cols w:space="720"/>
          <w:docGrid w:linePitch="360"/>
        </w:sectPr>
      </w:pPr>
    </w:p>
    <w:p>
      <w:bookmarkStart w:id="1211" w:name="_Toc1211"/>
      <w:pPr>
        <w:pStyle w:val="Heading2"/>
      </w:pPr>
      <w:r>
        <w:t>19.1 Identity, tenancy and platform tables</w:t>
      </w:r>
      <w:bookmarkEnd w:id="1211"/>
    </w:p>
    <w:p>
      <w:pPr>
        <w:keepNext/>
        <w:spacing w:before="80" w:after="40"/>
        <w:jc w:val="center"/>
      </w:pPr>
      <w:r>
        <w:drawing>
          <wp:inline xmlns:a="http://schemas.openxmlformats.org/drawingml/2006/main" xmlns:pic="http://schemas.openxmlformats.org/drawingml/2006/picture">
            <wp:extent cx="8229600" cy="1507046"/>
            <wp:docPr id="13" name="Picture 13"/>
            <wp:cNvGraphicFramePr>
              <a:graphicFrameLocks noChangeAspect="1"/>
            </wp:cNvGraphicFramePr>
            <a:graphic>
              <a:graphicData uri="http://schemas.openxmlformats.org/drawingml/2006/picture">
                <pic:pic>
                  <pic:nvPicPr>
                    <pic:cNvPr id="0" name="erd-auth-tenancy.png"/>
                    <pic:cNvPicPr/>
                  </pic:nvPicPr>
                  <pic:blipFill>
                    <a:blip r:embed="rId22"/>
                    <a:stretch>
                      <a:fillRect/>
                    </a:stretch>
                  </pic:blipFill>
                  <pic:spPr>
                    <a:xfrm>
                      <a:off x="0" y="0"/>
                      <a:ext cx="8229600" cy="1507046"/>
                    </a:xfrm>
                    <a:prstGeom prst="rect"/>
                  </pic:spPr>
                </pic:pic>
              </a:graphicData>
            </a:graphic>
          </wp:inline>
        </w:drawing>
      </w:r>
    </w:p>
    <w:p>
      <w:pPr>
        <w:spacing w:after="40"/>
        <w:jc w:val="center"/>
      </w:pPr>
      <w:r>
        <w:rPr>
          <w:i/>
          <w:color w:val="555F6D"/>
          <w:sz w:val="17"/>
        </w:rPr>
        <w:t>Figure 13. Identity, tenancy and platform tables</w:t>
      </w:r>
    </w:p>
    <w:p>
      <w:bookmarkStart w:id="1212" w:name="_Toc1212"/>
      <w:pPr>
        <w:pStyle w:val="Heading2"/>
      </w:pPr>
      <w:r>
        <w:t>19.2 Catalogue, partners and membership</w:t>
      </w:r>
      <w:bookmarkEnd w:id="1212"/>
    </w:p>
    <w:p>
      <w:pPr>
        <w:keepNext/>
        <w:spacing w:before="80" w:after="40"/>
        <w:jc w:val="center"/>
      </w:pPr>
      <w:r>
        <w:drawing>
          <wp:inline xmlns:a="http://schemas.openxmlformats.org/drawingml/2006/main" xmlns:pic="http://schemas.openxmlformats.org/drawingml/2006/picture">
            <wp:extent cx="7315200" cy="5394960"/>
            <wp:docPr id="14" name="Picture 14"/>
            <wp:cNvGraphicFramePr>
              <a:graphicFrameLocks noChangeAspect="1"/>
            </wp:cNvGraphicFramePr>
            <a:graphic>
              <a:graphicData uri="http://schemas.openxmlformats.org/drawingml/2006/picture">
                <pic:pic>
                  <pic:nvPicPr>
                    <pic:cNvPr id="0" name="erd-catalog.png"/>
                    <pic:cNvPicPr/>
                  </pic:nvPicPr>
                  <pic:blipFill>
                    <a:blip r:embed="rId23"/>
                    <a:stretch>
                      <a:fillRect/>
                    </a:stretch>
                  </pic:blipFill>
                  <pic:spPr>
                    <a:xfrm>
                      <a:off x="0" y="0"/>
                      <a:ext cx="7315200" cy="5394960"/>
                    </a:xfrm>
                    <a:prstGeom prst="rect"/>
                  </pic:spPr>
                </pic:pic>
              </a:graphicData>
            </a:graphic>
          </wp:inline>
        </w:drawing>
      </w:r>
    </w:p>
    <w:p>
      <w:pPr>
        <w:spacing w:after="40"/>
        <w:jc w:val="center"/>
      </w:pPr>
      <w:r>
        <w:rPr>
          <w:i/>
          <w:color w:val="555F6D"/>
          <w:sz w:val="17"/>
        </w:rPr>
        <w:t>Figure 14. Catalogue, partners and membership</w:t>
      </w:r>
    </w:p>
    <w:p>
      <w:bookmarkStart w:id="1213" w:name="_Toc1213"/>
      <w:pPr>
        <w:pStyle w:val="Heading2"/>
      </w:pPr>
      <w:r>
        <w:t>19.3 Warehouses, stock and movements</w:t>
      </w:r>
      <w:bookmarkEnd w:id="1213"/>
    </w:p>
    <w:p>
      <w:pPr>
        <w:keepNext/>
        <w:spacing w:before="80" w:after="40"/>
        <w:jc w:val="center"/>
      </w:pPr>
      <w:r>
        <w:drawing>
          <wp:inline xmlns:a="http://schemas.openxmlformats.org/drawingml/2006/main" xmlns:pic="http://schemas.openxmlformats.org/drawingml/2006/picture">
            <wp:extent cx="8181929" cy="5394959"/>
            <wp:docPr id="15" name="Picture 15"/>
            <wp:cNvGraphicFramePr>
              <a:graphicFrameLocks noChangeAspect="1"/>
            </wp:cNvGraphicFramePr>
            <a:graphic>
              <a:graphicData uri="http://schemas.openxmlformats.org/drawingml/2006/picture">
                <pic:pic>
                  <pic:nvPicPr>
                    <pic:cNvPr id="0" name="erd-inventory.png"/>
                    <pic:cNvPicPr/>
                  </pic:nvPicPr>
                  <pic:blipFill>
                    <a:blip r:embed="rId24"/>
                    <a:stretch>
                      <a:fillRect/>
                    </a:stretch>
                  </pic:blipFill>
                  <pic:spPr>
                    <a:xfrm>
                      <a:off x="0" y="0"/>
                      <a:ext cx="8181929" cy="5394959"/>
                    </a:xfrm>
                    <a:prstGeom prst="rect"/>
                  </pic:spPr>
                </pic:pic>
              </a:graphicData>
            </a:graphic>
          </wp:inline>
        </w:drawing>
      </w:r>
    </w:p>
    <w:p>
      <w:pPr>
        <w:spacing w:after="40"/>
        <w:jc w:val="center"/>
      </w:pPr>
      <w:r>
        <w:rPr>
          <w:i/>
          <w:color w:val="555F6D"/>
          <w:sz w:val="17"/>
        </w:rPr>
        <w:t>Figure 15. Warehouses, stock and movements</w:t>
      </w:r>
    </w:p>
    <w:p>
      <w:bookmarkStart w:id="1214" w:name="_Toc1214"/>
      <w:pPr>
        <w:pStyle w:val="Heading2"/>
      </w:pPr>
      <w:r>
        <w:t>19.4 Sales orders, returns, vouchers, cart</w:t>
      </w:r>
      <w:bookmarkEnd w:id="1214"/>
    </w:p>
    <w:p>
      <w:pPr>
        <w:keepNext/>
        <w:spacing w:before="80" w:after="40"/>
        <w:jc w:val="center"/>
      </w:pPr>
      <w:r>
        <w:drawing>
          <wp:inline xmlns:a="http://schemas.openxmlformats.org/drawingml/2006/main" xmlns:pic="http://schemas.openxmlformats.org/drawingml/2006/picture">
            <wp:extent cx="7486501" cy="5394960"/>
            <wp:docPr id="16" name="Picture 16"/>
            <wp:cNvGraphicFramePr>
              <a:graphicFrameLocks noChangeAspect="1"/>
            </wp:cNvGraphicFramePr>
            <a:graphic>
              <a:graphicData uri="http://schemas.openxmlformats.org/drawingml/2006/picture">
                <pic:pic>
                  <pic:nvPicPr>
                    <pic:cNvPr id="0" name="erd-sales.png"/>
                    <pic:cNvPicPr/>
                  </pic:nvPicPr>
                  <pic:blipFill>
                    <a:blip r:embed="rId25"/>
                    <a:stretch>
                      <a:fillRect/>
                    </a:stretch>
                  </pic:blipFill>
                  <pic:spPr>
                    <a:xfrm>
                      <a:off x="0" y="0"/>
                      <a:ext cx="7486501" cy="5394960"/>
                    </a:xfrm>
                    <a:prstGeom prst="rect"/>
                  </pic:spPr>
                </pic:pic>
              </a:graphicData>
            </a:graphic>
          </wp:inline>
        </w:drawing>
      </w:r>
    </w:p>
    <w:p>
      <w:pPr>
        <w:spacing w:after="40"/>
        <w:jc w:val="center"/>
      </w:pPr>
      <w:r>
        <w:rPr>
          <w:i/>
          <w:color w:val="555F6D"/>
          <w:sz w:val="17"/>
        </w:rPr>
        <w:t>Figure 16. Sales orders, returns, vouchers, cart</w:t>
      </w:r>
    </w:p>
    <w:p>
      <w:bookmarkStart w:id="1215" w:name="_Toc1215"/>
      <w:pPr>
        <w:pStyle w:val="Heading2"/>
      </w:pPr>
      <w:r>
        <w:t>19.5 Purchasing, goods receipts and vouchers</w:t>
      </w:r>
      <w:bookmarkEnd w:id="1215"/>
    </w:p>
    <w:p>
      <w:pPr>
        <w:keepNext/>
        <w:spacing w:before="80" w:after="40"/>
        <w:jc w:val="center"/>
      </w:pPr>
      <w:r>
        <w:drawing>
          <wp:inline xmlns:a="http://schemas.openxmlformats.org/drawingml/2006/main" xmlns:pic="http://schemas.openxmlformats.org/drawingml/2006/picture">
            <wp:extent cx="4653153" cy="5394960"/>
            <wp:docPr id="17" name="Picture 17"/>
            <wp:cNvGraphicFramePr>
              <a:graphicFrameLocks noChangeAspect="1"/>
            </wp:cNvGraphicFramePr>
            <a:graphic>
              <a:graphicData uri="http://schemas.openxmlformats.org/drawingml/2006/picture">
                <pic:pic>
                  <pic:nvPicPr>
                    <pic:cNvPr id="0" name="erd-purchasing.png"/>
                    <pic:cNvPicPr/>
                  </pic:nvPicPr>
                  <pic:blipFill>
                    <a:blip r:embed="rId26"/>
                    <a:stretch>
                      <a:fillRect/>
                    </a:stretch>
                  </pic:blipFill>
                  <pic:spPr>
                    <a:xfrm>
                      <a:off x="0" y="0"/>
                      <a:ext cx="4653153" cy="5394960"/>
                    </a:xfrm>
                    <a:prstGeom prst="rect"/>
                  </pic:spPr>
                </pic:pic>
              </a:graphicData>
            </a:graphic>
          </wp:inline>
        </w:drawing>
      </w:r>
    </w:p>
    <w:p>
      <w:pPr>
        <w:spacing w:after="40"/>
        <w:jc w:val="center"/>
      </w:pPr>
      <w:r>
        <w:rPr>
          <w:i/>
          <w:color w:val="555F6D"/>
          <w:sz w:val="17"/>
        </w:rPr>
        <w:t>Figure 17. Purchasing, goods receipts and vouchers</w:t>
      </w:r>
    </w:p>
    <w:p>
      <w:bookmarkStart w:id="1216" w:name="_Toc1216"/>
      <w:pPr>
        <w:pStyle w:val="Heading2"/>
      </w:pPr>
      <w:r>
        <w:t>19.6 Invoices, payments, cashflows, advances</w:t>
      </w:r>
      <w:bookmarkEnd w:id="1216"/>
    </w:p>
    <w:p>
      <w:pPr>
        <w:keepNext/>
        <w:spacing w:before="80" w:after="40"/>
        <w:jc w:val="center"/>
      </w:pPr>
      <w:r>
        <w:drawing>
          <wp:inline xmlns:a="http://schemas.openxmlformats.org/drawingml/2006/main" xmlns:pic="http://schemas.openxmlformats.org/drawingml/2006/picture">
            <wp:extent cx="7652425" cy="5394960"/>
            <wp:docPr id="18" name="Picture 18"/>
            <wp:cNvGraphicFramePr>
              <a:graphicFrameLocks noChangeAspect="1"/>
            </wp:cNvGraphicFramePr>
            <a:graphic>
              <a:graphicData uri="http://schemas.openxmlformats.org/drawingml/2006/picture">
                <pic:pic>
                  <pic:nvPicPr>
                    <pic:cNvPr id="0" name="erd-finance.png"/>
                    <pic:cNvPicPr/>
                  </pic:nvPicPr>
                  <pic:blipFill>
                    <a:blip r:embed="rId27"/>
                    <a:stretch>
                      <a:fillRect/>
                    </a:stretch>
                  </pic:blipFill>
                  <pic:spPr>
                    <a:xfrm>
                      <a:off x="0" y="0"/>
                      <a:ext cx="7652425" cy="5394960"/>
                    </a:xfrm>
                    <a:prstGeom prst="rect"/>
                  </pic:spPr>
                </pic:pic>
              </a:graphicData>
            </a:graphic>
          </wp:inline>
        </w:drawing>
      </w:r>
    </w:p>
    <w:p>
      <w:pPr>
        <w:spacing w:after="40"/>
        <w:jc w:val="center"/>
      </w:pPr>
      <w:r>
        <w:rPr>
          <w:i/>
          <w:color w:val="555F6D"/>
          <w:sz w:val="17"/>
        </w:rPr>
        <w:t>Figure 18. Invoices, payments, cashflows, advances</w:t>
      </w:r>
    </w:p>
    <w:p>
      <w:bookmarkStart w:id="1217" w:name="_Toc1217"/>
      <w:pPr>
        <w:pStyle w:val="Heading2"/>
      </w:pPr>
      <w:r>
        <w:t>19.7 Chart of accounts and journals</w:t>
      </w:r>
      <w:bookmarkEnd w:id="1217"/>
    </w:p>
    <w:p>
      <w:pPr>
        <w:keepNext/>
        <w:spacing w:before="80" w:after="40"/>
        <w:jc w:val="center"/>
      </w:pPr>
      <w:r>
        <w:drawing>
          <wp:inline xmlns:a="http://schemas.openxmlformats.org/drawingml/2006/main" xmlns:pic="http://schemas.openxmlformats.org/drawingml/2006/picture">
            <wp:extent cx="8229600" cy="3152966"/>
            <wp:docPr id="19" name="Picture 19"/>
            <wp:cNvGraphicFramePr>
              <a:graphicFrameLocks noChangeAspect="1"/>
            </wp:cNvGraphicFramePr>
            <a:graphic>
              <a:graphicData uri="http://schemas.openxmlformats.org/drawingml/2006/picture">
                <pic:pic>
                  <pic:nvPicPr>
                    <pic:cNvPr id="0" name="erd-accounting.png"/>
                    <pic:cNvPicPr/>
                  </pic:nvPicPr>
                  <pic:blipFill>
                    <a:blip r:embed="rId28"/>
                    <a:stretch>
                      <a:fillRect/>
                    </a:stretch>
                  </pic:blipFill>
                  <pic:spPr>
                    <a:xfrm>
                      <a:off x="0" y="0"/>
                      <a:ext cx="8229600" cy="3152966"/>
                    </a:xfrm>
                    <a:prstGeom prst="rect"/>
                  </pic:spPr>
                </pic:pic>
              </a:graphicData>
            </a:graphic>
          </wp:inline>
        </w:drawing>
      </w:r>
    </w:p>
    <w:p>
      <w:pPr>
        <w:spacing w:after="40"/>
        <w:jc w:val="center"/>
      </w:pPr>
      <w:r>
        <w:rPr>
          <w:i/>
          <w:color w:val="555F6D"/>
          <w:sz w:val="17"/>
        </w:rPr>
        <w:t>Figure 19. Chart of accounts and journals</w:t>
      </w:r>
    </w:p>
    <w:p>
      <w:bookmarkStart w:id="1218" w:name="_Toc1218"/>
      <w:pPr>
        <w:pStyle w:val="Heading2"/>
      </w:pPr>
      <w:r>
        <w:t>19.8 Cashier shifts and drawer</w:t>
      </w:r>
      <w:bookmarkEnd w:id="1218"/>
    </w:p>
    <w:p>
      <w:pPr>
        <w:keepNext/>
        <w:spacing w:before="80" w:after="40"/>
        <w:jc w:val="center"/>
      </w:pPr>
      <w:r>
        <w:drawing>
          <wp:inline xmlns:a="http://schemas.openxmlformats.org/drawingml/2006/main" xmlns:pic="http://schemas.openxmlformats.org/drawingml/2006/picture">
            <wp:extent cx="3183026" cy="5394959"/>
            <wp:docPr id="20" name="Picture 20"/>
            <wp:cNvGraphicFramePr>
              <a:graphicFrameLocks noChangeAspect="1"/>
            </wp:cNvGraphicFramePr>
            <a:graphic>
              <a:graphicData uri="http://schemas.openxmlformats.org/drawingml/2006/picture">
                <pic:pic>
                  <pic:nvPicPr>
                    <pic:cNvPr id="0" name="erd-pos.png"/>
                    <pic:cNvPicPr/>
                  </pic:nvPicPr>
                  <pic:blipFill>
                    <a:blip r:embed="rId29"/>
                    <a:stretch>
                      <a:fillRect/>
                    </a:stretch>
                  </pic:blipFill>
                  <pic:spPr>
                    <a:xfrm>
                      <a:off x="0" y="0"/>
                      <a:ext cx="3183026" cy="5394959"/>
                    </a:xfrm>
                    <a:prstGeom prst="rect"/>
                  </pic:spPr>
                </pic:pic>
              </a:graphicData>
            </a:graphic>
          </wp:inline>
        </w:drawing>
      </w:r>
    </w:p>
    <w:p>
      <w:pPr>
        <w:spacing w:after="40"/>
        <w:jc w:val="center"/>
      </w:pPr>
      <w:r>
        <w:rPr>
          <w:i/>
          <w:color w:val="555F6D"/>
          <w:sz w:val="17"/>
        </w:rPr>
        <w:t>Figure 20. Cashier shifts and drawer</w:t>
      </w:r>
    </w:p>
    <w:p>
      <w:bookmarkStart w:id="1219" w:name="_Toc1219"/>
      <w:pPr>
        <w:pStyle w:val="Heading2"/>
      </w:pPr>
      <w:r>
        <w:t>19.9 Delivery, shipments, fleet, LHPP</w:t>
      </w:r>
      <w:bookmarkEnd w:id="1219"/>
    </w:p>
    <w:p>
      <w:pPr>
        <w:keepNext/>
        <w:spacing w:before="80" w:after="40"/>
        <w:jc w:val="center"/>
      </w:pPr>
      <w:r>
        <w:drawing>
          <wp:inline xmlns:a="http://schemas.openxmlformats.org/drawingml/2006/main" xmlns:pic="http://schemas.openxmlformats.org/drawingml/2006/picture">
            <wp:extent cx="8229600" cy="4222814"/>
            <wp:docPr id="21" name="Picture 21"/>
            <wp:cNvGraphicFramePr>
              <a:graphicFrameLocks noChangeAspect="1"/>
            </wp:cNvGraphicFramePr>
            <a:graphic>
              <a:graphicData uri="http://schemas.openxmlformats.org/drawingml/2006/picture">
                <pic:pic>
                  <pic:nvPicPr>
                    <pic:cNvPr id="0" name="erd-distribution.png"/>
                    <pic:cNvPicPr/>
                  </pic:nvPicPr>
                  <pic:blipFill>
                    <a:blip r:embed="rId30"/>
                    <a:stretch>
                      <a:fillRect/>
                    </a:stretch>
                  </pic:blipFill>
                  <pic:spPr>
                    <a:xfrm>
                      <a:off x="0" y="0"/>
                      <a:ext cx="8229600" cy="4222814"/>
                    </a:xfrm>
                    <a:prstGeom prst="rect"/>
                  </pic:spPr>
                </pic:pic>
              </a:graphicData>
            </a:graphic>
          </wp:inline>
        </w:drawing>
      </w:r>
    </w:p>
    <w:p>
      <w:pPr>
        <w:spacing w:after="40"/>
        <w:jc w:val="center"/>
      </w:pPr>
      <w:r>
        <w:rPr>
          <w:i/>
          <w:color w:val="555F6D"/>
          <w:sz w:val="17"/>
        </w:rPr>
        <w:t>Figure 21. Delivery, shipments, fleet, LHPP</w:t>
      </w:r>
    </w:p>
    <w:p>
      <w:bookmarkStart w:id="1220" w:name="_Toc1220"/>
      <w:pPr>
        <w:pStyle w:val="Heading2"/>
      </w:pPr>
      <w:r>
        <w:t>19.10 Employees, attendance, leave, payroll</w:t>
      </w:r>
      <w:bookmarkEnd w:id="1220"/>
    </w:p>
    <w:p>
      <w:pPr>
        <w:keepNext/>
        <w:spacing w:before="80" w:after="40"/>
        <w:jc w:val="center"/>
      </w:pPr>
      <w:r>
        <w:drawing>
          <wp:inline xmlns:a="http://schemas.openxmlformats.org/drawingml/2006/main" xmlns:pic="http://schemas.openxmlformats.org/drawingml/2006/picture">
            <wp:extent cx="8229600" cy="4140518"/>
            <wp:docPr id="22" name="Picture 22"/>
            <wp:cNvGraphicFramePr>
              <a:graphicFrameLocks noChangeAspect="1"/>
            </wp:cNvGraphicFramePr>
            <a:graphic>
              <a:graphicData uri="http://schemas.openxmlformats.org/drawingml/2006/picture">
                <pic:pic>
                  <pic:nvPicPr>
                    <pic:cNvPr id="0" name="erd-hr.png"/>
                    <pic:cNvPicPr/>
                  </pic:nvPicPr>
                  <pic:blipFill>
                    <a:blip r:embed="rId31"/>
                    <a:stretch>
                      <a:fillRect/>
                    </a:stretch>
                  </pic:blipFill>
                  <pic:spPr>
                    <a:xfrm>
                      <a:off x="0" y="0"/>
                      <a:ext cx="8229600" cy="4140518"/>
                    </a:xfrm>
                    <a:prstGeom prst="rect"/>
                  </pic:spPr>
                </pic:pic>
              </a:graphicData>
            </a:graphic>
          </wp:inline>
        </w:drawing>
      </w:r>
    </w:p>
    <w:p>
      <w:pPr>
        <w:spacing w:after="40"/>
        <w:jc w:val="center"/>
      </w:pPr>
      <w:r>
        <w:rPr>
          <w:i/>
          <w:color w:val="555F6D"/>
          <w:sz w:val="17"/>
        </w:rPr>
        <w:t>Figure 22. Employees, attendance, leave, payroll</w:t>
      </w:r>
    </w:p>
    <w:p>
      <w:bookmarkStart w:id="1221" w:name="_Toc1221"/>
      <w:pPr>
        <w:pStyle w:val="Heading2"/>
      </w:pPr>
      <w:r>
        <w:t>19.11 Visits, activities, routes, GPS</w:t>
      </w:r>
      <w:bookmarkEnd w:id="1221"/>
    </w:p>
    <w:p>
      <w:pPr>
        <w:keepNext/>
        <w:spacing w:before="80" w:after="40"/>
        <w:jc w:val="center"/>
      </w:pPr>
      <w:r>
        <w:drawing>
          <wp:inline xmlns:a="http://schemas.openxmlformats.org/drawingml/2006/main" xmlns:pic="http://schemas.openxmlformats.org/drawingml/2006/picture">
            <wp:extent cx="8229600" cy="5194935"/>
            <wp:docPr id="23" name="Picture 23"/>
            <wp:cNvGraphicFramePr>
              <a:graphicFrameLocks noChangeAspect="1"/>
            </wp:cNvGraphicFramePr>
            <a:graphic>
              <a:graphicData uri="http://schemas.openxmlformats.org/drawingml/2006/picture">
                <pic:pic>
                  <pic:nvPicPr>
                    <pic:cNvPr id="0" name="erd-salestracking.png"/>
                    <pic:cNvPicPr/>
                  </pic:nvPicPr>
                  <pic:blipFill>
                    <a:blip r:embed="rId32"/>
                    <a:stretch>
                      <a:fillRect/>
                    </a:stretch>
                  </pic:blipFill>
                  <pic:spPr>
                    <a:xfrm>
                      <a:off x="0" y="0"/>
                      <a:ext cx="8229600" cy="5194935"/>
                    </a:xfrm>
                    <a:prstGeom prst="rect"/>
                  </pic:spPr>
                </pic:pic>
              </a:graphicData>
            </a:graphic>
          </wp:inline>
        </w:drawing>
      </w:r>
    </w:p>
    <w:p>
      <w:pPr>
        <w:spacing w:after="40"/>
        <w:jc w:val="center"/>
      </w:pPr>
      <w:r>
        <w:rPr>
          <w:i/>
          <w:color w:val="555F6D"/>
          <w:sz w:val="17"/>
        </w:rPr>
        <w:t>Figure 23. Visits, activities, routes, GPS</w:t>
      </w:r>
    </w:p>
    <w:p>
      <w:bookmarkStart w:id="1222" w:name="_Toc1222"/>
      <w:pPr>
        <w:pStyle w:val="Heading2"/>
      </w:pPr>
      <w:r>
        <w:t>19.12 Tickets and report templates</w:t>
      </w:r>
      <w:bookmarkEnd w:id="1222"/>
    </w:p>
    <w:p>
      <w:pPr>
        <w:keepNext/>
        <w:spacing w:before="80" w:after="40"/>
        <w:jc w:val="center"/>
      </w:pPr>
      <w:r>
        <w:drawing>
          <wp:inline xmlns:a="http://schemas.openxmlformats.org/drawingml/2006/main" xmlns:pic="http://schemas.openxmlformats.org/drawingml/2006/picture">
            <wp:extent cx="6791452" cy="5394960"/>
            <wp:docPr id="24" name="Picture 24"/>
            <wp:cNvGraphicFramePr>
              <a:graphicFrameLocks noChangeAspect="1"/>
            </wp:cNvGraphicFramePr>
            <a:graphic>
              <a:graphicData uri="http://schemas.openxmlformats.org/drawingml/2006/picture">
                <pic:pic>
                  <pic:nvPicPr>
                    <pic:cNvPr id="0" name="erd-support-reports.png"/>
                    <pic:cNvPicPr/>
                  </pic:nvPicPr>
                  <pic:blipFill>
                    <a:blip r:embed="rId33"/>
                    <a:stretch>
                      <a:fillRect/>
                    </a:stretch>
                  </pic:blipFill>
                  <pic:spPr>
                    <a:xfrm>
                      <a:off x="0" y="0"/>
                      <a:ext cx="6791452" cy="5394960"/>
                    </a:xfrm>
                    <a:prstGeom prst="rect"/>
                  </pic:spPr>
                </pic:pic>
              </a:graphicData>
            </a:graphic>
          </wp:inline>
        </w:drawing>
      </w:r>
    </w:p>
    <w:p>
      <w:pPr>
        <w:spacing w:after="40"/>
        <w:jc w:val="center"/>
      </w:pPr>
      <w:r>
        <w:rPr>
          <w:i/>
          <w:color w:val="555F6D"/>
          <w:sz w:val="17"/>
        </w:rPr>
        <w:t>Figure 24. Tickets and report templates</w:t>
      </w:r>
    </w:p>
    <w:p>
      <w:bookmarkStart w:id="1223" w:name="_Toc1223"/>
      <w:pPr>
        <w:pStyle w:val="Heading2"/>
      </w:pPr>
      <w:r>
        <w:t>19.13 Laravel framework tables retained for parity</w:t>
      </w:r>
      <w:bookmarkEnd w:id="1223"/>
    </w:p>
    <w:p>
      <w:pPr>
        <w:keepNext/>
        <w:spacing w:before="80" w:after="40"/>
        <w:jc w:val="center"/>
      </w:pPr>
      <w:r>
        <w:drawing>
          <wp:inline xmlns:a="http://schemas.openxmlformats.org/drawingml/2006/main" xmlns:pic="http://schemas.openxmlformats.org/drawingml/2006/picture">
            <wp:extent cx="8229600" cy="843534"/>
            <wp:docPr id="25" name="Picture 25"/>
            <wp:cNvGraphicFramePr>
              <a:graphicFrameLocks noChangeAspect="1"/>
            </wp:cNvGraphicFramePr>
            <a:graphic>
              <a:graphicData uri="http://schemas.openxmlformats.org/drawingml/2006/picture">
                <pic:pic>
                  <pic:nvPicPr>
                    <pic:cNvPr id="0" name="erd-framework.png"/>
                    <pic:cNvPicPr/>
                  </pic:nvPicPr>
                  <pic:blipFill>
                    <a:blip r:embed="rId34"/>
                    <a:stretch>
                      <a:fillRect/>
                    </a:stretch>
                  </pic:blipFill>
                  <pic:spPr>
                    <a:xfrm>
                      <a:off x="0" y="0"/>
                      <a:ext cx="8229600" cy="843534"/>
                    </a:xfrm>
                    <a:prstGeom prst="rect"/>
                  </pic:spPr>
                </pic:pic>
              </a:graphicData>
            </a:graphic>
          </wp:inline>
        </w:drawing>
      </w:r>
    </w:p>
    <w:p>
      <w:pPr>
        <w:spacing w:after="40"/>
        <w:jc w:val="center"/>
      </w:pPr>
      <w:r>
        <w:rPr>
          <w:i/>
          <w:color w:val="555F6D"/>
          <w:sz w:val="17"/>
        </w:rPr>
        <w:t>Figure 25. Laravel framework tables retained for parity</w:t>
      </w:r>
    </w:p>
    <w:p>
      <w:pPr>
        <w:sectPr>
          <w:pgSz w:w="15840" w:h="12240" w:orient="landscape"/>
          <w:pgMar w:top="1008" w:right="864" w:bottom="864" w:left="864" w:header="720" w:footer="720" w:gutter="0"/>
          <w:cols w:space="720"/>
          <w:docGrid w:linePitch="360"/>
        </w:sectPr>
      </w:pPr>
    </w:p>
    <w:p>
      <w:bookmarkStart w:id="1224" w:name="_Toc1224"/>
      <w:pPr>
        <w:pStyle w:val="Heading2"/>
      </w:pPr>
      <w:r>
        <w:t>19.14 Relationship index</w:t>
      </w:r>
      <w:bookmarkEnd w:id="1224"/>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648" w:type="dxa"/>
      </w:tblPr>
      <w:tblGrid>
        <w:gridCol w:w="3216"/>
        <w:gridCol w:w="3216"/>
        <w:gridCol w:w="3216"/>
      </w:tblGrid>
      <w:tr>
        <w:trPr>
          <w:tblHeader w:val="true"/>
        </w:trPr>
        <w:tc>
          <w:tcPr>
            <w:tcW w:type="dxa" w:w="1462"/>
            <w:shd w:val="clear" w:color="auto" w:fill="1F3A5F"/>
          </w:tcPr>
          <w:p>
            <w:pPr>
              <w:spacing w:after="0"/>
            </w:pPr>
            <w:r/>
            <w:r>
              <w:rPr>
                <w:b/>
                <w:color w:val="FFFFFF"/>
                <w:sz w:val="15"/>
              </w:rPr>
              <w:t>Table</w:t>
            </w:r>
          </w:p>
        </w:tc>
        <w:tc>
          <w:tcPr>
            <w:tcW w:type="dxa" w:w="3508"/>
            <w:shd w:val="clear" w:color="auto" w:fill="1F3A5F"/>
          </w:tcPr>
          <w:p>
            <w:pPr>
              <w:spacing w:after="0"/>
            </w:pPr>
            <w:r/>
            <w:r>
              <w:rPr>
                <w:b/>
                <w:color w:val="FFFFFF"/>
                <w:sz w:val="15"/>
              </w:rPr>
              <w:t>Declared FK targets</w:t>
            </w:r>
          </w:p>
        </w:tc>
        <w:tc>
          <w:tcPr>
            <w:tcW w:type="dxa" w:w="4678"/>
            <w:shd w:val="clear" w:color="auto" w:fill="1F3A5F"/>
          </w:tcPr>
          <w:p>
            <w:pPr>
              <w:spacing w:after="0"/>
            </w:pPr>
            <w:r/>
            <w:r>
              <w:rPr>
                <w:b/>
                <w:color w:val="FFFFFF"/>
                <w:sz w:val="15"/>
              </w:rPr>
              <w:t>Logical (not declared)</w:t>
            </w:r>
          </w:p>
        </w:tc>
      </w:tr>
      <w:tr>
        <w:trPr>
          <w:cantSplit/>
        </w:trPr>
        <w:tc>
          <w:tcPr>
            <w:tcW w:type="dxa" w:w="1462"/>
          </w:tcPr>
          <w:p>
            <w:pPr>
              <w:spacing w:after="0"/>
            </w:pPr>
            <w:r/>
            <w:r>
              <w:rPr>
                <w:sz w:val="15"/>
              </w:rPr>
              <w:t>sales_orders</w:t>
            </w:r>
          </w:p>
        </w:tc>
        <w:tc>
          <w:tcPr>
            <w:tcW w:type="dxa" w:w="3508"/>
          </w:tcPr>
          <w:p>
            <w:pPr>
              <w:spacing w:after="0"/>
            </w:pPr>
            <w:r/>
            <w:r>
              <w:rPr>
                <w:sz w:val="15"/>
              </w:rPr>
              <w:t>customers, warehouses, employees (sales_id), stores, users (supervisor_id, approved_by), cashier_shifts</w:t>
            </w:r>
          </w:p>
        </w:tc>
        <w:tc>
          <w:tcPr>
            <w:tcW w:type="dxa" w:w="4678"/>
          </w:tcPr>
          <w:p>
            <w:pPr>
              <w:spacing w:after="0"/>
            </w:pPr>
            <w:r/>
            <w:r>
              <w:rPr>
                <w:sz w:val="15"/>
              </w:rPr>
              <w:t>—</w:t>
            </w:r>
          </w:p>
        </w:tc>
      </w:tr>
      <w:tr>
        <w:trPr>
          <w:cantSplit/>
        </w:trPr>
        <w:tc>
          <w:tcPr>
            <w:tcW w:type="dxa" w:w="1462"/>
          </w:tcPr>
          <w:p>
            <w:pPr>
              <w:spacing w:after="0"/>
            </w:pPr>
            <w:r/>
            <w:r>
              <w:rPr>
                <w:sz w:val="15"/>
              </w:rPr>
              <w:t>sales_order_items</w:t>
            </w:r>
          </w:p>
        </w:tc>
        <w:tc>
          <w:tcPr>
            <w:tcW w:type="dxa" w:w="3508"/>
          </w:tcPr>
          <w:p>
            <w:pPr>
              <w:spacing w:after="0"/>
            </w:pPr>
            <w:r/>
            <w:r>
              <w:rPr>
                <w:sz w:val="15"/>
              </w:rPr>
              <w:t>sales_orders, products, product_units, units</w:t>
            </w:r>
          </w:p>
        </w:tc>
        <w:tc>
          <w:tcPr>
            <w:tcW w:type="dxa" w:w="4678"/>
          </w:tcPr>
          <w:p>
            <w:pPr>
              <w:spacing w:after="0"/>
            </w:pPr>
            <w:r/>
            <w:r>
              <w:rPr>
                <w:sz w:val="15"/>
              </w:rPr>
              <w:t>—</w:t>
            </w:r>
          </w:p>
        </w:tc>
      </w:tr>
      <w:tr>
        <w:trPr>
          <w:cantSplit/>
        </w:trPr>
        <w:tc>
          <w:tcPr>
            <w:tcW w:type="dxa" w:w="1462"/>
          </w:tcPr>
          <w:p>
            <w:pPr>
              <w:spacing w:after="0"/>
            </w:pPr>
            <w:r/>
            <w:r>
              <w:rPr>
                <w:sz w:val="15"/>
              </w:rPr>
              <w:t>payments</w:t>
            </w:r>
          </w:p>
        </w:tc>
        <w:tc>
          <w:tcPr>
            <w:tcW w:type="dxa" w:w="3508"/>
          </w:tcPr>
          <w:p>
            <w:pPr>
              <w:spacing w:after="0"/>
            </w:pPr>
            <w:r/>
            <w:r>
              <w:rPr>
                <w:sz w:val="15"/>
              </w:rPr>
              <w:t>users (created_by), warehouse_deposits (deposit_id)</w:t>
            </w:r>
          </w:p>
        </w:tc>
        <w:tc>
          <w:tcPr>
            <w:tcW w:type="dxa" w:w="4678"/>
          </w:tcPr>
          <w:p>
            <w:pPr>
              <w:spacing w:after="0"/>
            </w:pPr>
            <w:r/>
            <w:r>
              <w:rPr>
                <w:sz w:val="15"/>
              </w:rPr>
              <w:t>payable_type/payable_id → invoices | purchase_orders (polymorphic)</w:t>
            </w:r>
          </w:p>
        </w:tc>
      </w:tr>
      <w:tr>
        <w:trPr>
          <w:cantSplit/>
        </w:trPr>
        <w:tc>
          <w:tcPr>
            <w:tcW w:type="dxa" w:w="1462"/>
          </w:tcPr>
          <w:p>
            <w:pPr>
              <w:spacing w:after="0"/>
            </w:pPr>
            <w:r/>
            <w:r>
              <w:rPr>
                <w:sz w:val="15"/>
              </w:rPr>
              <w:t>cashflows</w:t>
            </w:r>
          </w:p>
        </w:tc>
        <w:tc>
          <w:tcPr>
            <w:tcW w:type="dxa" w:w="3508"/>
          </w:tcPr>
          <w:p>
            <w:pPr>
              <w:spacing w:after="0"/>
            </w:pPr>
            <w:r/>
            <w:r>
              <w:rPr>
                <w:sz w:val="15"/>
              </w:rPr>
              <w:t>users (created_by, attachment_uploaded_by), cash_accounts, stores, cashflows (reversal_of)</w:t>
            </w:r>
          </w:p>
        </w:tc>
        <w:tc>
          <w:tcPr>
            <w:tcW w:type="dxa" w:w="4678"/>
          </w:tcPr>
          <w:p>
            <w:pPr>
              <w:spacing w:after="0"/>
            </w:pPr>
            <w:r/>
            <w:r>
              <w:rPr>
                <w:sz w:val="15"/>
              </w:rPr>
              <w:t>reference_type/reference_id → any document (polymorphic)</w:t>
            </w:r>
          </w:p>
        </w:tc>
      </w:tr>
      <w:tr>
        <w:trPr>
          <w:cantSplit/>
        </w:trPr>
        <w:tc>
          <w:tcPr>
            <w:tcW w:type="dxa" w:w="1462"/>
          </w:tcPr>
          <w:p>
            <w:pPr>
              <w:spacing w:after="0"/>
            </w:pPr>
            <w:r/>
            <w:r>
              <w:rPr>
                <w:sz w:val="15"/>
              </w:rPr>
              <w:t>journal_entries</w:t>
            </w:r>
          </w:p>
        </w:tc>
        <w:tc>
          <w:tcPr>
            <w:tcW w:type="dxa" w:w="3508"/>
          </w:tcPr>
          <w:p>
            <w:pPr>
              <w:spacing w:after="0"/>
            </w:pPr>
            <w:r/>
            <w:r>
              <w:rPr>
                <w:sz w:val="15"/>
              </w:rPr>
              <w:t>stores, users, journal_entries (reversal_of, reversal_entry_id)</w:t>
            </w:r>
          </w:p>
        </w:tc>
        <w:tc>
          <w:tcPr>
            <w:tcW w:type="dxa" w:w="4678"/>
          </w:tcPr>
          <w:p>
            <w:pPr>
              <w:spacing w:after="0"/>
            </w:pPr>
            <w:r/>
            <w:r>
              <w:rPr>
                <w:sz w:val="15"/>
              </w:rPr>
              <w:t>source_type/source_id → any document (polymorphic)</w:t>
            </w:r>
          </w:p>
        </w:tc>
      </w:tr>
      <w:tr>
        <w:trPr>
          <w:cantSplit/>
        </w:trPr>
        <w:tc>
          <w:tcPr>
            <w:tcW w:type="dxa" w:w="1462"/>
          </w:tcPr>
          <w:p>
            <w:pPr>
              <w:spacing w:after="0"/>
            </w:pPr>
            <w:r/>
            <w:r>
              <w:rPr>
                <w:sz w:val="15"/>
              </w:rPr>
              <w:t>invoices</w:t>
            </w:r>
          </w:p>
        </w:tc>
        <w:tc>
          <w:tcPr>
            <w:tcW w:type="dxa" w:w="3508"/>
          </w:tcPr>
          <w:p>
            <w:pPr>
              <w:spacing w:after="0"/>
            </w:pPr>
            <w:r/>
            <w:r>
              <w:rPr>
                <w:sz w:val="15"/>
              </w:rPr>
              <w:t>sales_orders, customers</w:t>
            </w:r>
          </w:p>
        </w:tc>
        <w:tc>
          <w:tcPr>
            <w:tcW w:type="dxa" w:w="4678"/>
          </w:tcPr>
          <w:p>
            <w:pPr>
              <w:spacing w:after="0"/>
            </w:pPr>
            <w:r/>
            <w:r>
              <w:rPr>
                <w:sz w:val="15"/>
              </w:rPr>
              <w:t>—</w:t>
            </w:r>
          </w:p>
        </w:tc>
      </w:tr>
      <w:tr>
        <w:trPr>
          <w:cantSplit/>
        </w:trPr>
        <w:tc>
          <w:tcPr>
            <w:tcW w:type="dxa" w:w="1462"/>
          </w:tcPr>
          <w:p>
            <w:pPr>
              <w:spacing w:after="0"/>
            </w:pPr>
            <w:r/>
            <w:r>
              <w:rPr>
                <w:sz w:val="15"/>
              </w:rPr>
              <w:t>delivery_orders</w:t>
            </w:r>
          </w:p>
        </w:tc>
        <w:tc>
          <w:tcPr>
            <w:tcW w:type="dxa" w:w="3508"/>
          </w:tcPr>
          <w:p>
            <w:pPr>
              <w:spacing w:after="0"/>
            </w:pPr>
            <w:r/>
            <w:r>
              <w:rPr>
                <w:sz w:val="15"/>
              </w:rPr>
              <w:t>sales_orders, customers, warehouses, users</w:t>
            </w:r>
          </w:p>
        </w:tc>
        <w:tc>
          <w:tcPr>
            <w:tcW w:type="dxa" w:w="4678"/>
          </w:tcPr>
          <w:p>
            <w:pPr>
              <w:spacing w:after="0"/>
            </w:pPr>
            <w:r/>
            <w:r>
              <w:rPr>
                <w:sz w:val="15"/>
              </w:rPr>
              <w:t>—</w:t>
            </w:r>
          </w:p>
        </w:tc>
      </w:tr>
      <w:tr>
        <w:trPr>
          <w:cantSplit/>
        </w:trPr>
        <w:tc>
          <w:tcPr>
            <w:tcW w:type="dxa" w:w="1462"/>
          </w:tcPr>
          <w:p>
            <w:pPr>
              <w:spacing w:after="0"/>
            </w:pPr>
            <w:r/>
            <w:r>
              <w:rPr>
                <w:sz w:val="15"/>
              </w:rPr>
              <w:t>shipments</w:t>
            </w:r>
          </w:p>
        </w:tc>
        <w:tc>
          <w:tcPr>
            <w:tcW w:type="dxa" w:w="3508"/>
          </w:tcPr>
          <w:p>
            <w:pPr>
              <w:spacing w:after="0"/>
            </w:pPr>
            <w:r/>
            <w:r>
              <w:rPr>
                <w:sz w:val="15"/>
              </w:rPr>
              <w:t>delivery_orders, users</w:t>
            </w:r>
          </w:p>
        </w:tc>
        <w:tc>
          <w:tcPr>
            <w:tcW w:type="dxa" w:w="4678"/>
          </w:tcPr>
          <w:p>
            <w:pPr>
              <w:spacing w:after="0"/>
            </w:pPr>
            <w:r/>
            <w:r>
              <w:rPr>
                <w:sz w:val="15"/>
              </w:rPr>
              <w:t>—</w:t>
            </w:r>
          </w:p>
        </w:tc>
      </w:tr>
      <w:tr>
        <w:trPr>
          <w:cantSplit/>
        </w:trPr>
        <w:tc>
          <w:tcPr>
            <w:tcW w:type="dxa" w:w="1462"/>
          </w:tcPr>
          <w:p>
            <w:pPr>
              <w:spacing w:after="0"/>
            </w:pPr>
            <w:r/>
            <w:r>
              <w:rPr>
                <w:sz w:val="15"/>
              </w:rPr>
              <w:t>lhpp_group_items</w:t>
            </w:r>
          </w:p>
        </w:tc>
        <w:tc>
          <w:tcPr>
            <w:tcW w:type="dxa" w:w="3508"/>
          </w:tcPr>
          <w:p>
            <w:pPr>
              <w:spacing w:after="0"/>
            </w:pPr>
            <w:r/>
            <w:r>
              <w:rPr>
                <w:sz w:val="15"/>
              </w:rPr>
              <w:t>lhpp_groups, delivery_orders, users</w:t>
            </w:r>
          </w:p>
        </w:tc>
        <w:tc>
          <w:tcPr>
            <w:tcW w:type="dxa" w:w="4678"/>
          </w:tcPr>
          <w:p>
            <w:pPr>
              <w:spacing w:after="0"/>
            </w:pPr>
            <w:r/>
            <w:r>
              <w:rPr>
                <w:sz w:val="15"/>
              </w:rPr>
              <w:t>—</w:t>
            </w:r>
          </w:p>
        </w:tc>
      </w:tr>
      <w:tr>
        <w:trPr>
          <w:cantSplit/>
        </w:trPr>
        <w:tc>
          <w:tcPr>
            <w:tcW w:type="dxa" w:w="1462"/>
          </w:tcPr>
          <w:p>
            <w:pPr>
              <w:spacing w:after="0"/>
            </w:pPr>
            <w:r/>
            <w:r>
              <w:rPr>
                <w:sz w:val="15"/>
              </w:rPr>
              <w:t>memberships</w:t>
            </w:r>
          </w:p>
        </w:tc>
        <w:tc>
          <w:tcPr>
            <w:tcW w:type="dxa" w:w="3508"/>
          </w:tcPr>
          <w:p>
            <w:pPr>
              <w:spacing w:after="0"/>
            </w:pPr>
            <w:r/>
            <w:r>
              <w:rPr>
                <w:sz w:val="15"/>
              </w:rPr>
              <w:t>customers, users (created_by)</w:t>
            </w:r>
          </w:p>
        </w:tc>
        <w:tc>
          <w:tcPr>
            <w:tcW w:type="dxa" w:w="4678"/>
          </w:tcPr>
          <w:p>
            <w:pPr>
              <w:spacing w:after="0"/>
            </w:pPr>
            <w:r/>
            <w:r>
              <w:rPr>
                <w:sz w:val="15"/>
              </w:rPr>
              <w:t>tier is a text code, not an FK to membership_tiers</w:t>
            </w:r>
          </w:p>
        </w:tc>
      </w:tr>
      <w:tr>
        <w:trPr>
          <w:cantSplit/>
        </w:trPr>
        <w:tc>
          <w:tcPr>
            <w:tcW w:type="dxa" w:w="1462"/>
          </w:tcPr>
          <w:p>
            <w:pPr>
              <w:spacing w:after="0"/>
            </w:pPr>
            <w:r/>
            <w:r>
              <w:rPr>
                <w:sz w:val="15"/>
              </w:rPr>
              <w:t>employees</w:t>
            </w:r>
          </w:p>
        </w:tc>
        <w:tc>
          <w:tcPr>
            <w:tcW w:type="dxa" w:w="3508"/>
          </w:tcPr>
          <w:p>
            <w:pPr>
              <w:spacing w:after="0"/>
            </w:pPr>
            <w:r/>
            <w:r>
              <w:rPr>
                <w:sz w:val="15"/>
              </w:rPr>
              <w:t>users</w:t>
            </w:r>
          </w:p>
        </w:tc>
        <w:tc>
          <w:tcPr>
            <w:tcW w:type="dxa" w:w="4678"/>
          </w:tcPr>
          <w:p>
            <w:pPr>
              <w:spacing w:after="0"/>
            </w:pPr>
            <w:r/>
            <w:r>
              <w:rPr>
                <w:sz w:val="15"/>
              </w:rPr>
              <w:t>—</w:t>
            </w:r>
          </w:p>
        </w:tc>
      </w:tr>
      <w:tr>
        <w:trPr>
          <w:cantSplit/>
        </w:trPr>
        <w:tc>
          <w:tcPr>
            <w:tcW w:type="dxa" w:w="1462"/>
          </w:tcPr>
          <w:p>
            <w:pPr>
              <w:spacing w:after="0"/>
            </w:pPr>
            <w:r/>
            <w:r>
              <w:rPr>
                <w:sz w:val="15"/>
              </w:rPr>
              <w:t>tickets</w:t>
            </w:r>
          </w:p>
        </w:tc>
        <w:tc>
          <w:tcPr>
            <w:tcW w:type="dxa" w:w="3508"/>
          </w:tcPr>
          <w:p>
            <w:pPr>
              <w:spacing w:after="0"/>
            </w:pPr>
            <w:r/>
            <w:r>
              <w:rPr>
                <w:sz w:val="15"/>
              </w:rPr>
              <w:t>users (reporter_id, assigned_to_id)</w:t>
            </w:r>
          </w:p>
        </w:tc>
        <w:tc>
          <w:tcPr>
            <w:tcW w:type="dxa" w:w="4678"/>
          </w:tcPr>
          <w:p>
            <w:pPr>
              <w:spacing w:after="0"/>
            </w:pPr>
            <w:r/>
            <w:r>
              <w:rPr>
                <w:sz w:val="15"/>
              </w:rPr>
              <w:t>source_app/source_path are free text</w:t>
            </w:r>
          </w:p>
        </w:tc>
      </w:tr>
      <w:tr>
        <w:trPr>
          <w:cantSplit/>
        </w:trPr>
        <w:tc>
          <w:tcPr>
            <w:tcW w:type="dxa" w:w="1462"/>
          </w:tcPr>
          <w:p>
            <w:pPr>
              <w:spacing w:after="0"/>
            </w:pPr>
            <w:r/>
            <w:r>
              <w:rPr>
                <w:sz w:val="15"/>
              </w:rPr>
              <w:t>activity_logs</w:t>
            </w:r>
          </w:p>
        </w:tc>
        <w:tc>
          <w:tcPr>
            <w:tcW w:type="dxa" w:w="3508"/>
          </w:tcPr>
          <w:p>
            <w:pPr>
              <w:spacing w:after="0"/>
            </w:pPr>
            <w:r/>
            <w:r>
              <w:rPr>
                <w:sz w:val="15"/>
              </w:rPr>
              <w:t>users</w:t>
            </w:r>
          </w:p>
        </w:tc>
        <w:tc>
          <w:tcPr>
            <w:tcW w:type="dxa" w:w="4678"/>
          </w:tcPr>
          <w:p>
            <w:pPr>
              <w:spacing w:after="0"/>
            </w:pPr>
            <w:r/>
            <w:r>
              <w:rPr>
                <w:sz w:val="15"/>
              </w:rPr>
              <w:t>model_type/model_id → any table (polymorphic)</w:t>
            </w:r>
          </w:p>
        </w:tc>
      </w:tr>
    </w:tbl>
    <w:p>
      <w:pPr>
        <w:spacing w:after="200"/>
      </w:pPr>
      <w:r>
        <w:rPr>
          <w:i/>
          <w:color w:val="555F6D"/>
          <w:sz w:val="17"/>
        </w:rPr>
        <w:t>Table 57. Relationship index, distinguishing declared FKs from logical links</w:t>
      </w:r>
    </w:p>
    <w:p>
      <w:bookmarkStart w:id="1225" w:name="_Toc1225"/>
      <w:pPr>
        <w:pStyle w:val="Heading1"/>
      </w:pPr>
      <w:r>
        <w:t>20. API architecture and complete endpoint reference</w:t>
      </w:r>
      <w:bookmarkEnd w:id="1225"/>
    </w:p>
    <w:p>
      <w:bookmarkStart w:id="1226" w:name="_Toc1226"/>
      <w:pPr>
        <w:pStyle w:val="Heading2"/>
      </w:pPr>
      <w:r>
        <w:t>20.1 Conventions</w:t>
      </w:r>
      <w:bookmarkEnd w:id="1226"/>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2160"/>
            <w:shd w:val="clear" w:color="auto" w:fill="1F3A5F"/>
          </w:tcPr>
          <w:p>
            <w:pPr>
              <w:spacing w:after="0"/>
            </w:pPr>
            <w:r/>
            <w:r>
              <w:rPr>
                <w:b/>
                <w:color w:val="FFFFFF"/>
                <w:sz w:val="16"/>
              </w:rPr>
              <w:t>Property</w:t>
            </w:r>
          </w:p>
        </w:tc>
        <w:tc>
          <w:tcPr>
            <w:tcW w:type="dxa" w:w="7200"/>
            <w:shd w:val="clear" w:color="auto" w:fill="1F3A5F"/>
          </w:tcPr>
          <w:p>
            <w:pPr>
              <w:spacing w:after="0"/>
            </w:pPr>
            <w:r/>
            <w:r>
              <w:rPr>
                <w:b/>
                <w:color w:val="FFFFFF"/>
                <w:sz w:val="16"/>
              </w:rPr>
              <w:t>Convention</w:t>
            </w:r>
          </w:p>
        </w:tc>
      </w:tr>
      <w:tr>
        <w:trPr>
          <w:cantSplit/>
        </w:trPr>
        <w:tc>
          <w:tcPr>
            <w:tcW w:type="dxa" w:w="2160"/>
          </w:tcPr>
          <w:p>
            <w:pPr>
              <w:spacing w:after="0"/>
            </w:pPr>
            <w:r/>
            <w:r>
              <w:rPr>
                <w:sz w:val="16"/>
              </w:rPr>
              <w:t>Base path</w:t>
            </w:r>
          </w:p>
        </w:tc>
        <w:tc>
          <w:tcPr>
            <w:tcW w:type="dxa" w:w="7200"/>
          </w:tcPr>
          <w:p>
            <w:pPr>
              <w:spacing w:after="0"/>
            </w:pPr>
            <w:r/>
            <w:r>
              <w:rPr>
                <w:sz w:val="16"/>
              </w:rPr>
              <w:t>/api/v1 (health and ready are mounted at the root)</w:t>
            </w:r>
          </w:p>
        </w:tc>
      </w:tr>
      <w:tr>
        <w:trPr>
          <w:cantSplit/>
        </w:trPr>
        <w:tc>
          <w:tcPr>
            <w:tcW w:type="dxa" w:w="2160"/>
          </w:tcPr>
          <w:p>
            <w:pPr>
              <w:spacing w:after="0"/>
            </w:pPr>
            <w:r/>
            <w:r>
              <w:rPr>
                <w:sz w:val="16"/>
              </w:rPr>
              <w:t>Success envelope</w:t>
            </w:r>
          </w:p>
        </w:tc>
        <w:tc>
          <w:tcPr>
            <w:tcW w:type="dxa" w:w="7200"/>
          </w:tcPr>
          <w:p>
            <w:pPr>
              <w:spacing w:after="0"/>
            </w:pPr>
            <w:r/>
            <w:r>
              <w:rPr>
                <w:sz w:val="16"/>
              </w:rPr>
              <w:t>{ data: …, meta: { request_id, pagination? } }</w:t>
            </w:r>
          </w:p>
        </w:tc>
      </w:tr>
      <w:tr>
        <w:trPr>
          <w:cantSplit/>
        </w:trPr>
        <w:tc>
          <w:tcPr>
            <w:tcW w:type="dxa" w:w="2160"/>
          </w:tcPr>
          <w:p>
            <w:pPr>
              <w:spacing w:after="0"/>
            </w:pPr>
            <w:r/>
            <w:r>
              <w:rPr>
                <w:sz w:val="16"/>
              </w:rPr>
              <w:t>Error envelope</w:t>
            </w:r>
          </w:p>
        </w:tc>
        <w:tc>
          <w:tcPr>
            <w:tcW w:type="dxa" w:w="7200"/>
          </w:tcPr>
          <w:p>
            <w:pPr>
              <w:spacing w:after="0"/>
            </w:pPr>
            <w:r/>
            <w:r>
              <w:rPr>
                <w:sz w:val="16"/>
              </w:rPr>
              <w:t>{ error: { code, message, details? } } — meta.request_id is also present</w:t>
            </w:r>
          </w:p>
        </w:tc>
      </w:tr>
      <w:tr>
        <w:trPr>
          <w:cantSplit/>
        </w:trPr>
        <w:tc>
          <w:tcPr>
            <w:tcW w:type="dxa" w:w="2160"/>
          </w:tcPr>
          <w:p>
            <w:pPr>
              <w:spacing w:after="0"/>
            </w:pPr>
            <w:r/>
            <w:r>
              <w:rPr>
                <w:sz w:val="16"/>
              </w:rPr>
              <w:t>Auth</w:t>
            </w:r>
          </w:p>
        </w:tc>
        <w:tc>
          <w:tcPr>
            <w:tcW w:type="dxa" w:w="7200"/>
          </w:tcPr>
          <w:p>
            <w:pPr>
              <w:spacing w:after="0"/>
            </w:pPr>
            <w:r/>
            <w:r>
              <w:rPr>
                <w:sz w:val="16"/>
              </w:rPr>
              <w:t>Authorization: Bearer &lt;opaque token&gt;; only /health, /ready, the Midtrans webhooks, GET /uploads/{key} and the auth entry points are reachable without one</w:t>
            </w:r>
          </w:p>
        </w:tc>
      </w:tr>
      <w:tr>
        <w:trPr>
          <w:cantSplit/>
        </w:trPr>
        <w:tc>
          <w:tcPr>
            <w:tcW w:type="dxa" w:w="2160"/>
          </w:tcPr>
          <w:p>
            <w:pPr>
              <w:spacing w:after="0"/>
            </w:pPr>
            <w:r/>
            <w:r>
              <w:rPr>
                <w:sz w:val="16"/>
              </w:rPr>
              <w:t>Money</w:t>
            </w:r>
          </w:p>
        </w:tc>
        <w:tc>
          <w:tcPr>
            <w:tcW w:type="dxa" w:w="7200"/>
          </w:tcPr>
          <w:p>
            <w:pPr>
              <w:spacing w:after="0"/>
            </w:pPr>
            <w:r/>
            <w:r>
              <w:rPr>
                <w:sz w:val="16"/>
              </w:rPr>
              <w:t>JSON numbers, NUMERIC(15,2) in the database, decimal in Go</w:t>
            </w:r>
          </w:p>
        </w:tc>
      </w:tr>
      <w:tr>
        <w:trPr>
          <w:cantSplit/>
        </w:trPr>
        <w:tc>
          <w:tcPr>
            <w:tcW w:type="dxa" w:w="2160"/>
          </w:tcPr>
          <w:p>
            <w:pPr>
              <w:spacing w:after="0"/>
            </w:pPr>
            <w:r/>
            <w:r>
              <w:rPr>
                <w:sz w:val="16"/>
              </w:rPr>
              <w:t>Quantities</w:t>
            </w:r>
          </w:p>
        </w:tc>
        <w:tc>
          <w:tcPr>
            <w:tcW w:type="dxa" w:w="7200"/>
          </w:tcPr>
          <w:p>
            <w:pPr>
              <w:spacing w:after="0"/>
            </w:pPr>
            <w:r/>
            <w:r>
              <w:rPr>
                <w:sz w:val="16"/>
              </w:rPr>
              <w:t>JSON numbers, up to 4 decimals</w:t>
            </w:r>
          </w:p>
        </w:tc>
      </w:tr>
      <w:tr>
        <w:trPr>
          <w:cantSplit/>
        </w:trPr>
        <w:tc>
          <w:tcPr>
            <w:tcW w:type="dxa" w:w="2160"/>
          </w:tcPr>
          <w:p>
            <w:pPr>
              <w:spacing w:after="0"/>
            </w:pPr>
            <w:r/>
            <w:r>
              <w:rPr>
                <w:sz w:val="16"/>
              </w:rPr>
              <w:t>Dates</w:t>
            </w:r>
          </w:p>
        </w:tc>
        <w:tc>
          <w:tcPr>
            <w:tcW w:type="dxa" w:w="7200"/>
          </w:tcPr>
          <w:p>
            <w:pPr>
              <w:spacing w:after="0"/>
            </w:pPr>
            <w:r/>
            <w:r>
              <w:rPr>
                <w:sz w:val="16"/>
              </w:rPr>
              <w:t>YYYY-MM-DD; datetimes ISO-8601 with offset; 'today' resolves in Asia/Jakarta</w:t>
            </w:r>
          </w:p>
        </w:tc>
      </w:tr>
      <w:tr>
        <w:trPr>
          <w:cantSplit/>
        </w:trPr>
        <w:tc>
          <w:tcPr>
            <w:tcW w:type="dxa" w:w="2160"/>
          </w:tcPr>
          <w:p>
            <w:pPr>
              <w:spacing w:after="0"/>
            </w:pPr>
            <w:r/>
            <w:r>
              <w:rPr>
                <w:sz w:val="16"/>
              </w:rPr>
              <w:t>Pagination</w:t>
            </w:r>
          </w:p>
        </w:tc>
        <w:tc>
          <w:tcPr>
            <w:tcW w:type="dxa" w:w="7200"/>
          </w:tcPr>
          <w:p>
            <w:pPr>
              <w:spacing w:after="0"/>
            </w:pPr>
            <w:r/>
            <w:r>
              <w:rPr>
                <w:sz w:val="16"/>
              </w:rPr>
              <w:t>?page= and ?per_page=; response meta.pagination {current_page, per_page, total, last_page}</w:t>
            </w:r>
          </w:p>
        </w:tc>
      </w:tr>
      <w:tr>
        <w:trPr>
          <w:cantSplit/>
        </w:trPr>
        <w:tc>
          <w:tcPr>
            <w:tcW w:type="dxa" w:w="2160"/>
          </w:tcPr>
          <w:p>
            <w:pPr>
              <w:spacing w:after="0"/>
            </w:pPr>
            <w:r/>
            <w:r>
              <w:rPr>
                <w:sz w:val="16"/>
              </w:rPr>
              <w:t>Idempotency</w:t>
            </w:r>
          </w:p>
        </w:tc>
        <w:tc>
          <w:tcPr>
            <w:tcW w:type="dxa" w:w="7200"/>
          </w:tcPr>
          <w:p>
            <w:pPr>
              <w:spacing w:after="0"/>
            </w:pPr>
            <w:r/>
            <w:r>
              <w:rPr>
                <w:sz w:val="16"/>
              </w:rPr>
              <w:t>Idempotency-Key mandatory on POST /pos, /sales-orders, /payments, /invoices, /cart/checkout and the other money endpoints; replay on identical payload, 409 on a different one</w:t>
            </w:r>
          </w:p>
        </w:tc>
      </w:tr>
      <w:tr>
        <w:trPr>
          <w:cantSplit/>
        </w:trPr>
        <w:tc>
          <w:tcPr>
            <w:tcW w:type="dxa" w:w="2160"/>
          </w:tcPr>
          <w:p>
            <w:pPr>
              <w:spacing w:after="0"/>
            </w:pPr>
            <w:r/>
            <w:r>
              <w:rPr>
                <w:sz w:val="16"/>
              </w:rPr>
              <w:t>Rate limits</w:t>
            </w:r>
          </w:p>
        </w:tc>
        <w:tc>
          <w:tcPr>
            <w:tcW w:type="dxa" w:w="7200"/>
          </w:tcPr>
          <w:p>
            <w:pPr>
              <w:spacing w:after="0"/>
            </w:pPr>
            <w:r/>
            <w:r>
              <w:rPr>
                <w:sz w:val="16"/>
              </w:rPr>
              <w:t>300/min/IP generic (fail-open), 10/min/IP on auth entry points (fail-closed), 60/min/IP on tracking</w:t>
            </w:r>
          </w:p>
        </w:tc>
      </w:tr>
      <w:tr>
        <w:trPr>
          <w:cantSplit/>
        </w:trPr>
        <w:tc>
          <w:tcPr>
            <w:tcW w:type="dxa" w:w="2160"/>
          </w:tcPr>
          <w:p>
            <w:pPr>
              <w:spacing w:after="0"/>
            </w:pPr>
            <w:r/>
            <w:r>
              <w:rPr>
                <w:sz w:val="16"/>
              </w:rPr>
              <w:t>CORS</w:t>
            </w:r>
          </w:p>
        </w:tc>
        <w:tc>
          <w:tcPr>
            <w:tcW w:type="dxa" w:w="7200"/>
          </w:tcPr>
          <w:p>
            <w:pPr>
              <w:spacing w:after="0"/>
            </w:pPr>
            <w:r/>
            <w:r>
              <w:rPr>
                <w:sz w:val="16"/>
              </w:rPr>
              <w:t>Allowlist from CORS_ORIGINS; '*' is non-credentialed</w:t>
            </w:r>
          </w:p>
        </w:tc>
      </w:tr>
    </w:tbl>
    <w:p>
      <w:pPr>
        <w:spacing w:after="200"/>
      </w:pPr>
      <w:r>
        <w:rPr>
          <w:i/>
          <w:color w:val="555F6D"/>
          <w:sz w:val="17"/>
        </w:rPr>
        <w:t>Table 58. API conventions</w:t>
      </w:r>
    </w:p>
    <w:p>
      <w:bookmarkStart w:id="1227" w:name="_Toc1227"/>
      <w:pPr>
        <w:pStyle w:val="Heading2"/>
      </w:pPr>
      <w:r>
        <w:t>20.2 Operation distribution</w:t>
      </w:r>
      <w:bookmarkEnd w:id="1227"/>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648" w:type="dxa"/>
      </w:tblPr>
      <w:tblGrid>
        <w:gridCol w:w="1608"/>
        <w:gridCol w:w="1608"/>
        <w:gridCol w:w="1608"/>
        <w:gridCol w:w="1608"/>
        <w:gridCol w:w="1608"/>
        <w:gridCol w:w="1608"/>
      </w:tblGrid>
      <w:tr>
        <w:trPr>
          <w:tblHeader w:val="true"/>
        </w:trPr>
        <w:tc>
          <w:tcPr>
            <w:tcW w:type="dxa" w:w="2174"/>
            <w:shd w:val="clear" w:color="auto" w:fill="1F3A5F"/>
          </w:tcPr>
          <w:p>
            <w:pPr>
              <w:spacing w:after="0"/>
            </w:pPr>
            <w:r/>
            <w:r>
              <w:rPr>
                <w:b/>
                <w:color w:val="FFFFFF"/>
                <w:sz w:val="15"/>
              </w:rPr>
              <w:t>Tag</w:t>
            </w:r>
          </w:p>
        </w:tc>
        <w:tc>
          <w:tcPr>
            <w:tcW w:type="dxa" w:w="951"/>
            <w:shd w:val="clear" w:color="auto" w:fill="1F3A5F"/>
          </w:tcPr>
          <w:p>
            <w:pPr>
              <w:spacing w:after="0"/>
            </w:pPr>
            <w:r/>
            <w:r>
              <w:rPr>
                <w:b/>
                <w:color w:val="FFFFFF"/>
                <w:sz w:val="15"/>
              </w:rPr>
              <w:t>Operations</w:t>
            </w:r>
          </w:p>
        </w:tc>
        <w:tc>
          <w:tcPr>
            <w:tcW w:type="dxa" w:w="2310"/>
            <w:shd w:val="clear" w:color="auto" w:fill="1F3A5F"/>
          </w:tcPr>
          <w:p>
            <w:pPr>
              <w:spacing w:after="0"/>
            </w:pPr>
            <w:r/>
            <w:r>
              <w:rPr>
                <w:b/>
                <w:color w:val="FFFFFF"/>
                <w:sz w:val="15"/>
              </w:rPr>
              <w:t>Tag</w:t>
            </w:r>
          </w:p>
        </w:tc>
        <w:tc>
          <w:tcPr>
            <w:tcW w:type="dxa" w:w="951"/>
            <w:shd w:val="clear" w:color="auto" w:fill="1F3A5F"/>
          </w:tcPr>
          <w:p>
            <w:pPr>
              <w:spacing w:after="0"/>
            </w:pPr>
            <w:r/>
            <w:r>
              <w:rPr>
                <w:b/>
                <w:color w:val="FFFFFF"/>
                <w:sz w:val="15"/>
              </w:rPr>
              <w:t>Operations</w:t>
            </w:r>
          </w:p>
        </w:tc>
        <w:tc>
          <w:tcPr>
            <w:tcW w:type="dxa" w:w="2310"/>
            <w:shd w:val="clear" w:color="auto" w:fill="1F3A5F"/>
          </w:tcPr>
          <w:p>
            <w:pPr>
              <w:spacing w:after="0"/>
            </w:pPr>
            <w:r/>
            <w:r>
              <w:rPr>
                <w:b/>
                <w:color w:val="FFFFFF"/>
                <w:sz w:val="15"/>
              </w:rPr>
              <w:t>Tag</w:t>
            </w:r>
          </w:p>
        </w:tc>
        <w:tc>
          <w:tcPr>
            <w:tcW w:type="dxa" w:w="951"/>
            <w:shd w:val="clear" w:color="auto" w:fill="1F3A5F"/>
          </w:tcPr>
          <w:p>
            <w:pPr>
              <w:spacing w:after="0"/>
            </w:pPr>
            <w:r/>
            <w:r>
              <w:rPr>
                <w:b/>
                <w:color w:val="FFFFFF"/>
                <w:sz w:val="15"/>
              </w:rPr>
              <w:t>Operations</w:t>
            </w:r>
          </w:p>
        </w:tc>
      </w:tr>
      <w:tr>
        <w:trPr>
          <w:cantSplit/>
        </w:trPr>
        <w:tc>
          <w:tcPr>
            <w:tcW w:type="dxa" w:w="2174"/>
          </w:tcPr>
          <w:p>
            <w:pPr>
              <w:spacing w:after="0"/>
            </w:pPr>
            <w:r/>
            <w:r>
              <w:rPr>
                <w:sz w:val="15"/>
              </w:rPr>
              <w:t>sales</w:t>
            </w:r>
          </w:p>
        </w:tc>
        <w:tc>
          <w:tcPr>
            <w:tcW w:type="dxa" w:w="951"/>
          </w:tcPr>
          <w:p>
            <w:pPr>
              <w:spacing w:after="0"/>
            </w:pPr>
            <w:r/>
            <w:r>
              <w:rPr>
                <w:sz w:val="15"/>
              </w:rPr>
              <w:t>38</w:t>
            </w:r>
          </w:p>
        </w:tc>
        <w:tc>
          <w:tcPr>
            <w:tcW w:type="dxa" w:w="2310"/>
          </w:tcPr>
          <w:p>
            <w:pPr>
              <w:spacing w:after="0"/>
            </w:pPr>
            <w:r/>
            <w:r>
              <w:rPr>
                <w:sz w:val="15"/>
              </w:rPr>
              <w:t>inventory</w:t>
            </w:r>
          </w:p>
        </w:tc>
        <w:tc>
          <w:tcPr>
            <w:tcW w:type="dxa" w:w="951"/>
          </w:tcPr>
          <w:p>
            <w:pPr>
              <w:spacing w:after="0"/>
            </w:pPr>
            <w:r/>
            <w:r>
              <w:rPr>
                <w:sz w:val="15"/>
              </w:rPr>
              <w:t>13</w:t>
            </w:r>
          </w:p>
        </w:tc>
        <w:tc>
          <w:tcPr>
            <w:tcW w:type="dxa" w:w="2310"/>
          </w:tcPr>
          <w:p>
            <w:pPr>
              <w:spacing w:after="0"/>
            </w:pPr>
            <w:r/>
            <w:r>
              <w:rPr>
                <w:sz w:val="15"/>
              </w:rPr>
              <w:t>account</w:t>
            </w:r>
          </w:p>
        </w:tc>
        <w:tc>
          <w:tcPr>
            <w:tcW w:type="dxa" w:w="951"/>
          </w:tcPr>
          <w:p>
            <w:pPr>
              <w:spacing w:after="0"/>
            </w:pPr>
            <w:r/>
            <w:r>
              <w:rPr>
                <w:sz w:val="15"/>
              </w:rPr>
              <w:t>4</w:t>
            </w:r>
          </w:p>
        </w:tc>
      </w:tr>
      <w:tr>
        <w:trPr>
          <w:cantSplit/>
        </w:trPr>
        <w:tc>
          <w:tcPr>
            <w:tcW w:type="dxa" w:w="2174"/>
          </w:tcPr>
          <w:p>
            <w:pPr>
              <w:spacing w:after="0"/>
            </w:pPr>
            <w:r/>
            <w:r>
              <w:rPr>
                <w:sz w:val="15"/>
              </w:rPr>
              <w:t>distribution</w:t>
            </w:r>
          </w:p>
        </w:tc>
        <w:tc>
          <w:tcPr>
            <w:tcW w:type="dxa" w:w="951"/>
          </w:tcPr>
          <w:p>
            <w:pPr>
              <w:spacing w:after="0"/>
            </w:pPr>
            <w:r/>
            <w:r>
              <w:rPr>
                <w:sz w:val="15"/>
              </w:rPr>
              <w:t>35</w:t>
            </w:r>
          </w:p>
        </w:tc>
        <w:tc>
          <w:tcPr>
            <w:tcW w:type="dxa" w:w="2310"/>
          </w:tcPr>
          <w:p>
            <w:pPr>
              <w:spacing w:after="0"/>
            </w:pPr>
            <w:r/>
            <w:r>
              <w:rPr>
                <w:sz w:val="15"/>
              </w:rPr>
              <w:t>galon</w:t>
            </w:r>
          </w:p>
        </w:tc>
        <w:tc>
          <w:tcPr>
            <w:tcW w:type="dxa" w:w="951"/>
          </w:tcPr>
          <w:p>
            <w:pPr>
              <w:spacing w:after="0"/>
            </w:pPr>
            <w:r/>
            <w:r>
              <w:rPr>
                <w:sz w:val="15"/>
              </w:rPr>
              <w:t>11</w:t>
            </w:r>
          </w:p>
        </w:tc>
        <w:tc>
          <w:tcPr>
            <w:tcW w:type="dxa" w:w="2310"/>
          </w:tcPr>
          <w:p>
            <w:pPr>
              <w:spacing w:after="0"/>
            </w:pPr>
            <w:r/>
            <w:r>
              <w:rPr>
                <w:sz w:val="15"/>
              </w:rPr>
              <w:t>roles</w:t>
            </w:r>
          </w:p>
        </w:tc>
        <w:tc>
          <w:tcPr>
            <w:tcW w:type="dxa" w:w="951"/>
          </w:tcPr>
          <w:p>
            <w:pPr>
              <w:spacing w:after="0"/>
            </w:pPr>
            <w:r/>
            <w:r>
              <w:rPr>
                <w:sz w:val="15"/>
              </w:rPr>
              <w:t>3</w:t>
            </w:r>
          </w:p>
        </w:tc>
      </w:tr>
      <w:tr>
        <w:trPr>
          <w:cantSplit/>
        </w:trPr>
        <w:tc>
          <w:tcPr>
            <w:tcW w:type="dxa" w:w="2174"/>
          </w:tcPr>
          <w:p>
            <w:pPr>
              <w:spacing w:after="0"/>
            </w:pPr>
            <w:r/>
            <w:r>
              <w:rPr>
                <w:sz w:val="15"/>
              </w:rPr>
              <w:t>reports</w:t>
            </w:r>
          </w:p>
        </w:tc>
        <w:tc>
          <w:tcPr>
            <w:tcW w:type="dxa" w:w="951"/>
          </w:tcPr>
          <w:p>
            <w:pPr>
              <w:spacing w:after="0"/>
            </w:pPr>
            <w:r/>
            <w:r>
              <w:rPr>
                <w:sz w:val="15"/>
              </w:rPr>
              <w:t>34</w:t>
            </w:r>
          </w:p>
        </w:tc>
        <w:tc>
          <w:tcPr>
            <w:tcW w:type="dxa" w:w="2310"/>
          </w:tcPr>
          <w:p>
            <w:pPr>
              <w:spacing w:after="0"/>
            </w:pPr>
            <w:r/>
            <w:r>
              <w:rPr>
                <w:sz w:val="15"/>
              </w:rPr>
              <w:t>users</w:t>
            </w:r>
          </w:p>
        </w:tc>
        <w:tc>
          <w:tcPr>
            <w:tcW w:type="dxa" w:w="951"/>
          </w:tcPr>
          <w:p>
            <w:pPr>
              <w:spacing w:after="0"/>
            </w:pPr>
            <w:r/>
            <w:r>
              <w:rPr>
                <w:sz w:val="15"/>
              </w:rPr>
              <w:t>10</w:t>
            </w:r>
          </w:p>
        </w:tc>
        <w:tc>
          <w:tcPr>
            <w:tcW w:type="dxa" w:w="2310"/>
          </w:tcPr>
          <w:p>
            <w:pPr>
              <w:spacing w:after="0"/>
            </w:pPr>
            <w:r/>
            <w:r>
              <w:rPr>
                <w:sz w:val="15"/>
              </w:rPr>
              <w:t>returns</w:t>
            </w:r>
          </w:p>
        </w:tc>
        <w:tc>
          <w:tcPr>
            <w:tcW w:type="dxa" w:w="951"/>
          </w:tcPr>
          <w:p>
            <w:pPr>
              <w:spacing w:after="0"/>
            </w:pPr>
            <w:r/>
            <w:r>
              <w:rPr>
                <w:sz w:val="15"/>
              </w:rPr>
              <w:t>3</w:t>
            </w:r>
          </w:p>
        </w:tc>
      </w:tr>
      <w:tr>
        <w:trPr>
          <w:cantSplit/>
        </w:trPr>
        <w:tc>
          <w:tcPr>
            <w:tcW w:type="dxa" w:w="2174"/>
          </w:tcPr>
          <w:p>
            <w:pPr>
              <w:spacing w:after="0"/>
            </w:pPr>
            <w:r/>
            <w:r>
              <w:rPr>
                <w:sz w:val="15"/>
              </w:rPr>
              <w:t>products</w:t>
            </w:r>
          </w:p>
        </w:tc>
        <w:tc>
          <w:tcPr>
            <w:tcW w:type="dxa" w:w="951"/>
          </w:tcPr>
          <w:p>
            <w:pPr>
              <w:spacing w:after="0"/>
            </w:pPr>
            <w:r/>
            <w:r>
              <w:rPr>
                <w:sz w:val="15"/>
              </w:rPr>
              <w:t>27</w:t>
            </w:r>
          </w:p>
        </w:tc>
        <w:tc>
          <w:tcPr>
            <w:tcW w:type="dxa" w:w="2310"/>
          </w:tcPr>
          <w:p>
            <w:pPr>
              <w:spacing w:after="0"/>
            </w:pPr>
            <w:r/>
            <w:r>
              <w:rPr>
                <w:sz w:val="15"/>
              </w:rPr>
              <w:t>cashier</w:t>
            </w:r>
          </w:p>
        </w:tc>
        <w:tc>
          <w:tcPr>
            <w:tcW w:type="dxa" w:w="951"/>
          </w:tcPr>
          <w:p>
            <w:pPr>
              <w:spacing w:after="0"/>
            </w:pPr>
            <w:r/>
            <w:r>
              <w:rPr>
                <w:sz w:val="15"/>
              </w:rPr>
              <w:t>8</w:t>
            </w:r>
          </w:p>
        </w:tc>
        <w:tc>
          <w:tcPr>
            <w:tcW w:type="dxa" w:w="2310"/>
          </w:tcPr>
          <w:p>
            <w:pPr>
              <w:spacing w:after="0"/>
            </w:pPr>
            <w:r/>
            <w:r>
              <w:rPr>
                <w:sz w:val="15"/>
              </w:rPr>
              <w:t>activitylogs</w:t>
            </w:r>
          </w:p>
        </w:tc>
        <w:tc>
          <w:tcPr>
            <w:tcW w:type="dxa" w:w="951"/>
          </w:tcPr>
          <w:p>
            <w:pPr>
              <w:spacing w:after="0"/>
            </w:pPr>
            <w:r/>
            <w:r>
              <w:rPr>
                <w:sz w:val="15"/>
              </w:rPr>
              <w:t>2</w:t>
            </w:r>
          </w:p>
        </w:tc>
      </w:tr>
      <w:tr>
        <w:trPr>
          <w:cantSplit/>
        </w:trPr>
        <w:tc>
          <w:tcPr>
            <w:tcW w:type="dxa" w:w="2174"/>
          </w:tcPr>
          <w:p>
            <w:pPr>
              <w:spacing w:after="0"/>
            </w:pPr>
            <w:r/>
            <w:r>
              <w:rPr>
                <w:sz w:val="15"/>
              </w:rPr>
              <w:t>hr</w:t>
            </w:r>
          </w:p>
        </w:tc>
        <w:tc>
          <w:tcPr>
            <w:tcW w:type="dxa" w:w="951"/>
          </w:tcPr>
          <w:p>
            <w:pPr>
              <w:spacing w:after="0"/>
            </w:pPr>
            <w:r/>
            <w:r>
              <w:rPr>
                <w:sz w:val="15"/>
              </w:rPr>
              <w:t>27</w:t>
            </w:r>
          </w:p>
        </w:tc>
        <w:tc>
          <w:tcPr>
            <w:tcW w:type="dxa" w:w="2310"/>
          </w:tcPr>
          <w:p>
            <w:pPr>
              <w:spacing w:after="0"/>
            </w:pPr>
            <w:r/>
            <w:r>
              <w:rPr>
                <w:sz w:val="15"/>
              </w:rPr>
              <w:t>customers</w:t>
            </w:r>
          </w:p>
        </w:tc>
        <w:tc>
          <w:tcPr>
            <w:tcW w:type="dxa" w:w="951"/>
          </w:tcPr>
          <w:p>
            <w:pPr>
              <w:spacing w:after="0"/>
            </w:pPr>
            <w:r/>
            <w:r>
              <w:rPr>
                <w:sz w:val="15"/>
              </w:rPr>
              <w:t>8</w:t>
            </w:r>
          </w:p>
        </w:tc>
        <w:tc>
          <w:tcPr>
            <w:tcW w:type="dxa" w:w="2310"/>
          </w:tcPr>
          <w:p>
            <w:pPr>
              <w:spacing w:after="0"/>
            </w:pPr>
            <w:r/>
            <w:r>
              <w:rPr>
                <w:sz w:val="15"/>
              </w:rPr>
              <w:t>geo</w:t>
            </w:r>
          </w:p>
        </w:tc>
        <w:tc>
          <w:tcPr>
            <w:tcW w:type="dxa" w:w="951"/>
          </w:tcPr>
          <w:p>
            <w:pPr>
              <w:spacing w:after="0"/>
            </w:pPr>
            <w:r/>
            <w:r>
              <w:rPr>
                <w:sz w:val="15"/>
              </w:rPr>
              <w:t>2</w:t>
            </w:r>
          </w:p>
        </w:tc>
      </w:tr>
      <w:tr>
        <w:trPr>
          <w:cantSplit/>
        </w:trPr>
        <w:tc>
          <w:tcPr>
            <w:tcW w:type="dxa" w:w="2174"/>
          </w:tcPr>
          <w:p>
            <w:pPr>
              <w:spacing w:after="0"/>
            </w:pPr>
            <w:r/>
            <w:r>
              <w:rPr>
                <w:sz w:val="15"/>
              </w:rPr>
              <w:t>accounting</w:t>
            </w:r>
          </w:p>
        </w:tc>
        <w:tc>
          <w:tcPr>
            <w:tcW w:type="dxa" w:w="951"/>
          </w:tcPr>
          <w:p>
            <w:pPr>
              <w:spacing w:after="0"/>
            </w:pPr>
            <w:r/>
            <w:r>
              <w:rPr>
                <w:sz w:val="15"/>
              </w:rPr>
              <w:t>21</w:t>
            </w:r>
          </w:p>
        </w:tc>
        <w:tc>
          <w:tcPr>
            <w:tcW w:type="dxa" w:w="2310"/>
          </w:tcPr>
          <w:p>
            <w:pPr>
              <w:spacing w:after="0"/>
            </w:pPr>
            <w:r/>
            <w:r>
              <w:rPr>
                <w:sz w:val="15"/>
              </w:rPr>
              <w:t>stores</w:t>
            </w:r>
          </w:p>
        </w:tc>
        <w:tc>
          <w:tcPr>
            <w:tcW w:type="dxa" w:w="951"/>
          </w:tcPr>
          <w:p>
            <w:pPr>
              <w:spacing w:after="0"/>
            </w:pPr>
            <w:r/>
            <w:r>
              <w:rPr>
                <w:sz w:val="15"/>
              </w:rPr>
              <w:t>8</w:t>
            </w:r>
          </w:p>
        </w:tc>
        <w:tc>
          <w:tcPr>
            <w:tcW w:type="dxa" w:w="2310"/>
          </w:tcPr>
          <w:p>
            <w:pPr>
              <w:spacing w:after="0"/>
            </w:pPr>
            <w:r/>
            <w:r>
              <w:rPr>
                <w:sz w:val="15"/>
              </w:rPr>
              <w:t>settings</w:t>
            </w:r>
          </w:p>
        </w:tc>
        <w:tc>
          <w:tcPr>
            <w:tcW w:type="dxa" w:w="951"/>
          </w:tcPr>
          <w:p>
            <w:pPr>
              <w:spacing w:after="0"/>
            </w:pPr>
            <w:r/>
            <w:r>
              <w:rPr>
                <w:sz w:val="15"/>
              </w:rPr>
              <w:t>2</w:t>
            </w:r>
          </w:p>
        </w:tc>
      </w:tr>
      <w:tr>
        <w:trPr>
          <w:cantSplit/>
        </w:trPr>
        <w:tc>
          <w:tcPr>
            <w:tcW w:type="dxa" w:w="2174"/>
          </w:tcPr>
          <w:p>
            <w:pPr>
              <w:spacing w:after="0"/>
            </w:pPr>
            <w:r/>
            <w:r>
              <w:rPr>
                <w:sz w:val="15"/>
              </w:rPr>
              <w:t>purchasing</w:t>
            </w:r>
          </w:p>
        </w:tc>
        <w:tc>
          <w:tcPr>
            <w:tcW w:type="dxa" w:w="951"/>
          </w:tcPr>
          <w:p>
            <w:pPr>
              <w:spacing w:after="0"/>
            </w:pPr>
            <w:r/>
            <w:r>
              <w:rPr>
                <w:sz w:val="15"/>
              </w:rPr>
              <w:t>20</w:t>
            </w:r>
          </w:p>
        </w:tc>
        <w:tc>
          <w:tcPr>
            <w:tcW w:type="dxa" w:w="2310"/>
          </w:tcPr>
          <w:p>
            <w:pPr>
              <w:spacing w:after="0"/>
            </w:pPr>
            <w:r/>
            <w:r>
              <w:rPr>
                <w:sz w:val="15"/>
              </w:rPr>
              <w:t>auth</w:t>
            </w:r>
          </w:p>
        </w:tc>
        <w:tc>
          <w:tcPr>
            <w:tcW w:type="dxa" w:w="951"/>
          </w:tcPr>
          <w:p>
            <w:pPr>
              <w:spacing w:after="0"/>
            </w:pPr>
            <w:r/>
            <w:r>
              <w:rPr>
                <w:sz w:val="15"/>
              </w:rPr>
              <w:t>7</w:t>
            </w:r>
          </w:p>
        </w:tc>
        <w:tc>
          <w:tcPr>
            <w:tcW w:type="dxa" w:w="2310"/>
          </w:tcPr>
          <w:p>
            <w:pPr>
              <w:spacing w:after="0"/>
            </w:pPr>
            <w:r/>
            <w:r>
              <w:rPr>
                <w:sz w:val="15"/>
              </w:rPr>
              <w:t>uploads</w:t>
            </w:r>
          </w:p>
        </w:tc>
        <w:tc>
          <w:tcPr>
            <w:tcW w:type="dxa" w:w="951"/>
          </w:tcPr>
          <w:p>
            <w:pPr>
              <w:spacing w:after="0"/>
            </w:pPr>
            <w:r/>
            <w:r>
              <w:rPr>
                <w:sz w:val="15"/>
              </w:rPr>
              <w:t>2</w:t>
            </w:r>
          </w:p>
        </w:tc>
      </w:tr>
      <w:tr>
        <w:trPr>
          <w:cantSplit/>
        </w:trPr>
        <w:tc>
          <w:tcPr>
            <w:tcW w:type="dxa" w:w="2174"/>
          </w:tcPr>
          <w:p>
            <w:pPr>
              <w:spacing w:after="0"/>
            </w:pPr>
            <w:r/>
            <w:r>
              <w:rPr>
                <w:sz w:val="15"/>
              </w:rPr>
              <w:t>cashflows</w:t>
            </w:r>
          </w:p>
        </w:tc>
        <w:tc>
          <w:tcPr>
            <w:tcW w:type="dxa" w:w="951"/>
          </w:tcPr>
          <w:p>
            <w:pPr>
              <w:spacing w:after="0"/>
            </w:pPr>
            <w:r/>
            <w:r>
              <w:rPr>
                <w:sz w:val="15"/>
              </w:rPr>
              <w:t>16</w:t>
            </w:r>
          </w:p>
        </w:tc>
        <w:tc>
          <w:tcPr>
            <w:tcW w:type="dxa" w:w="2310"/>
          </w:tcPr>
          <w:p>
            <w:pPr>
              <w:spacing w:after="0"/>
            </w:pPr>
            <w:r/>
            <w:r>
              <w:rPr>
                <w:sz w:val="15"/>
              </w:rPr>
              <w:t>cart</w:t>
            </w:r>
          </w:p>
        </w:tc>
        <w:tc>
          <w:tcPr>
            <w:tcW w:type="dxa" w:w="951"/>
          </w:tcPr>
          <w:p>
            <w:pPr>
              <w:spacing w:after="0"/>
            </w:pPr>
            <w:r/>
            <w:r>
              <w:rPr>
                <w:sz w:val="15"/>
              </w:rPr>
              <w:t>6</w:t>
            </w:r>
          </w:p>
        </w:tc>
        <w:tc>
          <w:tcPr>
            <w:tcW w:type="dxa" w:w="2310"/>
          </w:tcPr>
          <w:p>
            <w:pPr>
              <w:spacing w:after="0"/>
            </w:pPr>
            <w:r/>
            <w:r>
              <w:rPr>
                <w:sz w:val="15"/>
              </w:rPr>
              <w:t>health</w:t>
            </w:r>
          </w:p>
        </w:tc>
        <w:tc>
          <w:tcPr>
            <w:tcW w:type="dxa" w:w="951"/>
          </w:tcPr>
          <w:p>
            <w:pPr>
              <w:spacing w:after="0"/>
            </w:pPr>
            <w:r/>
            <w:r>
              <w:rPr>
                <w:sz w:val="15"/>
              </w:rPr>
              <w:t>2</w:t>
            </w:r>
          </w:p>
        </w:tc>
      </w:tr>
      <w:tr>
        <w:trPr>
          <w:cantSplit/>
        </w:trPr>
        <w:tc>
          <w:tcPr>
            <w:tcW w:type="dxa" w:w="2174"/>
          </w:tcPr>
          <w:p>
            <w:pPr>
              <w:spacing w:after="0"/>
            </w:pPr>
            <w:r/>
            <w:r>
              <w:rPr>
                <w:sz w:val="15"/>
              </w:rPr>
              <w:t>memberships</w:t>
            </w:r>
          </w:p>
        </w:tc>
        <w:tc>
          <w:tcPr>
            <w:tcW w:type="dxa" w:w="951"/>
          </w:tcPr>
          <w:p>
            <w:pPr>
              <w:spacing w:after="0"/>
            </w:pPr>
            <w:r/>
            <w:r>
              <w:rPr>
                <w:sz w:val="15"/>
              </w:rPr>
              <w:t>16</w:t>
            </w:r>
          </w:p>
        </w:tc>
        <w:tc>
          <w:tcPr>
            <w:tcW w:type="dxa" w:w="2310"/>
          </w:tcPr>
          <w:p>
            <w:pPr>
              <w:spacing w:after="0"/>
            </w:pPr>
            <w:r/>
            <w:r>
              <w:rPr>
                <w:sz w:val="15"/>
              </w:rPr>
              <w:t>warehouses</w:t>
            </w:r>
          </w:p>
        </w:tc>
        <w:tc>
          <w:tcPr>
            <w:tcW w:type="dxa" w:w="951"/>
          </w:tcPr>
          <w:p>
            <w:pPr>
              <w:spacing w:after="0"/>
            </w:pPr>
            <w:r/>
            <w:r>
              <w:rPr>
                <w:sz w:val="15"/>
              </w:rPr>
              <w:t>6</w:t>
            </w:r>
          </w:p>
        </w:tc>
        <w:tc>
          <w:tcPr>
            <w:tcW w:type="dxa" w:w="2310"/>
          </w:tcPr>
          <w:p>
            <w:pPr>
              <w:spacing w:after="0"/>
            </w:pPr>
            <w:r/>
            <w:r>
              <w:rPr>
                <w:sz w:val="15"/>
              </w:rPr>
              <w:t>system</w:t>
            </w:r>
          </w:p>
        </w:tc>
        <w:tc>
          <w:tcPr>
            <w:tcW w:type="dxa" w:w="951"/>
          </w:tcPr>
          <w:p>
            <w:pPr>
              <w:spacing w:after="0"/>
            </w:pPr>
            <w:r/>
            <w:r>
              <w:rPr>
                <w:sz w:val="15"/>
              </w:rPr>
              <w:t>1</w:t>
            </w:r>
          </w:p>
        </w:tc>
      </w:tr>
      <w:tr>
        <w:trPr>
          <w:cantSplit/>
        </w:trPr>
        <w:tc>
          <w:tcPr>
            <w:tcW w:type="dxa" w:w="2174"/>
          </w:tcPr>
          <w:p>
            <w:pPr>
              <w:spacing w:after="0"/>
            </w:pPr>
            <w:r/>
            <w:r>
              <w:rPr>
                <w:sz w:val="15"/>
              </w:rPr>
              <w:t>salestracking</w:t>
            </w:r>
          </w:p>
        </w:tc>
        <w:tc>
          <w:tcPr>
            <w:tcW w:type="dxa" w:w="951"/>
          </w:tcPr>
          <w:p>
            <w:pPr>
              <w:spacing w:after="0"/>
            </w:pPr>
            <w:r/>
            <w:r>
              <w:rPr>
                <w:sz w:val="15"/>
              </w:rPr>
              <w:t>16</w:t>
            </w:r>
          </w:p>
        </w:tc>
        <w:tc>
          <w:tcPr>
            <w:tcW w:type="dxa" w:w="2310"/>
          </w:tcPr>
          <w:p>
            <w:pPr>
              <w:spacing w:after="0"/>
            </w:pPr>
            <w:r/>
            <w:r>
              <w:rPr>
                <w:sz w:val="15"/>
              </w:rPr>
              <w:t>suppliers</w:t>
            </w:r>
          </w:p>
        </w:tc>
        <w:tc>
          <w:tcPr>
            <w:tcW w:type="dxa" w:w="951"/>
          </w:tcPr>
          <w:p>
            <w:pPr>
              <w:spacing w:after="0"/>
            </w:pPr>
            <w:r/>
            <w:r>
              <w:rPr>
                <w:sz w:val="15"/>
              </w:rPr>
              <w:t>5</w:t>
            </w:r>
          </w:p>
        </w:tc>
        <w:tc>
          <w:tcPr>
            <w:tcW w:type="dxa" w:w="2310"/>
          </w:tcPr>
          <w:p>
            <w:pPr>
              <w:spacing w:after="0"/>
            </w:pPr>
            <w:r/>
            <w:r>
              <w:rPr>
                <w:sz w:val="15"/>
              </w:rPr>
            </w:r>
          </w:p>
        </w:tc>
        <w:tc>
          <w:tcPr>
            <w:tcW w:type="dxa" w:w="951"/>
          </w:tcPr>
          <w:p>
            <w:pPr>
              <w:spacing w:after="0"/>
            </w:pPr>
            <w:r/>
            <w:r>
              <w:rPr>
                <w:sz w:val="15"/>
              </w:rPr>
            </w:r>
          </w:p>
        </w:tc>
      </w:tr>
      <w:tr>
        <w:trPr>
          <w:cantSplit/>
        </w:trPr>
        <w:tc>
          <w:tcPr>
            <w:tcW w:type="dxa" w:w="2174"/>
          </w:tcPr>
          <w:p>
            <w:pPr>
              <w:spacing w:after="0"/>
            </w:pPr>
            <w:r/>
            <w:r>
              <w:rPr>
                <w:sz w:val="15"/>
              </w:rPr>
              <w:t>invoices</w:t>
            </w:r>
          </w:p>
        </w:tc>
        <w:tc>
          <w:tcPr>
            <w:tcW w:type="dxa" w:w="951"/>
          </w:tcPr>
          <w:p>
            <w:pPr>
              <w:spacing w:after="0"/>
            </w:pPr>
            <w:r/>
            <w:r>
              <w:rPr>
                <w:sz w:val="15"/>
              </w:rPr>
              <w:t>15</w:t>
            </w:r>
          </w:p>
        </w:tc>
        <w:tc>
          <w:tcPr>
            <w:tcW w:type="dxa" w:w="2310"/>
          </w:tcPr>
          <w:p>
            <w:pPr>
              <w:spacing w:after="0"/>
            </w:pPr>
            <w:r/>
            <w:r>
              <w:rPr>
                <w:sz w:val="15"/>
              </w:rPr>
              <w:t>tickets</w:t>
            </w:r>
          </w:p>
        </w:tc>
        <w:tc>
          <w:tcPr>
            <w:tcW w:type="dxa" w:w="951"/>
          </w:tcPr>
          <w:p>
            <w:pPr>
              <w:spacing w:after="0"/>
            </w:pPr>
            <w:r/>
            <w:r>
              <w:rPr>
                <w:sz w:val="15"/>
              </w:rPr>
              <w:t>5</w:t>
            </w:r>
          </w:p>
        </w:tc>
        <w:tc>
          <w:tcPr>
            <w:tcW w:type="dxa" w:w="2310"/>
          </w:tcPr>
          <w:p>
            <w:pPr>
              <w:spacing w:after="0"/>
            </w:pPr>
            <w:r/>
            <w:r>
              <w:rPr>
                <w:sz w:val="15"/>
              </w:rPr>
            </w:r>
          </w:p>
        </w:tc>
        <w:tc>
          <w:tcPr>
            <w:tcW w:type="dxa" w:w="951"/>
          </w:tcPr>
          <w:p>
            <w:pPr>
              <w:spacing w:after="0"/>
            </w:pPr>
            <w:r/>
            <w:r>
              <w:rPr>
                <w:sz w:val="15"/>
              </w:rPr>
            </w:r>
          </w:p>
        </w:tc>
      </w:tr>
    </w:tbl>
    <w:p>
      <w:pPr>
        <w:spacing w:after="200"/>
      </w:pPr>
      <w:r>
        <w:rPr>
          <w:i/>
          <w:color w:val="555F6D"/>
          <w:sz w:val="17"/>
        </w:rPr>
        <w:t>Table 59. 373 operations by OpenAPI tag</w:t>
      </w:r>
    </w:p>
    <w:p>
      <w:bookmarkStart w:id="1228" w:name="_Toc1228"/>
      <w:pPr>
        <w:pStyle w:val="Heading2"/>
      </w:pPr>
      <w:r>
        <w:t>20.3 Request/response example</w:t>
      </w:r>
      <w:bookmarkEnd w:id="1228"/>
    </w:p>
    <w:p>
      <w:pPr>
        <w:spacing w:after="0" w:before="0"/>
        <w:ind w:left="216"/>
      </w:pPr>
      <w:r>
        <w:rPr>
          <w:rFonts w:ascii="Consolas" w:hAnsi="Consolas"/>
          <w:color w:val="1A1A1A"/>
          <w:sz w:val="16"/>
        </w:rPr>
        <w:t>GET /api/v1/products?per_page=2</w:t>
      </w:r>
    </w:p>
    <w:p>
      <w:pPr>
        <w:spacing w:after="0" w:before="0"/>
        <w:ind w:left="216"/>
      </w:pPr>
      <w:r>
        <w:rPr>
          <w:rFonts w:ascii="Consolas" w:hAnsi="Consolas"/>
          <w:color w:val="1A1A1A"/>
          <w:sz w:val="16"/>
        </w:rPr>
        <w:t>(no Authorization header — catalogue reads are public)</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200 OK</w:t>
      </w:r>
    </w:p>
    <w:p>
      <w:pPr>
        <w:spacing w:after="0" w:before="0"/>
        <w:ind w:left="216"/>
      </w:pPr>
      <w:r>
        <w:rPr>
          <w:rFonts w:ascii="Consolas" w:hAnsi="Consolas"/>
          <w:color w:val="1A1A1A"/>
          <w:sz w:val="16"/>
        </w:rPr>
        <w:t>{</w:t>
      </w:r>
    </w:p>
    <w:p>
      <w:pPr>
        <w:spacing w:after="0" w:before="0"/>
        <w:ind w:left="216"/>
      </w:pPr>
      <w:r>
        <w:rPr>
          <w:rFonts w:ascii="Consolas" w:hAnsi="Consolas"/>
          <w:color w:val="1A1A1A"/>
          <w:sz w:val="16"/>
        </w:rPr>
        <w:t xml:space="preserve">  "data": [{</w:t>
      </w:r>
    </w:p>
    <w:p>
      <w:pPr>
        <w:spacing w:after="0" w:before="0"/>
        <w:ind w:left="216"/>
      </w:pPr>
      <w:r>
        <w:rPr>
          <w:rFonts w:ascii="Consolas" w:hAnsi="Consolas"/>
          <w:color w:val="1A1A1A"/>
          <w:sz w:val="16"/>
        </w:rPr>
        <w:t xml:space="preserve">    "id": 1, "code": "SKU-2006", "name": "Galon Indodes",</w:t>
      </w:r>
    </w:p>
    <w:p>
      <w:pPr>
        <w:spacing w:after="0" w:before="0"/>
        <w:ind w:left="216"/>
      </w:pPr>
      <w:r>
        <w:rPr>
          <w:rFonts w:ascii="Consolas" w:hAnsi="Consolas"/>
          <w:color w:val="1A1A1A"/>
          <w:sz w:val="16"/>
        </w:rPr>
        <w:t xml:space="preserve">    "category_id": 41, "unit_id": 44,</w:t>
      </w:r>
    </w:p>
    <w:p>
      <w:pPr>
        <w:spacing w:after="0" w:before="0"/>
        <w:ind w:left="216"/>
      </w:pPr>
      <w:r>
        <w:rPr>
          <w:rFonts w:ascii="Consolas" w:hAnsi="Consolas"/>
          <w:color w:val="1A1A1A"/>
          <w:sz w:val="16"/>
        </w:rPr>
        <w:t xml:space="preserve">    "category": { "id": 41, "name": "Depot Galon", "is_active": false },</w:t>
      </w:r>
    </w:p>
    <w:p>
      <w:pPr>
        <w:spacing w:after="0" w:before="0"/>
        <w:ind w:left="216"/>
      </w:pPr>
      <w:r>
        <w:rPr>
          <w:rFonts w:ascii="Consolas" w:hAnsi="Consolas"/>
          <w:color w:val="1A1A1A"/>
          <w:sz w:val="16"/>
        </w:rPr>
        <w:t xml:space="preserve">    "unit": { "id": 44, "name": "GALON", "symbol": "galon" },</w:t>
      </w:r>
    </w:p>
    <w:p>
      <w:pPr>
        <w:spacing w:after="0" w:before="0"/>
        <w:ind w:left="216"/>
      </w:pPr>
      <w:r>
        <w:rPr>
          <w:rFonts w:ascii="Consolas" w:hAnsi="Consolas"/>
          <w:color w:val="1A1A1A"/>
          <w:sz w:val="16"/>
        </w:rPr>
        <w:t xml:space="preserve">    "selling_price": "8000", "min_stock": "50", "total_stock": "48",</w:t>
      </w:r>
    </w:p>
    <w:p>
      <w:pPr>
        <w:spacing w:after="0" w:before="0"/>
        <w:ind w:left="216"/>
      </w:pPr>
      <w:r>
        <w:rPr>
          <w:rFonts w:ascii="Consolas" w:hAnsi="Consolas"/>
          <w:color w:val="1A1A1A"/>
          <w:sz w:val="16"/>
        </w:rPr>
        <w:t xml:space="preserve">    "is_active": true, "is_featured": false,</w:t>
      </w:r>
    </w:p>
    <w:p>
      <w:pPr>
        <w:spacing w:after="0" w:before="0"/>
        <w:ind w:left="216"/>
      </w:pPr>
      <w:r>
        <w:rPr>
          <w:rFonts w:ascii="Consolas" w:hAnsi="Consolas"/>
          <w:color w:val="1A1A1A"/>
          <w:sz w:val="16"/>
        </w:rPr>
        <w:t xml:space="preserve">    "image": "...", "image_url": "..."</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 xml:space="preserve">  "meta": { "pagination": { "current_page": 1, "per_page": 2, ... },</w:t>
      </w:r>
    </w:p>
    <w:p>
      <w:pPr>
        <w:spacing w:after="0" w:before="0"/>
        <w:ind w:left="216"/>
      </w:pPr>
      <w:r>
        <w:rPr>
          <w:rFonts w:ascii="Consolas" w:hAnsi="Consolas"/>
          <w:color w:val="1A1A1A"/>
          <w:sz w:val="16"/>
        </w:rPr>
        <w:t xml:space="preserve">            "request_id": "732cd755c22220d180ab0008bcd591c4" }</w:t>
      </w:r>
    </w:p>
    <w:p>
      <w:pPr>
        <w:spacing w:after="0" w:before="0"/>
        <w:ind w:left="216"/>
      </w:pPr>
      <w:r>
        <w:rPr>
          <w:rFonts w:ascii="Consolas" w:hAnsi="Consolas"/>
          <w:color w:val="1A1A1A"/>
          <w:sz w:val="16"/>
        </w:rPr>
        <w:t>}</w:t>
      </w:r>
    </w:p>
    <w:p>
      <w:pPr>
        <w:spacing w:after="200"/>
      </w:pPr>
      <w:r>
        <w:rPr>
          <w:i/>
          <w:color w:val="555F6D"/>
          <w:sz w:val="17"/>
        </w:rPr>
        <w:t>Table 60. Public catalogue read, actual response from the audit run (purchase_price is absent — it requires inventory.cost.view)</w:t>
      </w:r>
    </w:p>
    <w:p>
      <w:pPr>
        <w:spacing w:after="160"/>
        <w:ind w:left="216"/>
        <w:pBdr>
          <w:left w:val="single" w:sz="18" w:space="6" w:color="1E6B3A"/>
        </w:pBdr>
      </w:pPr>
      <w:r>
        <w:rPr>
          <w:b/>
          <w:color w:val="1E6B3A"/>
          <w:sz w:val="19"/>
        </w:rPr>
        <w:t xml:space="preserve">Cost visibility: </w:t>
      </w:r>
      <w:r>
        <w:rPr>
          <w:sz w:val="19"/>
        </w:rPr>
        <w:t>purchase_price is omitted from the product payload unless the caller holds inventory.cost.view. Verified by internal/catalog/cost_view_test.go and by the runtime response above, which has no purchase_price key.</w:t>
      </w:r>
    </w:p>
    <w:p>
      <w:bookmarkStart w:id="1229" w:name="_Toc1229"/>
      <w:pPr>
        <w:pStyle w:val="Heading2"/>
      </w:pPr>
      <w:r>
        <w:t>20.4 Complete endpoint reference</w:t>
      </w:r>
      <w:bookmarkEnd w:id="1229"/>
    </w:p>
    <w:p>
      <w:r>
        <w:rPr>
          <w:i w:val="0"/>
        </w:rPr>
        <w:t>All 373 method-routed operations, grouped by tag, in landscape. Two further routes are served but not listed here because they are mounted with HandleFunc and are therefore absent from the OpenAPI document: /api/v1/reports/render (accepts GET and a POST body) and /api/v1/reports/preview (finding F-24). The permission column shows the gate applied by the router; 'none (auth only)' means the route requires a session but no specific key, and 'conditional' marks the two routes whose gate is a role carve-out closure (buyer self-confirm, cashier QRIS cancel).</w:t>
      </w:r>
    </w:p>
    <w:p>
      <w:pPr>
        <w:sectPr>
          <w:pgSz w:w="12240" w:h="15840"/>
          <w:pgMar w:top="1224" w:right="1296" w:bottom="1152" w:left="1296" w:header="720" w:footer="720" w:gutter="0"/>
          <w:cols w:space="720"/>
          <w:docGrid w:linePitch="360"/>
        </w:sectPr>
      </w:pPr>
    </w:p>
    <w:p>
      <w:bookmarkStart w:id="1230" w:name="_Toc1230"/>
      <w:pPr>
        <w:pStyle w:val="Heading3"/>
      </w:pPr>
      <w:r>
        <w:t>account — 4 operations</w:t>
      </w:r>
      <w:bookmarkEnd w:id="1230"/>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/api/v1/account/addresses</w:t>
            </w:r>
          </w:p>
        </w:tc>
        <w:tc>
          <w:tcPr>
            <w:tcW w:type="dxa" w:w="4561"/>
          </w:tcPr>
          <w:p>
            <w:pPr>
              <w:spacing w:after="0"/>
            </w:pPr>
            <w:r/>
            <w:r>
              <w:rPr>
                <w:sz w:val="13"/>
              </w:rPr>
              <w:t>List the authenticated buyer's saved addresses</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/api/v1/account/addresses</w:t>
            </w:r>
          </w:p>
        </w:tc>
        <w:tc>
          <w:tcPr>
            <w:tcW w:type="dxa" w:w="4561"/>
          </w:tcPr>
          <w:p>
            <w:pPr>
              <w:spacing w:after="0"/>
            </w:pPr>
            <w:r/>
            <w:r>
              <w:rPr>
                <w:sz w:val="13"/>
              </w:rPr>
              <w:t>Create a saved address for the authenticated buyer</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DELETE</w:t>
            </w:r>
          </w:p>
        </w:tc>
        <w:tc>
          <w:tcPr>
            <w:tcW w:type="dxa" w:w="4276"/>
          </w:tcPr>
          <w:p>
            <w:pPr>
              <w:spacing w:after="0"/>
            </w:pPr>
            <w:r/>
            <w:r>
              <w:rPr>
                <w:sz w:val="13"/>
              </w:rPr>
              <w:t>/api/v1/account/addresses/{id}</w:t>
            </w:r>
          </w:p>
        </w:tc>
        <w:tc>
          <w:tcPr>
            <w:tcW w:type="dxa" w:w="4561"/>
          </w:tcPr>
          <w:p>
            <w:pPr>
              <w:spacing w:after="0"/>
            </w:pPr>
            <w:r/>
            <w:r>
              <w:rPr>
                <w:sz w:val="13"/>
              </w:rPr>
              <w:t>Delete a saved address owned by the authenticated buyer</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PUT</w:t>
            </w:r>
          </w:p>
        </w:tc>
        <w:tc>
          <w:tcPr>
            <w:tcW w:type="dxa" w:w="4276"/>
          </w:tcPr>
          <w:p>
            <w:pPr>
              <w:spacing w:after="0"/>
            </w:pPr>
            <w:r/>
            <w:r>
              <w:rPr>
                <w:sz w:val="13"/>
              </w:rPr>
              <w:t>/api/v1/account/addresses/{id}</w:t>
            </w:r>
          </w:p>
        </w:tc>
        <w:tc>
          <w:tcPr>
            <w:tcW w:type="dxa" w:w="4561"/>
          </w:tcPr>
          <w:p>
            <w:pPr>
              <w:spacing w:after="0"/>
            </w:pPr>
            <w:r/>
            <w:r>
              <w:rPr>
                <w:sz w:val="13"/>
              </w:rPr>
              <w:t>Replace a saved address owned by the authenticated buyer</w:t>
            </w:r>
          </w:p>
        </w:tc>
        <w:tc>
          <w:tcPr>
            <w:tcW w:type="dxa" w:w="855"/>
          </w:tcPr>
          <w:p>
            <w:pPr>
              <w:spacing w:after="0"/>
            </w:pPr>
            <w:r/>
            <w:r>
              <w:rPr>
                <w:sz w:val="13"/>
              </w:rPr>
              <w:t>bearer</w:t>
            </w:r>
          </w:p>
        </w:tc>
        <w:tc>
          <w:tcPr>
            <w:tcW w:type="dxa" w:w="3492"/>
          </w:tcPr>
          <w:p>
            <w:pPr>
              <w:spacing w:after="0"/>
            </w:pPr>
            <w:r/>
            <w:r>
              <w:rPr>
                <w:sz w:val="13"/>
              </w:rPr>
              <w:t>none (auth only)</w:t>
            </w:r>
          </w:p>
        </w:tc>
      </w:tr>
    </w:tbl>
    <w:p>
      <w:bookmarkStart w:id="1231" w:name="_Toc1231"/>
      <w:pPr>
        <w:pStyle w:val="Heading3"/>
      </w:pPr>
      <w:r>
        <w:t>accounting — 21 operations</w:t>
      </w:r>
      <w:bookmarkEnd w:id="1231"/>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/api/v1/accounting/accounts</w:t>
            </w:r>
          </w:p>
        </w:tc>
        <w:tc>
          <w:tcPr>
            <w:tcW w:type="dxa" w:w="4561"/>
          </w:tcPr>
          <w:p>
            <w:pPr>
              <w:spacing w:after="0"/>
            </w:pPr>
            <w:r/>
            <w:r>
              <w:rPr>
                <w:sz w:val="13"/>
              </w:rPr>
              <w:t>List chart-of-accounts</w:t>
            </w:r>
          </w:p>
        </w:tc>
        <w:tc>
          <w:tcPr>
            <w:tcW w:type="dxa" w:w="855"/>
          </w:tcPr>
          <w:p>
            <w:pPr>
              <w:spacing w:after="0"/>
            </w:pPr>
            <w:r/>
            <w:r>
              <w:rPr>
                <w:sz w:val="13"/>
              </w:rPr>
              <w:t>bearer</w:t>
            </w:r>
          </w:p>
        </w:tc>
        <w:tc>
          <w:tcPr>
            <w:tcW w:type="dxa" w:w="3492"/>
          </w:tcPr>
          <w:p>
            <w:pPr>
              <w:spacing w:after="0"/>
            </w:pPr>
            <w:r/>
            <w:r>
              <w:rPr>
                <w:sz w:val="13"/>
              </w:rPr>
              <w:t>accounting.accounts.view</w:t>
            </w:r>
          </w:p>
        </w:tc>
      </w:tr>
      <w:tr>
        <w:trPr>
          <w:cantSplit/>
        </w:trPr>
        <w:tc>
          <w:tcPr>
            <w:tcW w:type="dxa" w:w="927"/>
          </w:tcPr>
          <w:p>
            <w:pPr>
              <w:spacing w:after="0"/>
            </w:pPr>
            <w:r/>
            <w:r>
              <w:rPr>
                <w:sz w:val="13"/>
              </w:rPr>
              <w:t>POST</w:t>
            </w:r>
          </w:p>
        </w:tc>
        <w:tc>
          <w:tcPr>
            <w:tcW w:type="dxa" w:w="4276"/>
          </w:tcPr>
          <w:p>
            <w:pPr>
              <w:spacing w:after="0"/>
            </w:pPr>
            <w:r/>
            <w:r>
              <w:rPr>
                <w:sz w:val="13"/>
              </w:rPr>
              <w:t>/api/v1/accounting/accounts</w:t>
            </w:r>
          </w:p>
        </w:tc>
        <w:tc>
          <w:tcPr>
            <w:tcW w:type="dxa" w:w="4561"/>
          </w:tcPr>
          <w:p>
            <w:pPr>
              <w:spacing w:after="0"/>
            </w:pPr>
            <w:r/>
            <w:r>
              <w:rPr>
                <w:sz w:val="13"/>
              </w:rPr>
              <w:t>Create a COA account</w:t>
            </w:r>
          </w:p>
        </w:tc>
        <w:tc>
          <w:tcPr>
            <w:tcW w:type="dxa" w:w="855"/>
          </w:tcPr>
          <w:p>
            <w:pPr>
              <w:spacing w:after="0"/>
            </w:pPr>
            <w:r/>
            <w:r>
              <w:rPr>
                <w:sz w:val="13"/>
              </w:rPr>
              <w:t>bearer</w:t>
            </w:r>
          </w:p>
        </w:tc>
        <w:tc>
          <w:tcPr>
            <w:tcW w:type="dxa" w:w="3492"/>
          </w:tcPr>
          <w:p>
            <w:pPr>
              <w:spacing w:after="0"/>
            </w:pPr>
            <w:r/>
            <w:r>
              <w:rPr>
                <w:sz w:val="13"/>
              </w:rPr>
              <w:t>accounting.accounts.create</w:t>
            </w:r>
          </w:p>
        </w:tc>
      </w:tr>
      <w:tr>
        <w:trPr>
          <w:cantSplit/>
        </w:trPr>
        <w:tc>
          <w:tcPr>
            <w:tcW w:type="dxa" w:w="927"/>
          </w:tcPr>
          <w:p>
            <w:pPr>
              <w:spacing w:after="0"/>
            </w:pPr>
            <w:r/>
            <w:r>
              <w:rPr>
                <w:sz w:val="13"/>
              </w:rPr>
              <w:t>PUT</w:t>
            </w:r>
          </w:p>
        </w:tc>
        <w:tc>
          <w:tcPr>
            <w:tcW w:type="dxa" w:w="4276"/>
          </w:tcPr>
          <w:p>
            <w:pPr>
              <w:spacing w:after="0"/>
            </w:pPr>
            <w:r/>
            <w:r>
              <w:rPr>
                <w:sz w:val="13"/>
              </w:rPr>
              <w:t>/api/v1/accounting/accounts/{id}</w:t>
            </w:r>
          </w:p>
        </w:tc>
        <w:tc>
          <w:tcPr>
            <w:tcW w:type="dxa" w:w="4561"/>
          </w:tcPr>
          <w:p>
            <w:pPr>
              <w:spacing w:after="0"/>
            </w:pPr>
            <w:r/>
            <w:r>
              <w:rPr>
                <w:sz w:val="13"/>
              </w:rPr>
              <w:t>Update a COA account</w:t>
            </w:r>
          </w:p>
        </w:tc>
        <w:tc>
          <w:tcPr>
            <w:tcW w:type="dxa" w:w="855"/>
          </w:tcPr>
          <w:p>
            <w:pPr>
              <w:spacing w:after="0"/>
            </w:pPr>
            <w:r/>
            <w:r>
              <w:rPr>
                <w:sz w:val="13"/>
              </w:rPr>
              <w:t>bearer</w:t>
            </w:r>
          </w:p>
        </w:tc>
        <w:tc>
          <w:tcPr>
            <w:tcW w:type="dxa" w:w="3492"/>
          </w:tcPr>
          <w:p>
            <w:pPr>
              <w:spacing w:after="0"/>
            </w:pPr>
            <w:r/>
            <w:r>
              <w:rPr>
                <w:sz w:val="13"/>
              </w:rPr>
              <w:t>accounting.accounts.update</w:t>
            </w:r>
          </w:p>
        </w:tc>
      </w:tr>
      <w:tr>
        <w:trPr>
          <w:cantSplit/>
        </w:trPr>
        <w:tc>
          <w:tcPr>
            <w:tcW w:type="dxa" w:w="927"/>
          </w:tcPr>
          <w:p>
            <w:pPr>
              <w:spacing w:after="0"/>
            </w:pPr>
            <w:r/>
            <w:r>
              <w:rPr>
                <w:sz w:val="13"/>
              </w:rPr>
              <w:t>GET</w:t>
            </w:r>
          </w:p>
        </w:tc>
        <w:tc>
          <w:tcPr>
            <w:tcW w:type="dxa" w:w="4276"/>
          </w:tcPr>
          <w:p>
            <w:pPr>
              <w:spacing w:after="0"/>
            </w:pPr>
            <w:r/>
            <w:r>
              <w:rPr>
                <w:sz w:val="13"/>
              </w:rPr>
              <w:t>/api/v1/accounting/advances</w:t>
            </w:r>
          </w:p>
        </w:tc>
        <w:tc>
          <w:tcPr>
            <w:tcW w:type="dxa" w:w="4561"/>
          </w:tcPr>
          <w:p>
            <w:pPr>
              <w:spacing w:after="0"/>
            </w:pPr>
            <w:r/>
            <w:r>
              <w:rPr>
                <w:sz w:val="13"/>
              </w:rPr>
              <w:t>List customer deposits / supplier advances</w:t>
            </w:r>
          </w:p>
        </w:tc>
        <w:tc>
          <w:tcPr>
            <w:tcW w:type="dxa" w:w="855"/>
          </w:tcPr>
          <w:p>
            <w:pPr>
              <w:spacing w:after="0"/>
            </w:pPr>
            <w:r/>
            <w:r>
              <w:rPr>
                <w:sz w:val="13"/>
              </w:rPr>
              <w:t>bearer</w:t>
            </w:r>
          </w:p>
        </w:tc>
        <w:tc>
          <w:tcPr>
            <w:tcW w:type="dxa" w:w="3492"/>
          </w:tcPr>
          <w:p>
            <w:pPr>
              <w:spacing w:after="0"/>
            </w:pPr>
            <w:r/>
            <w:r>
              <w:rPr>
                <w:sz w:val="13"/>
              </w:rPr>
              <w:t>accounting.advances.view</w:t>
            </w:r>
          </w:p>
        </w:tc>
      </w:tr>
      <w:tr>
        <w:trPr>
          <w:cantSplit/>
        </w:trPr>
        <w:tc>
          <w:tcPr>
            <w:tcW w:type="dxa" w:w="927"/>
          </w:tcPr>
          <w:p>
            <w:pPr>
              <w:spacing w:after="0"/>
            </w:pPr>
            <w:r/>
            <w:r>
              <w:rPr>
                <w:sz w:val="13"/>
              </w:rPr>
              <w:t>POST</w:t>
            </w:r>
          </w:p>
        </w:tc>
        <w:tc>
          <w:tcPr>
            <w:tcW w:type="dxa" w:w="4276"/>
          </w:tcPr>
          <w:p>
            <w:pPr>
              <w:spacing w:after="0"/>
            </w:pPr>
            <w:r/>
            <w:r>
              <w:rPr>
                <w:sz w:val="13"/>
              </w:rPr>
              <w:t>/api/v1/accounting/advances</w:t>
            </w:r>
          </w:p>
        </w:tc>
        <w:tc>
          <w:tcPr>
            <w:tcW w:type="dxa" w:w="4561"/>
          </w:tcPr>
          <w:p>
            <w:pPr>
              <w:spacing w:after="0"/>
            </w:pPr>
            <w:r/>
            <w:r>
              <w:rPr>
                <w:sz w:val="13"/>
              </w:rPr>
              <w:t>Receive a deposit / advance (auto-posts the DP journal)</w:t>
            </w:r>
          </w:p>
        </w:tc>
        <w:tc>
          <w:tcPr>
            <w:tcW w:type="dxa" w:w="855"/>
          </w:tcPr>
          <w:p>
            <w:pPr>
              <w:spacing w:after="0"/>
            </w:pPr>
            <w:r/>
            <w:r>
              <w:rPr>
                <w:sz w:val="13"/>
              </w:rPr>
              <w:t>bearer</w:t>
            </w:r>
          </w:p>
        </w:tc>
        <w:tc>
          <w:tcPr>
            <w:tcW w:type="dxa" w:w="3492"/>
          </w:tcPr>
          <w:p>
            <w:pPr>
              <w:spacing w:after="0"/>
            </w:pPr>
            <w:r/>
            <w:r>
              <w:rPr>
                <w:sz w:val="13"/>
              </w:rPr>
              <w:t>accounting.advances.create</w:t>
            </w:r>
          </w:p>
        </w:tc>
      </w:tr>
      <w:tr>
        <w:trPr>
          <w:cantSplit/>
        </w:trPr>
        <w:tc>
          <w:tcPr>
            <w:tcW w:type="dxa" w:w="927"/>
          </w:tcPr>
          <w:p>
            <w:pPr>
              <w:spacing w:after="0"/>
            </w:pPr>
            <w:r/>
            <w:r>
              <w:rPr>
                <w:sz w:val="13"/>
              </w:rPr>
              <w:t>GET</w:t>
            </w:r>
          </w:p>
        </w:tc>
        <w:tc>
          <w:tcPr>
            <w:tcW w:type="dxa" w:w="4276"/>
          </w:tcPr>
          <w:p>
            <w:pPr>
              <w:spacing w:after="0"/>
            </w:pPr>
            <w:r/>
            <w:r>
              <w:rPr>
                <w:sz w:val="13"/>
              </w:rPr>
              <w:t>/api/v1/accounting/advances/{id}</w:t>
            </w:r>
          </w:p>
        </w:tc>
        <w:tc>
          <w:tcPr>
            <w:tcW w:type="dxa" w:w="4561"/>
          </w:tcPr>
          <w:p>
            <w:pPr>
              <w:spacing w:after="0"/>
            </w:pPr>
            <w:r/>
            <w:r>
              <w:rPr>
                <w:sz w:val="13"/>
              </w:rPr>
              <w:t>Get an advance with its transactions</w:t>
            </w:r>
          </w:p>
        </w:tc>
        <w:tc>
          <w:tcPr>
            <w:tcW w:type="dxa" w:w="855"/>
          </w:tcPr>
          <w:p>
            <w:pPr>
              <w:spacing w:after="0"/>
            </w:pPr>
            <w:r/>
            <w:r>
              <w:rPr>
                <w:sz w:val="13"/>
              </w:rPr>
              <w:t>bearer</w:t>
            </w:r>
          </w:p>
        </w:tc>
        <w:tc>
          <w:tcPr>
            <w:tcW w:type="dxa" w:w="3492"/>
          </w:tcPr>
          <w:p>
            <w:pPr>
              <w:spacing w:after="0"/>
            </w:pPr>
            <w:r/>
            <w:r>
              <w:rPr>
                <w:sz w:val="13"/>
              </w:rPr>
              <w:t>accounting.advances.view</w:t>
            </w:r>
          </w:p>
        </w:tc>
      </w:tr>
      <w:tr>
        <w:trPr>
          <w:cantSplit/>
        </w:trPr>
        <w:tc>
          <w:tcPr>
            <w:tcW w:type="dxa" w:w="927"/>
          </w:tcPr>
          <w:p>
            <w:pPr>
              <w:spacing w:after="0"/>
            </w:pPr>
            <w:r/>
            <w:r>
              <w:rPr>
                <w:sz w:val="13"/>
              </w:rPr>
              <w:t>POST</w:t>
            </w:r>
          </w:p>
        </w:tc>
        <w:tc>
          <w:tcPr>
            <w:tcW w:type="dxa" w:w="4276"/>
          </w:tcPr>
          <w:p>
            <w:pPr>
              <w:spacing w:after="0"/>
            </w:pPr>
            <w:r/>
            <w:r>
              <w:rPr>
                <w:sz w:val="13"/>
              </w:rPr>
              <w:t>/api/v1/accounting/advances/{id}/allocate</w:t>
            </w:r>
          </w:p>
        </w:tc>
        <w:tc>
          <w:tcPr>
            <w:tcW w:type="dxa" w:w="4561"/>
          </w:tcPr>
          <w:p>
            <w:pPr>
              <w:spacing w:after="0"/>
            </w:pPr>
            <w:r/>
            <w:r>
              <w:rPr>
                <w:sz w:val="13"/>
              </w:rPr>
              <w:t>Allocate an advance to an invoice / purchase order</w:t>
            </w:r>
          </w:p>
        </w:tc>
        <w:tc>
          <w:tcPr>
            <w:tcW w:type="dxa" w:w="855"/>
          </w:tcPr>
          <w:p>
            <w:pPr>
              <w:spacing w:after="0"/>
            </w:pPr>
            <w:r/>
            <w:r>
              <w:rPr>
                <w:sz w:val="13"/>
              </w:rPr>
              <w:t>bearer</w:t>
            </w:r>
          </w:p>
        </w:tc>
        <w:tc>
          <w:tcPr>
            <w:tcW w:type="dxa" w:w="3492"/>
          </w:tcPr>
          <w:p>
            <w:pPr>
              <w:spacing w:after="0"/>
            </w:pPr>
            <w:r/>
            <w:r>
              <w:rPr>
                <w:sz w:val="13"/>
              </w:rPr>
              <w:t>accounting.advances.allocate</w:t>
            </w:r>
          </w:p>
        </w:tc>
      </w:tr>
      <w:tr>
        <w:trPr>
          <w:cantSplit/>
        </w:trPr>
        <w:tc>
          <w:tcPr>
            <w:tcW w:type="dxa" w:w="927"/>
          </w:tcPr>
          <w:p>
            <w:pPr>
              <w:spacing w:after="0"/>
            </w:pPr>
            <w:r/>
            <w:r>
              <w:rPr>
                <w:sz w:val="13"/>
              </w:rPr>
              <w:t>POST</w:t>
            </w:r>
          </w:p>
        </w:tc>
        <w:tc>
          <w:tcPr>
            <w:tcW w:type="dxa" w:w="4276"/>
          </w:tcPr>
          <w:p>
            <w:pPr>
              <w:spacing w:after="0"/>
            </w:pPr>
            <w:r/>
            <w:r>
              <w:rPr>
                <w:sz w:val="13"/>
              </w:rPr>
              <w:t>/api/v1/accounting/advances/{id}/refund</w:t>
            </w:r>
          </w:p>
        </w:tc>
        <w:tc>
          <w:tcPr>
            <w:tcW w:type="dxa" w:w="4561"/>
          </w:tcPr>
          <w:p>
            <w:pPr>
              <w:spacing w:after="0"/>
            </w:pPr>
            <w:r/>
            <w:r>
              <w:rPr>
                <w:sz w:val="13"/>
              </w:rPr>
              <w:t>Refund the remaining amount of an advance</w:t>
            </w:r>
          </w:p>
        </w:tc>
        <w:tc>
          <w:tcPr>
            <w:tcW w:type="dxa" w:w="855"/>
          </w:tcPr>
          <w:p>
            <w:pPr>
              <w:spacing w:after="0"/>
            </w:pPr>
            <w:r/>
            <w:r>
              <w:rPr>
                <w:sz w:val="13"/>
              </w:rPr>
              <w:t>bearer</w:t>
            </w:r>
          </w:p>
        </w:tc>
        <w:tc>
          <w:tcPr>
            <w:tcW w:type="dxa" w:w="3492"/>
          </w:tcPr>
          <w:p>
            <w:pPr>
              <w:spacing w:after="0"/>
            </w:pPr>
            <w:r/>
            <w:r>
              <w:rPr>
                <w:sz w:val="13"/>
              </w:rPr>
              <w:t>accounting.advances.refund</w:t>
            </w:r>
          </w:p>
        </w:tc>
      </w:tr>
      <w:tr>
        <w:trPr>
          <w:cantSplit/>
        </w:trPr>
        <w:tc>
          <w:tcPr>
            <w:tcW w:type="dxa" w:w="927"/>
          </w:tcPr>
          <w:p>
            <w:pPr>
              <w:spacing w:after="0"/>
            </w:pPr>
            <w:r/>
            <w:r>
              <w:rPr>
                <w:sz w:val="13"/>
              </w:rPr>
              <w:t>GET</w:t>
            </w:r>
          </w:p>
        </w:tc>
        <w:tc>
          <w:tcPr>
            <w:tcW w:type="dxa" w:w="4276"/>
          </w:tcPr>
          <w:p>
            <w:pPr>
              <w:spacing w:after="0"/>
            </w:pPr>
            <w:r/>
            <w:r>
              <w:rPr>
                <w:sz w:val="13"/>
              </w:rPr>
              <w:t>/api/v1/accounting/departments</w:t>
            </w:r>
          </w:p>
        </w:tc>
        <w:tc>
          <w:tcPr>
            <w:tcW w:type="dxa" w:w="4561"/>
          </w:tcPr>
          <w:p>
            <w:pPr>
              <w:spacing w:after="0"/>
            </w:pPr>
            <w:r/>
            <w:r>
              <w:rPr>
                <w:sz w:val="13"/>
              </w:rPr>
              <w:t>List cost-center departments</w:t>
            </w:r>
          </w:p>
        </w:tc>
        <w:tc>
          <w:tcPr>
            <w:tcW w:type="dxa" w:w="855"/>
          </w:tcPr>
          <w:p>
            <w:pPr>
              <w:spacing w:after="0"/>
            </w:pPr>
            <w:r/>
            <w:r>
              <w:rPr>
                <w:sz w:val="13"/>
              </w:rPr>
              <w:t>bearer</w:t>
            </w:r>
          </w:p>
        </w:tc>
        <w:tc>
          <w:tcPr>
            <w:tcW w:type="dxa" w:w="3492"/>
          </w:tcPr>
          <w:p>
            <w:pPr>
              <w:spacing w:after="0"/>
            </w:pPr>
            <w:r/>
            <w:r>
              <w:rPr>
                <w:sz w:val="13"/>
              </w:rPr>
              <w:t>accounting.departments.view</w:t>
            </w:r>
          </w:p>
        </w:tc>
      </w:tr>
      <w:tr>
        <w:trPr>
          <w:cantSplit/>
        </w:trPr>
        <w:tc>
          <w:tcPr>
            <w:tcW w:type="dxa" w:w="927"/>
          </w:tcPr>
          <w:p>
            <w:pPr>
              <w:spacing w:after="0"/>
            </w:pPr>
            <w:r/>
            <w:r>
              <w:rPr>
                <w:sz w:val="13"/>
              </w:rPr>
              <w:t>POST</w:t>
            </w:r>
          </w:p>
        </w:tc>
        <w:tc>
          <w:tcPr>
            <w:tcW w:type="dxa" w:w="4276"/>
          </w:tcPr>
          <w:p>
            <w:pPr>
              <w:spacing w:after="0"/>
            </w:pPr>
            <w:r/>
            <w:r>
              <w:rPr>
                <w:sz w:val="13"/>
              </w:rPr>
              <w:t>/api/v1/accounting/departments</w:t>
            </w:r>
          </w:p>
        </w:tc>
        <w:tc>
          <w:tcPr>
            <w:tcW w:type="dxa" w:w="4561"/>
          </w:tcPr>
          <w:p>
            <w:pPr>
              <w:spacing w:after="0"/>
            </w:pPr>
            <w:r/>
            <w:r>
              <w:rPr>
                <w:sz w:val="13"/>
              </w:rPr>
              <w:t>Create a department</w:t>
            </w:r>
          </w:p>
        </w:tc>
        <w:tc>
          <w:tcPr>
            <w:tcW w:type="dxa" w:w="855"/>
          </w:tcPr>
          <w:p>
            <w:pPr>
              <w:spacing w:after="0"/>
            </w:pPr>
            <w:r/>
            <w:r>
              <w:rPr>
                <w:sz w:val="13"/>
              </w:rPr>
              <w:t>bearer</w:t>
            </w:r>
          </w:p>
        </w:tc>
        <w:tc>
          <w:tcPr>
            <w:tcW w:type="dxa" w:w="3492"/>
          </w:tcPr>
          <w:p>
            <w:pPr>
              <w:spacing w:after="0"/>
            </w:pPr>
            <w:r/>
            <w:r>
              <w:rPr>
                <w:sz w:val="13"/>
              </w:rPr>
              <w:t>accounting.departments.create</w:t>
            </w:r>
          </w:p>
        </w:tc>
      </w:tr>
      <w:tr>
        <w:trPr>
          <w:cantSplit/>
        </w:trPr>
        <w:tc>
          <w:tcPr>
            <w:tcW w:type="dxa" w:w="927"/>
          </w:tcPr>
          <w:p>
            <w:pPr>
              <w:spacing w:after="0"/>
            </w:pPr>
            <w:r/>
            <w:r>
              <w:rPr>
                <w:sz w:val="13"/>
              </w:rPr>
              <w:t>PUT</w:t>
            </w:r>
          </w:p>
        </w:tc>
        <w:tc>
          <w:tcPr>
            <w:tcW w:type="dxa" w:w="4276"/>
          </w:tcPr>
          <w:p>
            <w:pPr>
              <w:spacing w:after="0"/>
            </w:pPr>
            <w:r/>
            <w:r>
              <w:rPr>
                <w:sz w:val="13"/>
              </w:rPr>
              <w:t>/api/v1/accounting/departments/{id}</w:t>
            </w:r>
          </w:p>
        </w:tc>
        <w:tc>
          <w:tcPr>
            <w:tcW w:type="dxa" w:w="4561"/>
          </w:tcPr>
          <w:p>
            <w:pPr>
              <w:spacing w:after="0"/>
            </w:pPr>
            <w:r/>
            <w:r>
              <w:rPr>
                <w:sz w:val="13"/>
              </w:rPr>
              <w:t>Update a department</w:t>
            </w:r>
          </w:p>
        </w:tc>
        <w:tc>
          <w:tcPr>
            <w:tcW w:type="dxa" w:w="855"/>
          </w:tcPr>
          <w:p>
            <w:pPr>
              <w:spacing w:after="0"/>
            </w:pPr>
            <w:r/>
            <w:r>
              <w:rPr>
                <w:sz w:val="13"/>
              </w:rPr>
              <w:t>bearer</w:t>
            </w:r>
          </w:p>
        </w:tc>
        <w:tc>
          <w:tcPr>
            <w:tcW w:type="dxa" w:w="3492"/>
          </w:tcPr>
          <w:p>
            <w:pPr>
              <w:spacing w:after="0"/>
            </w:pPr>
            <w:r/>
            <w:r>
              <w:rPr>
                <w:sz w:val="13"/>
              </w:rPr>
              <w:t>accounting.departments.update</w:t>
            </w:r>
          </w:p>
        </w:tc>
      </w:tr>
      <w:tr>
        <w:trPr>
          <w:cantSplit/>
        </w:trPr>
        <w:tc>
          <w:tcPr>
            <w:tcW w:type="dxa" w:w="927"/>
          </w:tcPr>
          <w:p>
            <w:pPr>
              <w:spacing w:after="0"/>
            </w:pPr>
            <w:r/>
            <w:r>
              <w:rPr>
                <w:sz w:val="13"/>
              </w:rPr>
              <w:t>GET</w:t>
            </w:r>
          </w:p>
        </w:tc>
        <w:tc>
          <w:tcPr>
            <w:tcW w:type="dxa" w:w="4276"/>
          </w:tcPr>
          <w:p>
            <w:pPr>
              <w:spacing w:after="0"/>
            </w:pPr>
            <w:r/>
            <w:r>
              <w:rPr>
                <w:sz w:val="13"/>
              </w:rPr>
              <w:t>/api/v1/accounting/journals</w:t>
            </w:r>
          </w:p>
        </w:tc>
        <w:tc>
          <w:tcPr>
            <w:tcW w:type="dxa" w:w="4561"/>
          </w:tcPr>
          <w:p>
            <w:pPr>
              <w:spacing w:after="0"/>
            </w:pPr>
            <w:r/>
            <w:r>
              <w:rPr>
                <w:sz w:val="13"/>
              </w:rPr>
              <w:t>List journal entries</w:t>
            </w:r>
          </w:p>
        </w:tc>
        <w:tc>
          <w:tcPr>
            <w:tcW w:type="dxa" w:w="855"/>
          </w:tcPr>
          <w:p>
            <w:pPr>
              <w:spacing w:after="0"/>
            </w:pPr>
            <w:r/>
            <w:r>
              <w:rPr>
                <w:sz w:val="13"/>
              </w:rPr>
              <w:t>bearer</w:t>
            </w:r>
          </w:p>
        </w:tc>
        <w:tc>
          <w:tcPr>
            <w:tcW w:type="dxa" w:w="3492"/>
          </w:tcPr>
          <w:p>
            <w:pPr>
              <w:spacing w:after="0"/>
            </w:pPr>
            <w:r/>
            <w:r>
              <w:rPr>
                <w:sz w:val="13"/>
              </w:rPr>
              <w:t>accounting.journals.view</w:t>
            </w:r>
          </w:p>
        </w:tc>
      </w:tr>
      <w:tr>
        <w:trPr>
          <w:cantSplit/>
        </w:trPr>
        <w:tc>
          <w:tcPr>
            <w:tcW w:type="dxa" w:w="927"/>
          </w:tcPr>
          <w:p>
            <w:pPr>
              <w:spacing w:after="0"/>
            </w:pPr>
            <w:r/>
            <w:r>
              <w:rPr>
                <w:sz w:val="13"/>
              </w:rPr>
              <w:t>POST</w:t>
            </w:r>
          </w:p>
        </w:tc>
        <w:tc>
          <w:tcPr>
            <w:tcW w:type="dxa" w:w="4276"/>
          </w:tcPr>
          <w:p>
            <w:pPr>
              <w:spacing w:after="0"/>
            </w:pPr>
            <w:r/>
            <w:r>
              <w:rPr>
                <w:sz w:val="13"/>
              </w:rPr>
              <w:t>/api/v1/accounting/journals</w:t>
            </w:r>
          </w:p>
        </w:tc>
        <w:tc>
          <w:tcPr>
            <w:tcW w:type="dxa" w:w="4561"/>
          </w:tcPr>
          <w:p>
            <w:pPr>
              <w:spacing w:after="0"/>
            </w:pPr>
            <w:r/>
            <w:r>
              <w:rPr>
                <w:sz w:val="13"/>
              </w:rPr>
              <w:t>Create a draft journal entry</w:t>
            </w:r>
          </w:p>
        </w:tc>
        <w:tc>
          <w:tcPr>
            <w:tcW w:type="dxa" w:w="855"/>
          </w:tcPr>
          <w:p>
            <w:pPr>
              <w:spacing w:after="0"/>
            </w:pPr>
            <w:r/>
            <w:r>
              <w:rPr>
                <w:sz w:val="13"/>
              </w:rPr>
              <w:t>bearer</w:t>
            </w:r>
          </w:p>
        </w:tc>
        <w:tc>
          <w:tcPr>
            <w:tcW w:type="dxa" w:w="3492"/>
          </w:tcPr>
          <w:p>
            <w:pPr>
              <w:spacing w:after="0"/>
            </w:pPr>
            <w:r/>
            <w:r>
              <w:rPr>
                <w:sz w:val="13"/>
              </w:rPr>
              <w:t>accounting.journals.create</w:t>
            </w:r>
          </w:p>
        </w:tc>
      </w:tr>
      <w:tr>
        <w:trPr>
          <w:cantSplit/>
        </w:trPr>
        <w:tc>
          <w:tcPr>
            <w:tcW w:type="dxa" w:w="927"/>
          </w:tcPr>
          <w:p>
            <w:pPr>
              <w:spacing w:after="0"/>
            </w:pPr>
            <w:r/>
            <w:r>
              <w:rPr>
                <w:sz w:val="13"/>
              </w:rPr>
              <w:t>GET</w:t>
            </w:r>
          </w:p>
        </w:tc>
        <w:tc>
          <w:tcPr>
            <w:tcW w:type="dxa" w:w="4276"/>
          </w:tcPr>
          <w:p>
            <w:pPr>
              <w:spacing w:after="0"/>
            </w:pPr>
            <w:r/>
            <w:r>
              <w:rPr>
                <w:sz w:val="13"/>
              </w:rPr>
              <w:t>/api/v1/accounting/journals/by-source</w:t>
            </w:r>
          </w:p>
        </w:tc>
        <w:tc>
          <w:tcPr>
            <w:tcW w:type="dxa" w:w="4561"/>
          </w:tcPr>
          <w:p>
            <w:pPr>
              <w:spacing w:after="0"/>
            </w:pPr>
            <w:r/>
            <w:r>
              <w:rPr>
                <w:sz w:val="13"/>
              </w:rPr>
              <w:t>Drill one upstream document to its auto-drafted journal</w:t>
            </w:r>
          </w:p>
        </w:tc>
        <w:tc>
          <w:tcPr>
            <w:tcW w:type="dxa" w:w="855"/>
          </w:tcPr>
          <w:p>
            <w:pPr>
              <w:spacing w:after="0"/>
            </w:pPr>
            <w:r/>
            <w:r>
              <w:rPr>
                <w:sz w:val="13"/>
              </w:rPr>
              <w:t>bearer</w:t>
            </w:r>
          </w:p>
        </w:tc>
        <w:tc>
          <w:tcPr>
            <w:tcW w:type="dxa" w:w="3492"/>
          </w:tcPr>
          <w:p>
            <w:pPr>
              <w:spacing w:after="0"/>
            </w:pPr>
            <w:r/>
            <w:r>
              <w:rPr>
                <w:sz w:val="13"/>
              </w:rPr>
              <w:t>accounting.journals.view</w:t>
            </w:r>
          </w:p>
        </w:tc>
      </w:tr>
      <w:tr>
        <w:trPr>
          <w:cantSplit/>
        </w:trPr>
        <w:tc>
          <w:tcPr>
            <w:tcW w:type="dxa" w:w="927"/>
          </w:tcPr>
          <w:p>
            <w:pPr>
              <w:spacing w:after="0"/>
            </w:pPr>
            <w:r/>
            <w:r>
              <w:rPr>
                <w:sz w:val="13"/>
              </w:rPr>
              <w:t>DELETE</w:t>
            </w:r>
          </w:p>
        </w:tc>
        <w:tc>
          <w:tcPr>
            <w:tcW w:type="dxa" w:w="4276"/>
          </w:tcPr>
          <w:p>
            <w:pPr>
              <w:spacing w:after="0"/>
            </w:pPr>
            <w:r/>
            <w:r>
              <w:rPr>
                <w:sz w:val="13"/>
              </w:rPr>
              <w:t>/api/v1/accounting/journals/{id}</w:t>
            </w:r>
          </w:p>
        </w:tc>
        <w:tc>
          <w:tcPr>
            <w:tcW w:type="dxa" w:w="4561"/>
          </w:tcPr>
          <w:p>
            <w:pPr>
              <w:spacing w:after="0"/>
            </w:pPr>
            <w:r/>
            <w:r>
              <w:rPr>
                <w:sz w:val="13"/>
              </w:rPr>
              <w:t>Delete a draft journal entry</w:t>
            </w:r>
          </w:p>
        </w:tc>
        <w:tc>
          <w:tcPr>
            <w:tcW w:type="dxa" w:w="855"/>
          </w:tcPr>
          <w:p>
            <w:pPr>
              <w:spacing w:after="0"/>
            </w:pPr>
            <w:r/>
            <w:r>
              <w:rPr>
                <w:sz w:val="13"/>
              </w:rPr>
              <w:t>bearer</w:t>
            </w:r>
          </w:p>
        </w:tc>
        <w:tc>
          <w:tcPr>
            <w:tcW w:type="dxa" w:w="3492"/>
          </w:tcPr>
          <w:p>
            <w:pPr>
              <w:spacing w:after="0"/>
            </w:pPr>
            <w:r/>
            <w:r>
              <w:rPr>
                <w:sz w:val="13"/>
              </w:rPr>
              <w:t>accounting.journals.delete</w:t>
            </w:r>
          </w:p>
        </w:tc>
      </w:tr>
      <w:tr>
        <w:trPr>
          <w:cantSplit/>
        </w:trPr>
        <w:tc>
          <w:tcPr>
            <w:tcW w:type="dxa" w:w="927"/>
          </w:tcPr>
          <w:p>
            <w:pPr>
              <w:spacing w:after="0"/>
            </w:pPr>
            <w:r/>
            <w:r>
              <w:rPr>
                <w:sz w:val="13"/>
              </w:rPr>
              <w:t>GET</w:t>
            </w:r>
          </w:p>
        </w:tc>
        <w:tc>
          <w:tcPr>
            <w:tcW w:type="dxa" w:w="4276"/>
          </w:tcPr>
          <w:p>
            <w:pPr>
              <w:spacing w:after="0"/>
            </w:pPr>
            <w:r/>
            <w:r>
              <w:rPr>
                <w:sz w:val="13"/>
              </w:rPr>
              <w:t>/api/v1/accounting/journals/{id}</w:t>
            </w:r>
          </w:p>
        </w:tc>
        <w:tc>
          <w:tcPr>
            <w:tcW w:type="dxa" w:w="4561"/>
          </w:tcPr>
          <w:p>
            <w:pPr>
              <w:spacing w:after="0"/>
            </w:pPr>
            <w:r/>
            <w:r>
              <w:rPr>
                <w:sz w:val="13"/>
              </w:rPr>
              <w:t>Get a journal entry with lines</w:t>
            </w:r>
          </w:p>
        </w:tc>
        <w:tc>
          <w:tcPr>
            <w:tcW w:type="dxa" w:w="855"/>
          </w:tcPr>
          <w:p>
            <w:pPr>
              <w:spacing w:after="0"/>
            </w:pPr>
            <w:r/>
            <w:r>
              <w:rPr>
                <w:sz w:val="13"/>
              </w:rPr>
              <w:t>bearer</w:t>
            </w:r>
          </w:p>
        </w:tc>
        <w:tc>
          <w:tcPr>
            <w:tcW w:type="dxa" w:w="3492"/>
          </w:tcPr>
          <w:p>
            <w:pPr>
              <w:spacing w:after="0"/>
            </w:pPr>
            <w:r/>
            <w:r>
              <w:rPr>
                <w:sz w:val="13"/>
              </w:rPr>
              <w:t>accounting.journals.view</w:t>
            </w:r>
          </w:p>
        </w:tc>
      </w:tr>
      <w:tr>
        <w:trPr>
          <w:cantSplit/>
        </w:trPr>
        <w:tc>
          <w:tcPr>
            <w:tcW w:type="dxa" w:w="927"/>
          </w:tcPr>
          <w:p>
            <w:pPr>
              <w:spacing w:after="0"/>
            </w:pPr>
            <w:r/>
            <w:r>
              <w:rPr>
                <w:sz w:val="13"/>
              </w:rPr>
              <w:t>PUT</w:t>
            </w:r>
          </w:p>
        </w:tc>
        <w:tc>
          <w:tcPr>
            <w:tcW w:type="dxa" w:w="4276"/>
          </w:tcPr>
          <w:p>
            <w:pPr>
              <w:spacing w:after="0"/>
            </w:pPr>
            <w:r/>
            <w:r>
              <w:rPr>
                <w:sz w:val="13"/>
              </w:rPr>
              <w:t>/api/v1/accounting/journals/{id}</w:t>
            </w:r>
          </w:p>
        </w:tc>
        <w:tc>
          <w:tcPr>
            <w:tcW w:type="dxa" w:w="4561"/>
          </w:tcPr>
          <w:p>
            <w:pPr>
              <w:spacing w:after="0"/>
            </w:pPr>
            <w:r/>
            <w:r>
              <w:rPr>
                <w:sz w:val="13"/>
              </w:rPr>
              <w:t>Update a draft journal entry</w:t>
            </w:r>
          </w:p>
        </w:tc>
        <w:tc>
          <w:tcPr>
            <w:tcW w:type="dxa" w:w="855"/>
          </w:tcPr>
          <w:p>
            <w:pPr>
              <w:spacing w:after="0"/>
            </w:pPr>
            <w:r/>
            <w:r>
              <w:rPr>
                <w:sz w:val="13"/>
              </w:rPr>
              <w:t>bearer</w:t>
            </w:r>
          </w:p>
        </w:tc>
        <w:tc>
          <w:tcPr>
            <w:tcW w:type="dxa" w:w="3492"/>
          </w:tcPr>
          <w:p>
            <w:pPr>
              <w:spacing w:after="0"/>
            </w:pPr>
            <w:r/>
            <w:r>
              <w:rPr>
                <w:sz w:val="13"/>
              </w:rPr>
              <w:t>accounting.journals.update</w:t>
            </w:r>
          </w:p>
        </w:tc>
      </w:tr>
      <w:tr>
        <w:trPr>
          <w:cantSplit/>
        </w:trPr>
        <w:tc>
          <w:tcPr>
            <w:tcW w:type="dxa" w:w="927"/>
          </w:tcPr>
          <w:p>
            <w:pPr>
              <w:spacing w:after="0"/>
            </w:pPr>
            <w:r/>
            <w:r>
              <w:rPr>
                <w:sz w:val="13"/>
              </w:rPr>
              <w:t>POST</w:t>
            </w:r>
          </w:p>
        </w:tc>
        <w:tc>
          <w:tcPr>
            <w:tcW w:type="dxa" w:w="4276"/>
          </w:tcPr>
          <w:p>
            <w:pPr>
              <w:spacing w:after="0"/>
            </w:pPr>
            <w:r/>
            <w:r>
              <w:rPr>
                <w:sz w:val="13"/>
              </w:rPr>
              <w:t>/api/v1/accounting/journals/{id}/post</w:t>
            </w:r>
          </w:p>
        </w:tc>
        <w:tc>
          <w:tcPr>
            <w:tcW w:type="dxa" w:w="4561"/>
          </w:tcPr>
          <w:p>
            <w:pPr>
              <w:spacing w:after="0"/>
            </w:pPr>
            <w:r/>
            <w:r>
              <w:rPr>
                <w:sz w:val="13"/>
              </w:rPr>
              <w:t>Post a draft journal to the ledger (requires balance)</w:t>
            </w:r>
          </w:p>
        </w:tc>
        <w:tc>
          <w:tcPr>
            <w:tcW w:type="dxa" w:w="855"/>
          </w:tcPr>
          <w:p>
            <w:pPr>
              <w:spacing w:after="0"/>
            </w:pPr>
            <w:r/>
            <w:r>
              <w:rPr>
                <w:sz w:val="13"/>
              </w:rPr>
              <w:t>bearer</w:t>
            </w:r>
          </w:p>
        </w:tc>
        <w:tc>
          <w:tcPr>
            <w:tcW w:type="dxa" w:w="3492"/>
          </w:tcPr>
          <w:p>
            <w:pPr>
              <w:spacing w:after="0"/>
            </w:pPr>
            <w:r/>
            <w:r>
              <w:rPr>
                <w:sz w:val="13"/>
              </w:rPr>
              <w:t>accounting.journals.post</w:t>
            </w:r>
          </w:p>
        </w:tc>
      </w:tr>
      <w:tr>
        <w:trPr>
          <w:cantSplit/>
        </w:trPr>
        <w:tc>
          <w:tcPr>
            <w:tcW w:type="dxa" w:w="927"/>
          </w:tcPr>
          <w:p>
            <w:pPr>
              <w:spacing w:after="0"/>
            </w:pPr>
            <w:r/>
            <w:r>
              <w:rPr>
                <w:sz w:val="13"/>
              </w:rPr>
              <w:t>POST</w:t>
            </w:r>
          </w:p>
        </w:tc>
        <w:tc>
          <w:tcPr>
            <w:tcW w:type="dxa" w:w="4276"/>
          </w:tcPr>
          <w:p>
            <w:pPr>
              <w:spacing w:after="0"/>
            </w:pPr>
            <w:r/>
            <w:r>
              <w:rPr>
                <w:sz w:val="13"/>
              </w:rPr>
              <w:t>/api/v1/accounting/journals/{id}/reverse</w:t>
            </w:r>
          </w:p>
        </w:tc>
        <w:tc>
          <w:tcPr>
            <w:tcW w:type="dxa" w:w="4561"/>
          </w:tcPr>
          <w:p>
            <w:pPr>
              <w:spacing w:after="0"/>
            </w:pPr>
            <w:r/>
            <w:r>
              <w:rPr>
                <w:sz w:val="13"/>
              </w:rPr>
              <w:t>Reverse a posted journal (mirrored entry)</w:t>
            </w:r>
          </w:p>
        </w:tc>
        <w:tc>
          <w:tcPr>
            <w:tcW w:type="dxa" w:w="855"/>
          </w:tcPr>
          <w:p>
            <w:pPr>
              <w:spacing w:after="0"/>
            </w:pPr>
            <w:r/>
            <w:r>
              <w:rPr>
                <w:sz w:val="13"/>
              </w:rPr>
              <w:t>bearer</w:t>
            </w:r>
          </w:p>
        </w:tc>
        <w:tc>
          <w:tcPr>
            <w:tcW w:type="dxa" w:w="3492"/>
          </w:tcPr>
          <w:p>
            <w:pPr>
              <w:spacing w:after="0"/>
            </w:pPr>
            <w:r/>
            <w:r>
              <w:rPr>
                <w:sz w:val="13"/>
              </w:rPr>
              <w:t>accounting.journals.reverse</w:t>
            </w:r>
          </w:p>
        </w:tc>
      </w:tr>
      <w:tr>
        <w:trPr>
          <w:cantSplit/>
        </w:trPr>
        <w:tc>
          <w:tcPr>
            <w:tcW w:type="dxa" w:w="927"/>
          </w:tcPr>
          <w:p>
            <w:pPr>
              <w:spacing w:after="0"/>
            </w:pPr>
            <w:r/>
            <w:r>
              <w:rPr>
                <w:sz w:val="13"/>
              </w:rPr>
              <w:t>POST</w:t>
            </w:r>
          </w:p>
        </w:tc>
        <w:tc>
          <w:tcPr>
            <w:tcW w:type="dxa" w:w="4276"/>
          </w:tcPr>
          <w:p>
            <w:pPr>
              <w:spacing w:after="0"/>
            </w:pPr>
            <w:r/>
            <w:r>
              <w:rPr>
                <w:sz w:val="13"/>
              </w:rPr>
              <w:t>/api/v1/accounting/journals/{id}/void</w:t>
            </w:r>
          </w:p>
        </w:tc>
        <w:tc>
          <w:tcPr>
            <w:tcW w:type="dxa" w:w="4561"/>
          </w:tcPr>
          <w:p>
            <w:pPr>
              <w:spacing w:after="0"/>
            </w:pPr>
            <w:r/>
            <w:r>
              <w:rPr>
                <w:sz w:val="13"/>
              </w:rPr>
              <w:t>Void a posted journal</w:t>
            </w:r>
          </w:p>
        </w:tc>
        <w:tc>
          <w:tcPr>
            <w:tcW w:type="dxa" w:w="855"/>
          </w:tcPr>
          <w:p>
            <w:pPr>
              <w:spacing w:after="0"/>
            </w:pPr>
            <w:r/>
            <w:r>
              <w:rPr>
                <w:sz w:val="13"/>
              </w:rPr>
              <w:t>bearer</w:t>
            </w:r>
          </w:p>
        </w:tc>
        <w:tc>
          <w:tcPr>
            <w:tcW w:type="dxa" w:w="3492"/>
          </w:tcPr>
          <w:p>
            <w:pPr>
              <w:spacing w:after="0"/>
            </w:pPr>
            <w:r/>
            <w:r>
              <w:rPr>
                <w:sz w:val="13"/>
              </w:rPr>
              <w:t>accounting.journals.void</w:t>
            </w:r>
          </w:p>
        </w:tc>
      </w:tr>
      <w:tr>
        <w:trPr>
          <w:cantSplit/>
        </w:trPr>
        <w:tc>
          <w:tcPr>
            <w:tcW w:type="dxa" w:w="927"/>
          </w:tcPr>
          <w:p>
            <w:pPr>
              <w:spacing w:after="0"/>
            </w:pPr>
            <w:r/>
            <w:r>
              <w:rPr>
                <w:sz w:val="13"/>
              </w:rPr>
              <w:t>GET</w:t>
            </w:r>
          </w:p>
        </w:tc>
        <w:tc>
          <w:tcPr>
            <w:tcW w:type="dxa" w:w="4276"/>
          </w:tcPr>
          <w:p>
            <w:pPr>
              <w:spacing w:after="0"/>
            </w:pPr>
            <w:r/>
            <w:r>
              <w:rPr>
                <w:sz w:val="13"/>
              </w:rPr>
              <w:t>/api/v1/accounting/ledger</w:t>
            </w:r>
          </w:p>
        </w:tc>
        <w:tc>
          <w:tcPr>
            <w:tcW w:type="dxa" w:w="4561"/>
          </w:tcPr>
          <w:p>
            <w:pPr>
              <w:spacing w:after="0"/>
            </w:pPr>
            <w:r/>
            <w:r>
              <w:rPr>
                <w:sz w:val="13"/>
              </w:rPr>
              <w:t>General ledger (posted + reversed entries only)</w:t>
            </w:r>
          </w:p>
        </w:tc>
        <w:tc>
          <w:tcPr>
            <w:tcW w:type="dxa" w:w="855"/>
          </w:tcPr>
          <w:p>
            <w:pPr>
              <w:spacing w:after="0"/>
            </w:pPr>
            <w:r/>
            <w:r>
              <w:rPr>
                <w:sz w:val="13"/>
              </w:rPr>
              <w:t>bearer</w:t>
            </w:r>
          </w:p>
        </w:tc>
        <w:tc>
          <w:tcPr>
            <w:tcW w:type="dxa" w:w="3492"/>
          </w:tcPr>
          <w:p>
            <w:pPr>
              <w:spacing w:after="0"/>
            </w:pPr>
            <w:r/>
            <w:r>
              <w:rPr>
                <w:sz w:val="13"/>
              </w:rPr>
              <w:t>accounting.ledger.view</w:t>
            </w:r>
          </w:p>
        </w:tc>
      </w:tr>
    </w:tbl>
    <w:p>
      <w:bookmarkStart w:id="1232" w:name="_Toc1232"/>
      <w:pPr>
        <w:pStyle w:val="Heading3"/>
      </w:pPr>
      <w:r>
        <w:t>activitylogs — 2 operations</w:t>
      </w:r>
      <w:bookmarkEnd w:id="1232"/>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DELETE</w:t>
            </w:r>
          </w:p>
        </w:tc>
        <w:tc>
          <w:tcPr>
            <w:tcW w:type="dxa" w:w="4276"/>
          </w:tcPr>
          <w:p>
            <w:pPr>
              <w:spacing w:after="0"/>
            </w:pPr>
            <w:r/>
            <w:r>
              <w:rPr>
                <w:sz w:val="13"/>
              </w:rPr>
              <w:t>/api/v1/activity-logs</w:t>
            </w:r>
          </w:p>
        </w:tc>
        <w:tc>
          <w:tcPr>
            <w:tcW w:type="dxa" w:w="4561"/>
          </w:tcPr>
          <w:p>
            <w:pPr>
              <w:spacing w:after="0"/>
            </w:pPr>
            <w:r/>
            <w:r>
              <w:rPr>
                <w:sz w:val="13"/>
              </w:rPr>
              <w:t>Clear activity logs</w:t>
            </w:r>
          </w:p>
        </w:tc>
        <w:tc>
          <w:tcPr>
            <w:tcW w:type="dxa" w:w="855"/>
          </w:tcPr>
          <w:p>
            <w:pPr>
              <w:spacing w:after="0"/>
            </w:pPr>
            <w:r/>
            <w:r>
              <w:rPr>
                <w:sz w:val="13"/>
              </w:rPr>
              <w:t>bearer</w:t>
            </w:r>
          </w:p>
        </w:tc>
        <w:tc>
          <w:tcPr>
            <w:tcW w:type="dxa" w:w="3492"/>
          </w:tcPr>
          <w:p>
            <w:pPr>
              <w:spacing w:after="0"/>
            </w:pPr>
            <w:r/>
            <w:r>
              <w:rPr>
                <w:sz w:val="13"/>
              </w:rPr>
              <w:t>system.activity-logs.delete</w:t>
            </w:r>
          </w:p>
        </w:tc>
      </w:tr>
      <w:tr>
        <w:trPr>
          <w:cantSplit/>
        </w:trPr>
        <w:tc>
          <w:tcPr>
            <w:tcW w:type="dxa" w:w="927"/>
          </w:tcPr>
          <w:p>
            <w:pPr>
              <w:spacing w:after="0"/>
            </w:pPr>
            <w:r/>
            <w:r>
              <w:rPr>
                <w:sz w:val="13"/>
              </w:rPr>
              <w:t>GET</w:t>
            </w:r>
          </w:p>
        </w:tc>
        <w:tc>
          <w:tcPr>
            <w:tcW w:type="dxa" w:w="4276"/>
          </w:tcPr>
          <w:p>
            <w:pPr>
              <w:spacing w:after="0"/>
            </w:pPr>
            <w:r/>
            <w:r>
              <w:rPr>
                <w:sz w:val="13"/>
              </w:rPr>
              <w:t>/api/v1/activity-logs</w:t>
            </w:r>
          </w:p>
        </w:tc>
        <w:tc>
          <w:tcPr>
            <w:tcW w:type="dxa" w:w="4561"/>
          </w:tcPr>
          <w:p>
            <w:pPr>
              <w:spacing w:after="0"/>
            </w:pPr>
            <w:r/>
            <w:r>
              <w:rPr>
                <w:sz w:val="13"/>
              </w:rPr>
              <w:t>List activity logs</w:t>
            </w:r>
          </w:p>
        </w:tc>
        <w:tc>
          <w:tcPr>
            <w:tcW w:type="dxa" w:w="855"/>
          </w:tcPr>
          <w:p>
            <w:pPr>
              <w:spacing w:after="0"/>
            </w:pPr>
            <w:r/>
            <w:r>
              <w:rPr>
                <w:sz w:val="13"/>
              </w:rPr>
              <w:t>bearer</w:t>
            </w:r>
          </w:p>
        </w:tc>
        <w:tc>
          <w:tcPr>
            <w:tcW w:type="dxa" w:w="3492"/>
          </w:tcPr>
          <w:p>
            <w:pPr>
              <w:spacing w:after="0"/>
            </w:pPr>
            <w:r/>
            <w:r>
              <w:rPr>
                <w:sz w:val="13"/>
              </w:rPr>
              <w:t>system.activity-logs.view</w:t>
            </w:r>
          </w:p>
        </w:tc>
      </w:tr>
    </w:tbl>
    <w:p>
      <w:bookmarkStart w:id="1233" w:name="_Toc1233"/>
      <w:pPr>
        <w:pStyle w:val="Heading3"/>
      </w:pPr>
      <w:r>
        <w:t>auth — 7 operations</w:t>
      </w:r>
      <w:bookmarkEnd w:id="1233"/>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POST</w:t>
            </w:r>
          </w:p>
        </w:tc>
        <w:tc>
          <w:tcPr>
            <w:tcW w:type="dxa" w:w="4276"/>
          </w:tcPr>
          <w:p>
            <w:pPr>
              <w:spacing w:after="0"/>
            </w:pPr>
            <w:r/>
            <w:r>
              <w:rPr>
                <w:sz w:val="13"/>
              </w:rPr>
              <w:t>/api/v1/auth/forgot-password</w:t>
            </w:r>
          </w:p>
        </w:tc>
        <w:tc>
          <w:tcPr>
            <w:tcW w:type="dxa" w:w="4561"/>
          </w:tcPr>
          <w:p>
            <w:pPr>
              <w:spacing w:after="0"/>
            </w:pPr>
            <w:r/>
            <w:r>
              <w:rPr>
                <w:sz w:val="13"/>
              </w:rPr>
              <w:t>Request a password reset link (always 200, anti-enumeration)</w:t>
            </w:r>
          </w:p>
        </w:tc>
        <w:tc>
          <w:tcPr>
            <w:tcW w:type="dxa" w:w="855"/>
          </w:tcPr>
          <w:p>
            <w:pPr>
              <w:spacing w:after="0"/>
            </w:pPr>
            <w:r/>
            <w:r>
              <w:rPr>
                <w:sz w:val="13"/>
              </w:rPr>
              <w:t>public</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/api/v1/auth/login</w:t>
            </w:r>
          </w:p>
        </w:tc>
        <w:tc>
          <w:tcPr>
            <w:tcW w:type="dxa" w:w="4561"/>
          </w:tcPr>
          <w:p>
            <w:pPr>
              <w:spacing w:after="0"/>
            </w:pPr>
            <w:r/>
            <w:r>
              <w:rPr>
                <w:sz w:val="13"/>
              </w:rPr>
              <w:t>Log in and obtain an opaque bearer token</w:t>
            </w:r>
          </w:p>
        </w:tc>
        <w:tc>
          <w:tcPr>
            <w:tcW w:type="dxa" w:w="855"/>
          </w:tcPr>
          <w:p>
            <w:pPr>
              <w:spacing w:after="0"/>
            </w:pPr>
            <w:r/>
            <w:r>
              <w:rPr>
                <w:sz w:val="13"/>
              </w:rPr>
              <w:t>public</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/api/v1/auth/logout</w:t>
            </w:r>
          </w:p>
        </w:tc>
        <w:tc>
          <w:tcPr>
            <w:tcW w:type="dxa" w:w="4561"/>
          </w:tcPr>
          <w:p>
            <w:pPr>
              <w:spacing w:after="0"/>
            </w:pPr>
            <w:r/>
            <w:r>
              <w:rPr>
                <w:sz w:val="13"/>
              </w:rPr>
              <w:t>Revoke the current token</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/api/v1/auth/me</w:t>
            </w:r>
          </w:p>
        </w:tc>
        <w:tc>
          <w:tcPr>
            <w:tcW w:type="dxa" w:w="4561"/>
          </w:tcPr>
          <w:p>
            <w:pPr>
              <w:spacing w:after="0"/>
            </w:pPr>
            <w:r/>
            <w:r>
              <w:rPr>
                <w:sz w:val="13"/>
              </w:rPr>
              <w:t>Current user profile (+ linked employee)</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PUT</w:t>
            </w:r>
          </w:p>
        </w:tc>
        <w:tc>
          <w:tcPr>
            <w:tcW w:type="dxa" w:w="4276"/>
          </w:tcPr>
          <w:p>
            <w:pPr>
              <w:spacing w:after="0"/>
            </w:pPr>
            <w:r/>
            <w:r>
              <w:rPr>
                <w:sz w:val="13"/>
              </w:rPr>
              <w:t>/api/v1/auth/me</w:t>
            </w:r>
          </w:p>
        </w:tc>
        <w:tc>
          <w:tcPr>
            <w:tcW w:type="dxa" w:w="4561"/>
          </w:tcPr>
          <w:p>
            <w:pPr>
              <w:spacing w:after="0"/>
            </w:pPr>
            <w:r/>
            <w:r>
              <w:rPr>
                <w:sz w:val="13"/>
              </w:rPr>
              <w:t>Update own profile (name/email/password)</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/api/v1/auth/register</w:t>
            </w:r>
          </w:p>
        </w:tc>
        <w:tc>
          <w:tcPr>
            <w:tcW w:type="dxa" w:w="4561"/>
          </w:tcPr>
          <w:p>
            <w:pPr>
              <w:spacing w:after="0"/>
            </w:pPr>
            <w:r/>
            <w:r>
              <w:rPr>
                <w:sz w:val="13"/>
              </w:rPr>
              <w:t>Self-service storefront signup (buyer + linked customer)</w:t>
            </w:r>
          </w:p>
        </w:tc>
        <w:tc>
          <w:tcPr>
            <w:tcW w:type="dxa" w:w="855"/>
          </w:tcPr>
          <w:p>
            <w:pPr>
              <w:spacing w:after="0"/>
            </w:pPr>
            <w:r/>
            <w:r>
              <w:rPr>
                <w:sz w:val="13"/>
              </w:rPr>
              <w:t>public</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/api/v1/auth/reset-password</w:t>
            </w:r>
          </w:p>
        </w:tc>
        <w:tc>
          <w:tcPr>
            <w:tcW w:type="dxa" w:w="4561"/>
          </w:tcPr>
          <w:p>
            <w:pPr>
              <w:spacing w:after="0"/>
            </w:pPr>
            <w:r/>
            <w:r>
              <w:rPr>
                <w:sz w:val="13"/>
              </w:rPr>
              <w:t>Consume a reset token and set a new password</w:t>
            </w:r>
          </w:p>
        </w:tc>
        <w:tc>
          <w:tcPr>
            <w:tcW w:type="dxa" w:w="855"/>
          </w:tcPr>
          <w:p>
            <w:pPr>
              <w:spacing w:after="0"/>
            </w:pPr>
            <w:r/>
            <w:r>
              <w:rPr>
                <w:sz w:val="13"/>
              </w:rPr>
              <w:t>public</w:t>
            </w:r>
          </w:p>
        </w:tc>
        <w:tc>
          <w:tcPr>
            <w:tcW w:type="dxa" w:w="3492"/>
          </w:tcPr>
          <w:p>
            <w:pPr>
              <w:spacing w:after="0"/>
            </w:pPr>
            <w:r/>
            <w:r>
              <w:rPr>
                <w:sz w:val="13"/>
              </w:rPr>
              <w:t>none (auth only)</w:t>
            </w:r>
          </w:p>
        </w:tc>
      </w:tr>
    </w:tbl>
    <w:p>
      <w:bookmarkStart w:id="1234" w:name="_Toc1234"/>
      <w:pPr>
        <w:pStyle w:val="Heading3"/>
      </w:pPr>
      <w:r>
        <w:t>cart — 6 operations</w:t>
      </w:r>
      <w:bookmarkEnd w:id="1234"/>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DELETE</w:t>
            </w:r>
          </w:p>
        </w:tc>
        <w:tc>
          <w:tcPr>
            <w:tcW w:type="dxa" w:w="4276"/>
          </w:tcPr>
          <w:p>
            <w:pPr>
              <w:spacing w:after="0"/>
            </w:pPr>
            <w:r/>
            <w:r>
              <w:rPr>
                <w:sz w:val="13"/>
              </w:rPr>
              <w:t>/api/v1/cart</w:t>
            </w:r>
          </w:p>
        </w:tc>
        <w:tc>
          <w:tcPr>
            <w:tcW w:type="dxa" w:w="4561"/>
          </w:tcPr>
          <w:p>
            <w:pPr>
              <w:spacing w:after="0"/>
            </w:pPr>
            <w:r/>
            <w:r>
              <w:rPr>
                <w:sz w:val="13"/>
              </w:rPr>
              <w:t>Clear the current user's cart</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/api/v1/cart</w:t>
            </w:r>
          </w:p>
        </w:tc>
        <w:tc>
          <w:tcPr>
            <w:tcW w:type="dxa" w:w="4561"/>
          </w:tcPr>
          <w:p>
            <w:pPr>
              <w:spacing w:after="0"/>
            </w:pPr>
            <w:r/>
            <w:r>
              <w:rPr>
                <w:sz w:val="13"/>
              </w:rPr>
              <w:t>Get the current user's cart</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/api/v1/cart/checkout</w:t>
            </w:r>
          </w:p>
        </w:tc>
        <w:tc>
          <w:tcPr>
            <w:tcW w:type="dxa" w:w="4561"/>
          </w:tcPr>
          <w:p>
            <w:pPr>
              <w:spacing w:after="0"/>
            </w:pPr>
            <w:r/>
            <w:r>
              <w:rPr>
                <w:sz w:val="13"/>
              </w:rPr>
              <w:t>Convert the cart into a confirmed e-commerce sales order (reserves stock)</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/api/v1/cart/items</w:t>
            </w:r>
          </w:p>
        </w:tc>
        <w:tc>
          <w:tcPr>
            <w:tcW w:type="dxa" w:w="4561"/>
          </w:tcPr>
          <w:p>
            <w:pPr>
              <w:spacing w:after="0"/>
            </w:pPr>
            <w:r/>
            <w:r>
              <w:rPr>
                <w:sz w:val="13"/>
              </w:rPr>
              <w:t>Add a product to the cart by SKU</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DELETE</w:t>
            </w:r>
          </w:p>
        </w:tc>
        <w:tc>
          <w:tcPr>
            <w:tcW w:type="dxa" w:w="4276"/>
          </w:tcPr>
          <w:p>
            <w:pPr>
              <w:spacing w:after="0"/>
            </w:pPr>
            <w:r/>
            <w:r>
              <w:rPr>
                <w:sz w:val="13"/>
              </w:rPr>
              <w:t>/api/v1/cart/items/{id}</w:t>
            </w:r>
          </w:p>
        </w:tc>
        <w:tc>
          <w:tcPr>
            <w:tcW w:type="dxa" w:w="4561"/>
          </w:tcPr>
          <w:p>
            <w:pPr>
              <w:spacing w:after="0"/>
            </w:pPr>
            <w:r/>
            <w:r>
              <w:rPr>
                <w:sz w:val="13"/>
              </w:rPr>
              <w:t>Remove a product from the cart</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PATCH</w:t>
            </w:r>
          </w:p>
        </w:tc>
        <w:tc>
          <w:tcPr>
            <w:tcW w:type="dxa" w:w="4276"/>
          </w:tcPr>
          <w:p>
            <w:pPr>
              <w:spacing w:after="0"/>
            </w:pPr>
            <w:r/>
            <w:r>
              <w:rPr>
                <w:sz w:val="13"/>
              </w:rPr>
              <w:t>/api/v1/cart/items/{id}</w:t>
            </w:r>
          </w:p>
        </w:tc>
        <w:tc>
          <w:tcPr>
            <w:tcW w:type="dxa" w:w="4561"/>
          </w:tcPr>
          <w:p>
            <w:pPr>
              <w:spacing w:after="0"/>
            </w:pPr>
            <w:r/>
            <w:r>
              <w:rPr>
                <w:sz w:val="13"/>
              </w:rPr>
              <w:t>Update the quantity of a cart item</w:t>
            </w:r>
          </w:p>
        </w:tc>
        <w:tc>
          <w:tcPr>
            <w:tcW w:type="dxa" w:w="855"/>
          </w:tcPr>
          <w:p>
            <w:pPr>
              <w:spacing w:after="0"/>
            </w:pPr>
            <w:r/>
            <w:r>
              <w:rPr>
                <w:sz w:val="13"/>
              </w:rPr>
              <w:t>bearer</w:t>
            </w:r>
          </w:p>
        </w:tc>
        <w:tc>
          <w:tcPr>
            <w:tcW w:type="dxa" w:w="3492"/>
          </w:tcPr>
          <w:p>
            <w:pPr>
              <w:spacing w:after="0"/>
            </w:pPr>
            <w:r/>
            <w:r>
              <w:rPr>
                <w:sz w:val="13"/>
              </w:rPr>
              <w:t>none (auth only)</w:t>
            </w:r>
          </w:p>
        </w:tc>
      </w:tr>
    </w:tbl>
    <w:p>
      <w:bookmarkStart w:id="1235" w:name="_Toc1235"/>
      <w:pPr>
        <w:pStyle w:val="Heading3"/>
      </w:pPr>
      <w:r>
        <w:t>cashflows — 16 operations</w:t>
      </w:r>
      <w:bookmarkEnd w:id="1235"/>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/api/v1/accounts</w:t>
            </w:r>
          </w:p>
        </w:tc>
        <w:tc>
          <w:tcPr>
            <w:tcW w:type="dxa" w:w="4561"/>
          </w:tcPr>
          <w:p>
            <w:pPr>
              <w:spacing w:after="0"/>
            </w:pPr>
            <w:r/>
            <w:r>
              <w:rPr>
                <w:sz w:val="13"/>
              </w:rPr>
              <w:t>List chart of accounts</w:t>
            </w:r>
          </w:p>
        </w:tc>
        <w:tc>
          <w:tcPr>
            <w:tcW w:type="dxa" w:w="855"/>
          </w:tcPr>
          <w:p>
            <w:pPr>
              <w:spacing w:after="0"/>
            </w:pPr>
            <w:r/>
            <w:r>
              <w:rPr>
                <w:sz w:val="13"/>
              </w:rPr>
              <w:t>bearer</w:t>
            </w:r>
          </w:p>
        </w:tc>
        <w:tc>
          <w:tcPr>
            <w:tcW w:type="dxa" w:w="3492"/>
          </w:tcPr>
          <w:p>
            <w:pPr>
              <w:spacing w:after="0"/>
            </w:pPr>
            <w:r/>
            <w:r>
              <w:rPr>
                <w:sz w:val="13"/>
              </w:rPr>
              <w:t>finance.accounts.view</w:t>
            </w:r>
          </w:p>
        </w:tc>
      </w:tr>
      <w:tr>
        <w:trPr>
          <w:cantSplit/>
        </w:trPr>
        <w:tc>
          <w:tcPr>
            <w:tcW w:type="dxa" w:w="927"/>
          </w:tcPr>
          <w:p>
            <w:pPr>
              <w:spacing w:after="0"/>
            </w:pPr>
            <w:r/>
            <w:r>
              <w:rPr>
                <w:sz w:val="13"/>
              </w:rPr>
              <w:t>GET</w:t>
            </w:r>
          </w:p>
        </w:tc>
        <w:tc>
          <w:tcPr>
            <w:tcW w:type="dxa" w:w="4276"/>
          </w:tcPr>
          <w:p>
            <w:pPr>
              <w:spacing w:after="0"/>
            </w:pPr>
            <w:r/>
            <w:r>
              <w:rPr>
                <w:sz w:val="13"/>
              </w:rPr>
              <w:t>/api/v1/cash-accounts</w:t>
            </w:r>
          </w:p>
        </w:tc>
        <w:tc>
          <w:tcPr>
            <w:tcW w:type="dxa" w:w="4561"/>
          </w:tcPr>
          <w:p>
            <w:pPr>
              <w:spacing w:after="0"/>
            </w:pPr>
            <w:r/>
            <w:r>
              <w:rPr>
                <w:sz w:val="13"/>
              </w:rPr>
              <w:t>List cash accounts</w:t>
            </w:r>
          </w:p>
        </w:tc>
        <w:tc>
          <w:tcPr>
            <w:tcW w:type="dxa" w:w="855"/>
          </w:tcPr>
          <w:p>
            <w:pPr>
              <w:spacing w:after="0"/>
            </w:pPr>
            <w:r/>
            <w:r>
              <w:rPr>
                <w:sz w:val="13"/>
              </w:rPr>
              <w:t>bearer</w:t>
            </w:r>
          </w:p>
        </w:tc>
        <w:tc>
          <w:tcPr>
            <w:tcW w:type="dxa" w:w="3492"/>
          </w:tcPr>
          <w:p>
            <w:pPr>
              <w:spacing w:after="0"/>
            </w:pPr>
            <w:r/>
            <w:r>
              <w:rPr>
                <w:sz w:val="13"/>
              </w:rPr>
              <w:t>finance.cash-accounts.view</w:t>
            </w:r>
          </w:p>
        </w:tc>
      </w:tr>
      <w:tr>
        <w:trPr>
          <w:cantSplit/>
        </w:trPr>
        <w:tc>
          <w:tcPr>
            <w:tcW w:type="dxa" w:w="927"/>
          </w:tcPr>
          <w:p>
            <w:pPr>
              <w:spacing w:after="0"/>
            </w:pPr>
            <w:r/>
            <w:r>
              <w:rPr>
                <w:sz w:val="13"/>
              </w:rPr>
              <w:t>POST</w:t>
            </w:r>
          </w:p>
        </w:tc>
        <w:tc>
          <w:tcPr>
            <w:tcW w:type="dxa" w:w="4276"/>
          </w:tcPr>
          <w:p>
            <w:pPr>
              <w:spacing w:after="0"/>
            </w:pPr>
            <w:r/>
            <w:r>
              <w:rPr>
                <w:sz w:val="13"/>
              </w:rPr>
              <w:t>/api/v1/cash-accounts</w:t>
            </w:r>
          </w:p>
        </w:tc>
        <w:tc>
          <w:tcPr>
            <w:tcW w:type="dxa" w:w="4561"/>
          </w:tcPr>
          <w:p>
            <w:pPr>
              <w:spacing w:after="0"/>
            </w:pPr>
            <w:r/>
            <w:r>
              <w:rPr>
                <w:sz w:val="13"/>
              </w:rPr>
              <w:t>Create cash account</w:t>
            </w:r>
          </w:p>
        </w:tc>
        <w:tc>
          <w:tcPr>
            <w:tcW w:type="dxa" w:w="855"/>
          </w:tcPr>
          <w:p>
            <w:pPr>
              <w:spacing w:after="0"/>
            </w:pPr>
            <w:r/>
            <w:r>
              <w:rPr>
                <w:sz w:val="13"/>
              </w:rPr>
              <w:t>bearer</w:t>
            </w:r>
          </w:p>
        </w:tc>
        <w:tc>
          <w:tcPr>
            <w:tcW w:type="dxa" w:w="3492"/>
          </w:tcPr>
          <w:p>
            <w:pPr>
              <w:spacing w:after="0"/>
            </w:pPr>
            <w:r/>
            <w:r>
              <w:rPr>
                <w:sz w:val="13"/>
              </w:rPr>
              <w:t>finance.cash-accounts.create</w:t>
            </w:r>
          </w:p>
        </w:tc>
      </w:tr>
      <w:tr>
        <w:trPr>
          <w:cantSplit/>
        </w:trPr>
        <w:tc>
          <w:tcPr>
            <w:tcW w:type="dxa" w:w="927"/>
          </w:tcPr>
          <w:p>
            <w:pPr>
              <w:spacing w:after="0"/>
            </w:pPr>
            <w:r/>
            <w:r>
              <w:rPr>
                <w:sz w:val="13"/>
              </w:rPr>
              <w:t>GET</w:t>
            </w:r>
          </w:p>
        </w:tc>
        <w:tc>
          <w:tcPr>
            <w:tcW w:type="dxa" w:w="4276"/>
          </w:tcPr>
          <w:p>
            <w:pPr>
              <w:spacing w:after="0"/>
            </w:pPr>
            <w:r/>
            <w:r>
              <w:rPr>
                <w:sz w:val="13"/>
              </w:rPr>
              <w:t>/api/v1/cashflow-balances</w:t>
            </w:r>
          </w:p>
        </w:tc>
        <w:tc>
          <w:tcPr>
            <w:tcW w:type="dxa" w:w="4561"/>
          </w:tcPr>
          <w:p>
            <w:pPr>
              <w:spacing w:after="0"/>
            </w:pPr>
            <w:r/>
            <w:r>
              <w:rPr>
                <w:sz w:val="13"/>
              </w:rPr>
              <w:t>Cashflow balances</w:t>
            </w:r>
          </w:p>
        </w:tc>
        <w:tc>
          <w:tcPr>
            <w:tcW w:type="dxa" w:w="855"/>
          </w:tcPr>
          <w:p>
            <w:pPr>
              <w:spacing w:after="0"/>
            </w:pPr>
            <w:r/>
            <w:r>
              <w:rPr>
                <w:sz w:val="13"/>
              </w:rPr>
              <w:t>bearer</w:t>
            </w:r>
          </w:p>
        </w:tc>
        <w:tc>
          <w:tcPr>
            <w:tcW w:type="dxa" w:w="3492"/>
          </w:tcPr>
          <w:p>
            <w:pPr>
              <w:spacing w:after="0"/>
            </w:pPr>
            <w:r/>
            <w:r>
              <w:rPr>
                <w:sz w:val="13"/>
              </w:rPr>
              <w:t>finance.cashflows.view</w:t>
            </w:r>
          </w:p>
        </w:tc>
      </w:tr>
      <w:tr>
        <w:trPr>
          <w:cantSplit/>
        </w:trPr>
        <w:tc>
          <w:tcPr>
            <w:tcW w:type="dxa" w:w="927"/>
          </w:tcPr>
          <w:p>
            <w:pPr>
              <w:spacing w:after="0"/>
            </w:pPr>
            <w:r/>
            <w:r>
              <w:rPr>
                <w:sz w:val="13"/>
              </w:rPr>
              <w:t>GET</w:t>
            </w:r>
          </w:p>
        </w:tc>
        <w:tc>
          <w:tcPr>
            <w:tcW w:type="dxa" w:w="4276"/>
          </w:tcPr>
          <w:p>
            <w:pPr>
              <w:spacing w:after="0"/>
            </w:pPr>
            <w:r/>
            <w:r>
              <w:rPr>
                <w:sz w:val="13"/>
              </w:rPr>
              <w:t>/api/v1/cashflow-balances/accounts</w:t>
            </w:r>
          </w:p>
        </w:tc>
        <w:tc>
          <w:tcPr>
            <w:tcW w:type="dxa" w:w="4561"/>
          </w:tcPr>
          <w:p>
            <w:pPr>
              <w:spacing w:after="0"/>
            </w:pPr>
            <w:r/>
            <w:r>
              <w:rPr>
                <w:sz w:val="13"/>
              </w:rPr>
              <w:t>Per-COA-account all-time debit/credit balances (journal lines)</w:t>
            </w:r>
          </w:p>
        </w:tc>
        <w:tc>
          <w:tcPr>
            <w:tcW w:type="dxa" w:w="855"/>
          </w:tcPr>
          <w:p>
            <w:pPr>
              <w:spacing w:after="0"/>
            </w:pPr>
            <w:r/>
            <w:r>
              <w:rPr>
                <w:sz w:val="13"/>
              </w:rPr>
              <w:t>bearer</w:t>
            </w:r>
          </w:p>
        </w:tc>
        <w:tc>
          <w:tcPr>
            <w:tcW w:type="dxa" w:w="3492"/>
          </w:tcPr>
          <w:p>
            <w:pPr>
              <w:spacing w:after="0"/>
            </w:pPr>
            <w:r/>
            <w:r>
              <w:rPr>
                <w:sz w:val="13"/>
              </w:rPr>
              <w:t>finance.cashflows.view</w:t>
            </w:r>
          </w:p>
        </w:tc>
      </w:tr>
      <w:tr>
        <w:trPr>
          <w:cantSplit/>
        </w:trPr>
        <w:tc>
          <w:tcPr>
            <w:tcW w:type="dxa" w:w="927"/>
          </w:tcPr>
          <w:p>
            <w:pPr>
              <w:spacing w:after="0"/>
            </w:pPr>
            <w:r/>
            <w:r>
              <w:rPr>
                <w:sz w:val="13"/>
              </w:rPr>
              <w:t>GET</w:t>
            </w:r>
          </w:p>
        </w:tc>
        <w:tc>
          <w:tcPr>
            <w:tcW w:type="dxa" w:w="4276"/>
          </w:tcPr>
          <w:p>
            <w:pPr>
              <w:spacing w:after="0"/>
            </w:pPr>
            <w:r/>
            <w:r>
              <w:rPr>
                <w:sz w:val="13"/>
              </w:rPr>
              <w:t>/api/v1/cashflows</w:t>
            </w:r>
          </w:p>
        </w:tc>
        <w:tc>
          <w:tcPr>
            <w:tcW w:type="dxa" w:w="4561"/>
          </w:tcPr>
          <w:p>
            <w:pPr>
              <w:spacing w:after="0"/>
            </w:pPr>
            <w:r/>
            <w:r>
              <w:rPr>
                <w:sz w:val="13"/>
              </w:rPr>
              <w:t>List cashflows</w:t>
            </w:r>
          </w:p>
        </w:tc>
        <w:tc>
          <w:tcPr>
            <w:tcW w:type="dxa" w:w="855"/>
          </w:tcPr>
          <w:p>
            <w:pPr>
              <w:spacing w:after="0"/>
            </w:pPr>
            <w:r/>
            <w:r>
              <w:rPr>
                <w:sz w:val="13"/>
              </w:rPr>
              <w:t>bearer</w:t>
            </w:r>
          </w:p>
        </w:tc>
        <w:tc>
          <w:tcPr>
            <w:tcW w:type="dxa" w:w="3492"/>
          </w:tcPr>
          <w:p>
            <w:pPr>
              <w:spacing w:after="0"/>
            </w:pPr>
            <w:r/>
            <w:r>
              <w:rPr>
                <w:sz w:val="13"/>
              </w:rPr>
              <w:t>finance.cashflows.view</w:t>
            </w:r>
          </w:p>
        </w:tc>
      </w:tr>
      <w:tr>
        <w:trPr>
          <w:cantSplit/>
        </w:trPr>
        <w:tc>
          <w:tcPr>
            <w:tcW w:type="dxa" w:w="927"/>
          </w:tcPr>
          <w:p>
            <w:pPr>
              <w:spacing w:after="0"/>
            </w:pPr>
            <w:r/>
            <w:r>
              <w:rPr>
                <w:sz w:val="13"/>
              </w:rPr>
              <w:t>POST</w:t>
            </w:r>
          </w:p>
        </w:tc>
        <w:tc>
          <w:tcPr>
            <w:tcW w:type="dxa" w:w="4276"/>
          </w:tcPr>
          <w:p>
            <w:pPr>
              <w:spacing w:after="0"/>
            </w:pPr>
            <w:r/>
            <w:r>
              <w:rPr>
                <w:sz w:val="13"/>
              </w:rPr>
              <w:t>/api/v1/cashflows</w:t>
            </w:r>
          </w:p>
        </w:tc>
        <w:tc>
          <w:tcPr>
            <w:tcW w:type="dxa" w:w="4561"/>
          </w:tcPr>
          <w:p>
            <w:pPr>
              <w:spacing w:after="0"/>
            </w:pPr>
            <w:r/>
            <w:r>
              <w:rPr>
                <w:sz w:val="13"/>
              </w:rPr>
              <w:t>Create a manual cashflow entry</w:t>
            </w:r>
          </w:p>
        </w:tc>
        <w:tc>
          <w:tcPr>
            <w:tcW w:type="dxa" w:w="855"/>
          </w:tcPr>
          <w:p>
            <w:pPr>
              <w:spacing w:after="0"/>
            </w:pPr>
            <w:r/>
            <w:r>
              <w:rPr>
                <w:sz w:val="13"/>
              </w:rPr>
              <w:t>bearer</w:t>
            </w:r>
          </w:p>
        </w:tc>
        <w:tc>
          <w:tcPr>
            <w:tcW w:type="dxa" w:w="3492"/>
          </w:tcPr>
          <w:p>
            <w:pPr>
              <w:spacing w:after="0"/>
            </w:pPr>
            <w:r/>
            <w:r>
              <w:rPr>
                <w:sz w:val="13"/>
              </w:rPr>
              <w:t>finance.cashflows.create</w:t>
            </w:r>
          </w:p>
        </w:tc>
      </w:tr>
      <w:tr>
        <w:trPr>
          <w:cantSplit/>
        </w:trPr>
        <w:tc>
          <w:tcPr>
            <w:tcW w:type="dxa" w:w="927"/>
          </w:tcPr>
          <w:p>
            <w:pPr>
              <w:spacing w:after="0"/>
            </w:pPr>
            <w:r/>
            <w:r>
              <w:rPr>
                <w:sz w:val="13"/>
              </w:rPr>
              <w:t>DELETE</w:t>
            </w:r>
          </w:p>
        </w:tc>
        <w:tc>
          <w:tcPr>
            <w:tcW w:type="dxa" w:w="4276"/>
          </w:tcPr>
          <w:p>
            <w:pPr>
              <w:spacing w:after="0"/>
            </w:pPr>
            <w:r/>
            <w:r>
              <w:rPr>
                <w:sz w:val="13"/>
              </w:rPr>
              <w:t>/api/v1/cashflows/{id}</w:t>
            </w:r>
          </w:p>
        </w:tc>
        <w:tc>
          <w:tcPr>
            <w:tcW w:type="dxa" w:w="4561"/>
          </w:tcPr>
          <w:p>
            <w:pPr>
              <w:spacing w:after="0"/>
            </w:pPr>
            <w:r/>
            <w:r>
              <w:rPr>
                <w:sz w:val="13"/>
              </w:rPr>
              <w:t>Delete a cashflow entry</w:t>
            </w:r>
          </w:p>
        </w:tc>
        <w:tc>
          <w:tcPr>
            <w:tcW w:type="dxa" w:w="855"/>
          </w:tcPr>
          <w:p>
            <w:pPr>
              <w:spacing w:after="0"/>
            </w:pPr>
            <w:r/>
            <w:r>
              <w:rPr>
                <w:sz w:val="13"/>
              </w:rPr>
              <w:t>bearer</w:t>
            </w:r>
          </w:p>
        </w:tc>
        <w:tc>
          <w:tcPr>
            <w:tcW w:type="dxa" w:w="3492"/>
          </w:tcPr>
          <w:p>
            <w:pPr>
              <w:spacing w:after="0"/>
            </w:pPr>
            <w:r/>
            <w:r>
              <w:rPr>
                <w:sz w:val="13"/>
              </w:rPr>
              <w:t>finance.cashflows.delete</w:t>
            </w:r>
          </w:p>
        </w:tc>
      </w:tr>
      <w:tr>
        <w:trPr>
          <w:cantSplit/>
        </w:trPr>
        <w:tc>
          <w:tcPr>
            <w:tcW w:type="dxa" w:w="927"/>
          </w:tcPr>
          <w:p>
            <w:pPr>
              <w:spacing w:after="0"/>
            </w:pPr>
            <w:r/>
            <w:r>
              <w:rPr>
                <w:sz w:val="13"/>
              </w:rPr>
              <w:t>GET</w:t>
            </w:r>
          </w:p>
        </w:tc>
        <w:tc>
          <w:tcPr>
            <w:tcW w:type="dxa" w:w="4276"/>
          </w:tcPr>
          <w:p>
            <w:pPr>
              <w:spacing w:after="0"/>
            </w:pPr>
            <w:r/>
            <w:r>
              <w:rPr>
                <w:sz w:val="13"/>
              </w:rPr>
              <w:t>/api/v1/cashflows/{id}</w:t>
            </w:r>
          </w:p>
        </w:tc>
        <w:tc>
          <w:tcPr>
            <w:tcW w:type="dxa" w:w="4561"/>
          </w:tcPr>
          <w:p>
            <w:pPr>
              <w:spacing w:after="0"/>
            </w:pPr>
            <w:r/>
            <w:r>
              <w:rPr>
                <w:sz w:val="13"/>
              </w:rPr>
              <w:t>Get a cashflow entry</w:t>
            </w:r>
          </w:p>
        </w:tc>
        <w:tc>
          <w:tcPr>
            <w:tcW w:type="dxa" w:w="855"/>
          </w:tcPr>
          <w:p>
            <w:pPr>
              <w:spacing w:after="0"/>
            </w:pPr>
            <w:r/>
            <w:r>
              <w:rPr>
                <w:sz w:val="13"/>
              </w:rPr>
              <w:t>bearer</w:t>
            </w:r>
          </w:p>
        </w:tc>
        <w:tc>
          <w:tcPr>
            <w:tcW w:type="dxa" w:w="3492"/>
          </w:tcPr>
          <w:p>
            <w:pPr>
              <w:spacing w:after="0"/>
            </w:pPr>
            <w:r/>
            <w:r>
              <w:rPr>
                <w:sz w:val="13"/>
              </w:rPr>
              <w:t>finance.cashflows.view</w:t>
            </w:r>
          </w:p>
        </w:tc>
      </w:tr>
      <w:tr>
        <w:trPr>
          <w:cantSplit/>
        </w:trPr>
        <w:tc>
          <w:tcPr>
            <w:tcW w:type="dxa" w:w="927"/>
          </w:tcPr>
          <w:p>
            <w:pPr>
              <w:spacing w:after="0"/>
            </w:pPr>
            <w:r/>
            <w:r>
              <w:rPr>
                <w:sz w:val="13"/>
              </w:rPr>
              <w:t>PUT</w:t>
            </w:r>
          </w:p>
        </w:tc>
        <w:tc>
          <w:tcPr>
            <w:tcW w:type="dxa" w:w="4276"/>
          </w:tcPr>
          <w:p>
            <w:pPr>
              <w:spacing w:after="0"/>
            </w:pPr>
            <w:r/>
            <w:r>
              <w:rPr>
                <w:sz w:val="13"/>
              </w:rPr>
              <w:t>/api/v1/cashflows/{id}</w:t>
            </w:r>
          </w:p>
        </w:tc>
        <w:tc>
          <w:tcPr>
            <w:tcW w:type="dxa" w:w="4561"/>
          </w:tcPr>
          <w:p>
            <w:pPr>
              <w:spacing w:after="0"/>
            </w:pPr>
            <w:r/>
            <w:r>
              <w:rPr>
                <w:sz w:val="13"/>
              </w:rPr>
              <w:t>Update a cashflow entry</w:t>
            </w:r>
          </w:p>
        </w:tc>
        <w:tc>
          <w:tcPr>
            <w:tcW w:type="dxa" w:w="855"/>
          </w:tcPr>
          <w:p>
            <w:pPr>
              <w:spacing w:after="0"/>
            </w:pPr>
            <w:r/>
            <w:r>
              <w:rPr>
                <w:sz w:val="13"/>
              </w:rPr>
              <w:t>bearer</w:t>
            </w:r>
          </w:p>
        </w:tc>
        <w:tc>
          <w:tcPr>
            <w:tcW w:type="dxa" w:w="3492"/>
          </w:tcPr>
          <w:p>
            <w:pPr>
              <w:spacing w:after="0"/>
            </w:pPr>
            <w:r/>
            <w:r>
              <w:rPr>
                <w:sz w:val="13"/>
              </w:rPr>
              <w:t>finance.cashflows.update</w:t>
            </w:r>
          </w:p>
        </w:tc>
      </w:tr>
      <w:tr>
        <w:trPr>
          <w:cantSplit/>
        </w:trPr>
        <w:tc>
          <w:tcPr>
            <w:tcW w:type="dxa" w:w="927"/>
          </w:tcPr>
          <w:p>
            <w:pPr>
              <w:spacing w:after="0"/>
            </w:pPr>
            <w:r/>
            <w:r>
              <w:rPr>
                <w:sz w:val="13"/>
              </w:rPr>
              <w:t>POST</w:t>
            </w:r>
          </w:p>
        </w:tc>
        <w:tc>
          <w:tcPr>
            <w:tcW w:type="dxa" w:w="4276"/>
          </w:tcPr>
          <w:p>
            <w:pPr>
              <w:spacing w:after="0"/>
            </w:pPr>
            <w:r/>
            <w:r>
              <w:rPr>
                <w:sz w:val="13"/>
              </w:rPr>
              <w:t>/api/v1/cashflows/{id}/reverse</w:t>
            </w:r>
          </w:p>
        </w:tc>
        <w:tc>
          <w:tcPr>
            <w:tcW w:type="dxa" w:w="4561"/>
          </w:tcPr>
          <w:p>
            <w:pPr>
              <w:spacing w:after="0"/>
            </w:pPr>
            <w:r/>
            <w:r>
              <w:rPr>
                <w:sz w:val="13"/>
              </w:rPr>
              <w:t>Reverse a generated cashflow</w:t>
            </w:r>
          </w:p>
        </w:tc>
        <w:tc>
          <w:tcPr>
            <w:tcW w:type="dxa" w:w="855"/>
          </w:tcPr>
          <w:p>
            <w:pPr>
              <w:spacing w:after="0"/>
            </w:pPr>
            <w:r/>
            <w:r>
              <w:rPr>
                <w:sz w:val="13"/>
              </w:rPr>
              <w:t>bearer</w:t>
            </w:r>
          </w:p>
        </w:tc>
        <w:tc>
          <w:tcPr>
            <w:tcW w:type="dxa" w:w="3492"/>
          </w:tcPr>
          <w:p>
            <w:pPr>
              <w:spacing w:after="0"/>
            </w:pPr>
            <w:r/>
            <w:r>
              <w:rPr>
                <w:sz w:val="13"/>
              </w:rPr>
              <w:t>finance.cashflows.update</w:t>
            </w:r>
          </w:p>
        </w:tc>
      </w:tr>
      <w:tr>
        <w:trPr>
          <w:cantSplit/>
        </w:trPr>
        <w:tc>
          <w:tcPr>
            <w:tcW w:type="dxa" w:w="927"/>
          </w:tcPr>
          <w:p>
            <w:pPr>
              <w:spacing w:after="0"/>
            </w:pPr>
            <w:r/>
            <w:r>
              <w:rPr>
                <w:sz w:val="13"/>
              </w:rPr>
              <w:t>GET</w:t>
            </w:r>
          </w:p>
        </w:tc>
        <w:tc>
          <w:tcPr>
            <w:tcW w:type="dxa" w:w="4276"/>
          </w:tcPr>
          <w:p>
            <w:pPr>
              <w:spacing w:after="0"/>
            </w:pPr>
            <w:r/>
            <w:r>
              <w:rPr>
                <w:sz w:val="13"/>
              </w:rPr>
              <w:t>/api/v1/payment-vouchers</w:t>
            </w:r>
          </w:p>
        </w:tc>
        <w:tc>
          <w:tcPr>
            <w:tcW w:type="dxa" w:w="4561"/>
          </w:tcPr>
          <w:p>
            <w:pPr>
              <w:spacing w:after="0"/>
            </w:pPr>
            <w:r/>
            <w:r>
              <w:rPr>
                <w:sz w:val="13"/>
              </w:rPr>
              <w:t>List payment vouchers</w:t>
            </w:r>
          </w:p>
        </w:tc>
        <w:tc>
          <w:tcPr>
            <w:tcW w:type="dxa" w:w="855"/>
          </w:tcPr>
          <w:p>
            <w:pPr>
              <w:spacing w:after="0"/>
            </w:pPr>
            <w:r/>
            <w:r>
              <w:rPr>
                <w:sz w:val="13"/>
              </w:rPr>
              <w:t>bearer</w:t>
            </w:r>
          </w:p>
        </w:tc>
        <w:tc>
          <w:tcPr>
            <w:tcW w:type="dxa" w:w="3492"/>
          </w:tcPr>
          <w:p>
            <w:pPr>
              <w:spacing w:after="0"/>
            </w:pPr>
            <w:r/>
            <w:r>
              <w:rPr>
                <w:sz w:val="13"/>
              </w:rPr>
              <w:t>finance.payment-vouchers.view</w:t>
            </w:r>
          </w:p>
        </w:tc>
      </w:tr>
      <w:tr>
        <w:trPr>
          <w:cantSplit/>
        </w:trPr>
        <w:tc>
          <w:tcPr>
            <w:tcW w:type="dxa" w:w="927"/>
          </w:tcPr>
          <w:p>
            <w:pPr>
              <w:spacing w:after="0"/>
            </w:pPr>
            <w:r/>
            <w:r>
              <w:rPr>
                <w:sz w:val="13"/>
              </w:rPr>
              <w:t>POST</w:t>
            </w:r>
          </w:p>
        </w:tc>
        <w:tc>
          <w:tcPr>
            <w:tcW w:type="dxa" w:w="4276"/>
          </w:tcPr>
          <w:p>
            <w:pPr>
              <w:spacing w:after="0"/>
            </w:pPr>
            <w:r/>
            <w:r>
              <w:rPr>
                <w:sz w:val="13"/>
              </w:rPr>
              <w:t>/api/v1/payment-vouchers</w:t>
            </w:r>
          </w:p>
        </w:tc>
        <w:tc>
          <w:tcPr>
            <w:tcW w:type="dxa" w:w="4561"/>
          </w:tcPr>
          <w:p>
            <w:pPr>
              <w:spacing w:after="0"/>
            </w:pPr>
            <w:r/>
            <w:r>
              <w:rPr>
                <w:sz w:val="13"/>
              </w:rPr>
              <w:t>Create payment voucher</w:t>
            </w:r>
          </w:p>
        </w:tc>
        <w:tc>
          <w:tcPr>
            <w:tcW w:type="dxa" w:w="855"/>
          </w:tcPr>
          <w:p>
            <w:pPr>
              <w:spacing w:after="0"/>
            </w:pPr>
            <w:r/>
            <w:r>
              <w:rPr>
                <w:sz w:val="13"/>
              </w:rPr>
              <w:t>bearer</w:t>
            </w:r>
          </w:p>
        </w:tc>
        <w:tc>
          <w:tcPr>
            <w:tcW w:type="dxa" w:w="3492"/>
          </w:tcPr>
          <w:p>
            <w:pPr>
              <w:spacing w:after="0"/>
            </w:pPr>
            <w:r/>
            <w:r>
              <w:rPr>
                <w:sz w:val="13"/>
              </w:rPr>
              <w:t>finance.payment-vouchers.create</w:t>
            </w:r>
          </w:p>
        </w:tc>
      </w:tr>
      <w:tr>
        <w:trPr>
          <w:cantSplit/>
        </w:trPr>
        <w:tc>
          <w:tcPr>
            <w:tcW w:type="dxa" w:w="927"/>
          </w:tcPr>
          <w:p>
            <w:pPr>
              <w:spacing w:after="0"/>
            </w:pPr>
            <w:r/>
            <w:r>
              <w:rPr>
                <w:sz w:val="13"/>
              </w:rPr>
              <w:t>GET</w:t>
            </w:r>
          </w:p>
        </w:tc>
        <w:tc>
          <w:tcPr>
            <w:tcW w:type="dxa" w:w="4276"/>
          </w:tcPr>
          <w:p>
            <w:pPr>
              <w:spacing w:after="0"/>
            </w:pPr>
            <w:r/>
            <w:r>
              <w:rPr>
                <w:sz w:val="13"/>
              </w:rPr>
              <w:t>/api/v1/payment-vouchers/{id}</w:t>
            </w:r>
          </w:p>
        </w:tc>
        <w:tc>
          <w:tcPr>
            <w:tcW w:type="dxa" w:w="4561"/>
          </w:tcPr>
          <w:p>
            <w:pPr>
              <w:spacing w:after="0"/>
            </w:pPr>
            <w:r/>
            <w:r>
              <w:rPr>
                <w:sz w:val="13"/>
              </w:rPr>
              <w:t>Get payment voucher</w:t>
            </w:r>
          </w:p>
        </w:tc>
        <w:tc>
          <w:tcPr>
            <w:tcW w:type="dxa" w:w="855"/>
          </w:tcPr>
          <w:p>
            <w:pPr>
              <w:spacing w:after="0"/>
            </w:pPr>
            <w:r/>
            <w:r>
              <w:rPr>
                <w:sz w:val="13"/>
              </w:rPr>
              <w:t>bearer</w:t>
            </w:r>
          </w:p>
        </w:tc>
        <w:tc>
          <w:tcPr>
            <w:tcW w:type="dxa" w:w="3492"/>
          </w:tcPr>
          <w:p>
            <w:pPr>
              <w:spacing w:after="0"/>
            </w:pPr>
            <w:r/>
            <w:r>
              <w:rPr>
                <w:sz w:val="13"/>
              </w:rPr>
              <w:t>finance.payment-vouchers.view</w:t>
            </w:r>
          </w:p>
        </w:tc>
      </w:tr>
      <w:tr>
        <w:trPr>
          <w:cantSplit/>
        </w:trPr>
        <w:tc>
          <w:tcPr>
            <w:tcW w:type="dxa" w:w="927"/>
          </w:tcPr>
          <w:p>
            <w:pPr>
              <w:spacing w:after="0"/>
            </w:pPr>
            <w:r/>
            <w:r>
              <w:rPr>
                <w:sz w:val="13"/>
              </w:rPr>
              <w:t>POST</w:t>
            </w:r>
          </w:p>
        </w:tc>
        <w:tc>
          <w:tcPr>
            <w:tcW w:type="dxa" w:w="4276"/>
          </w:tcPr>
          <w:p>
            <w:pPr>
              <w:spacing w:after="0"/>
            </w:pPr>
            <w:r/>
            <w:r>
              <w:rPr>
                <w:sz w:val="13"/>
              </w:rPr>
              <w:t>/api/v1/payment-vouchers/{id}/post</w:t>
            </w:r>
          </w:p>
        </w:tc>
        <w:tc>
          <w:tcPr>
            <w:tcW w:type="dxa" w:w="4561"/>
          </w:tcPr>
          <w:p>
            <w:pPr>
              <w:spacing w:after="0"/>
            </w:pPr>
            <w:r/>
            <w:r>
              <w:rPr>
                <w:sz w:val="13"/>
              </w:rPr>
              <w:t>Post payment voucher</w:t>
            </w:r>
          </w:p>
        </w:tc>
        <w:tc>
          <w:tcPr>
            <w:tcW w:type="dxa" w:w="855"/>
          </w:tcPr>
          <w:p>
            <w:pPr>
              <w:spacing w:after="0"/>
            </w:pPr>
            <w:r/>
            <w:r>
              <w:rPr>
                <w:sz w:val="13"/>
              </w:rPr>
              <w:t>bearer</w:t>
            </w:r>
          </w:p>
        </w:tc>
        <w:tc>
          <w:tcPr>
            <w:tcW w:type="dxa" w:w="3492"/>
          </w:tcPr>
          <w:p>
            <w:pPr>
              <w:spacing w:after="0"/>
            </w:pPr>
            <w:r/>
            <w:r>
              <w:rPr>
                <w:sz w:val="13"/>
              </w:rPr>
              <w:t>finance.payment-vouchers.post</w:t>
            </w:r>
          </w:p>
        </w:tc>
      </w:tr>
      <w:tr>
        <w:trPr>
          <w:cantSplit/>
        </w:trPr>
        <w:tc>
          <w:tcPr>
            <w:tcW w:type="dxa" w:w="927"/>
          </w:tcPr>
          <w:p>
            <w:pPr>
              <w:spacing w:after="0"/>
            </w:pPr>
            <w:r/>
            <w:r>
              <w:rPr>
                <w:sz w:val="13"/>
              </w:rPr>
              <w:t>POST</w:t>
            </w:r>
          </w:p>
        </w:tc>
        <w:tc>
          <w:tcPr>
            <w:tcW w:type="dxa" w:w="4276"/>
          </w:tcPr>
          <w:p>
            <w:pPr>
              <w:spacing w:after="0"/>
            </w:pPr>
            <w:r/>
            <w:r>
              <w:rPr>
                <w:sz w:val="13"/>
              </w:rPr>
              <w:t>/api/v1/payment-vouchers/{id}/void</w:t>
            </w:r>
          </w:p>
        </w:tc>
        <w:tc>
          <w:tcPr>
            <w:tcW w:type="dxa" w:w="4561"/>
          </w:tcPr>
          <w:p>
            <w:pPr>
              <w:spacing w:after="0"/>
            </w:pPr>
            <w:r/>
            <w:r>
              <w:rPr>
                <w:sz w:val="13"/>
              </w:rPr>
              <w:t>Void payment voucher</w:t>
            </w:r>
          </w:p>
        </w:tc>
        <w:tc>
          <w:tcPr>
            <w:tcW w:type="dxa" w:w="855"/>
          </w:tcPr>
          <w:p>
            <w:pPr>
              <w:spacing w:after="0"/>
            </w:pPr>
            <w:r/>
            <w:r>
              <w:rPr>
                <w:sz w:val="13"/>
              </w:rPr>
              <w:t>bearer</w:t>
            </w:r>
          </w:p>
        </w:tc>
        <w:tc>
          <w:tcPr>
            <w:tcW w:type="dxa" w:w="3492"/>
          </w:tcPr>
          <w:p>
            <w:pPr>
              <w:spacing w:after="0"/>
            </w:pPr>
            <w:r/>
            <w:r>
              <w:rPr>
                <w:sz w:val="13"/>
              </w:rPr>
              <w:t>finance.payment-vouchers.void</w:t>
            </w:r>
          </w:p>
        </w:tc>
      </w:tr>
    </w:tbl>
    <w:p>
      <w:bookmarkStart w:id="1236" w:name="_Toc1236"/>
      <w:pPr>
        <w:pStyle w:val="Heading3"/>
      </w:pPr>
      <w:r>
        <w:t>cashier — 8 operations</w:t>
      </w:r>
      <w:bookmarkEnd w:id="1236"/>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/api/v1/cashier/shifts</w:t>
            </w:r>
          </w:p>
        </w:tc>
        <w:tc>
          <w:tcPr>
            <w:tcW w:type="dxa" w:w="4561"/>
          </w:tcPr>
          <w:p>
            <w:pPr>
              <w:spacing w:after="0"/>
            </w:pPr>
            <w:r/>
            <w:r>
              <w:rPr>
                <w:sz w:val="13"/>
              </w:rPr>
              <w:t>List cashier shifts</w:t>
            </w:r>
          </w:p>
        </w:tc>
        <w:tc>
          <w:tcPr>
            <w:tcW w:type="dxa" w:w="855"/>
          </w:tcPr>
          <w:p>
            <w:pPr>
              <w:spacing w:after="0"/>
            </w:pPr>
            <w:r/>
            <w:r>
              <w:rPr>
                <w:sz w:val="13"/>
              </w:rPr>
              <w:t>bearer</w:t>
            </w:r>
          </w:p>
        </w:tc>
        <w:tc>
          <w:tcPr>
            <w:tcW w:type="dxa" w:w="3492"/>
          </w:tcPr>
          <w:p>
            <w:pPr>
              <w:spacing w:after="0"/>
            </w:pPr>
            <w:r/>
            <w:r>
              <w:rPr>
                <w:sz w:val="13"/>
              </w:rPr>
              <w:t>cashier.shifts.view</w:t>
            </w:r>
          </w:p>
        </w:tc>
      </w:tr>
      <w:tr>
        <w:trPr>
          <w:cantSplit/>
        </w:trPr>
        <w:tc>
          <w:tcPr>
            <w:tcW w:type="dxa" w:w="927"/>
          </w:tcPr>
          <w:p>
            <w:pPr>
              <w:spacing w:after="0"/>
            </w:pPr>
            <w:r/>
            <w:r>
              <w:rPr>
                <w:sz w:val="13"/>
              </w:rPr>
              <w:t>POST</w:t>
            </w:r>
          </w:p>
        </w:tc>
        <w:tc>
          <w:tcPr>
            <w:tcW w:type="dxa" w:w="4276"/>
          </w:tcPr>
          <w:p>
            <w:pPr>
              <w:spacing w:after="0"/>
            </w:pPr>
            <w:r/>
            <w:r>
              <w:rPr>
                <w:sz w:val="13"/>
              </w:rPr>
              <w:t>/api/v1/cashier/shifts</w:t>
            </w:r>
          </w:p>
        </w:tc>
        <w:tc>
          <w:tcPr>
            <w:tcW w:type="dxa" w:w="4561"/>
          </w:tcPr>
          <w:p>
            <w:pPr>
              <w:spacing w:after="0"/>
            </w:pPr>
            <w:r/>
            <w:r>
              <w:rPr>
                <w:sz w:val="13"/>
              </w:rPr>
              <w:t>Open a cashier shift with opening cash</w:t>
            </w:r>
          </w:p>
        </w:tc>
        <w:tc>
          <w:tcPr>
            <w:tcW w:type="dxa" w:w="855"/>
          </w:tcPr>
          <w:p>
            <w:pPr>
              <w:spacing w:after="0"/>
            </w:pPr>
            <w:r/>
            <w:r>
              <w:rPr>
                <w:sz w:val="13"/>
              </w:rPr>
              <w:t>bearer</w:t>
            </w:r>
          </w:p>
        </w:tc>
        <w:tc>
          <w:tcPr>
            <w:tcW w:type="dxa" w:w="3492"/>
          </w:tcPr>
          <w:p>
            <w:pPr>
              <w:spacing w:after="0"/>
            </w:pPr>
            <w:r/>
            <w:r>
              <w:rPr>
                <w:sz w:val="13"/>
              </w:rPr>
              <w:t>cashier.shifts.open</w:t>
            </w:r>
          </w:p>
        </w:tc>
      </w:tr>
      <w:tr>
        <w:trPr>
          <w:cantSplit/>
        </w:trPr>
        <w:tc>
          <w:tcPr>
            <w:tcW w:type="dxa" w:w="927"/>
          </w:tcPr>
          <w:p>
            <w:pPr>
              <w:spacing w:after="0"/>
            </w:pPr>
            <w:r/>
            <w:r>
              <w:rPr>
                <w:sz w:val="13"/>
              </w:rPr>
              <w:t>GET</w:t>
            </w:r>
          </w:p>
        </w:tc>
        <w:tc>
          <w:tcPr>
            <w:tcW w:type="dxa" w:w="4276"/>
          </w:tcPr>
          <w:p>
            <w:pPr>
              <w:spacing w:after="0"/>
            </w:pPr>
            <w:r/>
            <w:r>
              <w:rPr>
                <w:sz w:val="13"/>
              </w:rPr>
              <w:t>/api/v1/cashier/shifts/current</w:t>
            </w:r>
          </w:p>
        </w:tc>
        <w:tc>
          <w:tcPr>
            <w:tcW w:type="dxa" w:w="4561"/>
          </w:tcPr>
          <w:p>
            <w:pPr>
              <w:spacing w:after="0"/>
            </w:pPr>
            <w:r/>
            <w:r>
              <w:rPr>
                <w:sz w:val="13"/>
              </w:rPr>
              <w:t>Get the authenticated cashier's open shift</w:t>
            </w:r>
          </w:p>
        </w:tc>
        <w:tc>
          <w:tcPr>
            <w:tcW w:type="dxa" w:w="855"/>
          </w:tcPr>
          <w:p>
            <w:pPr>
              <w:spacing w:after="0"/>
            </w:pPr>
            <w:r/>
            <w:r>
              <w:rPr>
                <w:sz w:val="13"/>
              </w:rPr>
              <w:t>bearer</w:t>
            </w:r>
          </w:p>
        </w:tc>
        <w:tc>
          <w:tcPr>
            <w:tcW w:type="dxa" w:w="3492"/>
          </w:tcPr>
          <w:p>
            <w:pPr>
              <w:spacing w:after="0"/>
            </w:pPr>
            <w:r/>
            <w:r>
              <w:rPr>
                <w:sz w:val="13"/>
              </w:rPr>
              <w:t>cashier.shifts.view</w:t>
            </w:r>
          </w:p>
        </w:tc>
      </w:tr>
      <w:tr>
        <w:trPr>
          <w:cantSplit/>
        </w:trPr>
        <w:tc>
          <w:tcPr>
            <w:tcW w:type="dxa" w:w="927"/>
          </w:tcPr>
          <w:p>
            <w:pPr>
              <w:spacing w:after="0"/>
            </w:pPr>
            <w:r/>
            <w:r>
              <w:rPr>
                <w:sz w:val="13"/>
              </w:rPr>
              <w:t>GET</w:t>
            </w:r>
          </w:p>
        </w:tc>
        <w:tc>
          <w:tcPr>
            <w:tcW w:type="dxa" w:w="4276"/>
          </w:tcPr>
          <w:p>
            <w:pPr>
              <w:spacing w:after="0"/>
            </w:pPr>
            <w:r/>
            <w:r>
              <w:rPr>
                <w:sz w:val="13"/>
              </w:rPr>
              <w:t>/api/v1/cashier/shifts/{id}</w:t>
            </w:r>
          </w:p>
        </w:tc>
        <w:tc>
          <w:tcPr>
            <w:tcW w:type="dxa" w:w="4561"/>
          </w:tcPr>
          <w:p>
            <w:pPr>
              <w:spacing w:after="0"/>
            </w:pPr>
            <w:r/>
            <w:r>
              <w:rPr>
                <w:sz w:val="13"/>
              </w:rPr>
              <w:t>Get a cashier shift</w:t>
            </w:r>
          </w:p>
        </w:tc>
        <w:tc>
          <w:tcPr>
            <w:tcW w:type="dxa" w:w="855"/>
          </w:tcPr>
          <w:p>
            <w:pPr>
              <w:spacing w:after="0"/>
            </w:pPr>
            <w:r/>
            <w:r>
              <w:rPr>
                <w:sz w:val="13"/>
              </w:rPr>
              <w:t>bearer</w:t>
            </w:r>
          </w:p>
        </w:tc>
        <w:tc>
          <w:tcPr>
            <w:tcW w:type="dxa" w:w="3492"/>
          </w:tcPr>
          <w:p>
            <w:pPr>
              <w:spacing w:after="0"/>
            </w:pPr>
            <w:r/>
            <w:r>
              <w:rPr>
                <w:sz w:val="13"/>
              </w:rPr>
              <w:t>cashier.shifts.view</w:t>
            </w:r>
          </w:p>
        </w:tc>
      </w:tr>
      <w:tr>
        <w:trPr>
          <w:cantSplit/>
        </w:trPr>
        <w:tc>
          <w:tcPr>
            <w:tcW w:type="dxa" w:w="927"/>
          </w:tcPr>
          <w:p>
            <w:pPr>
              <w:spacing w:after="0"/>
            </w:pPr>
            <w:r/>
            <w:r>
              <w:rPr>
                <w:sz w:val="13"/>
              </w:rPr>
              <w:t>POST</w:t>
            </w:r>
          </w:p>
        </w:tc>
        <w:tc>
          <w:tcPr>
            <w:tcW w:type="dxa" w:w="4276"/>
          </w:tcPr>
          <w:p>
            <w:pPr>
              <w:spacing w:after="0"/>
            </w:pPr>
            <w:r/>
            <w:r>
              <w:rPr>
                <w:sz w:val="13"/>
              </w:rPr>
              <w:t>/api/v1/cashier/shifts/{id}/cash-in</w:t>
            </w:r>
          </w:p>
        </w:tc>
        <w:tc>
          <w:tcPr>
            <w:tcW w:type="dxa" w:w="4561"/>
          </w:tcPr>
          <w:p>
            <w:pPr>
              <w:spacing w:after="0"/>
            </w:pPr>
            <w:r/>
            <w:r>
              <w:rPr>
                <w:sz w:val="13"/>
              </w:rPr>
              <w:t>Record a cash-in drawer entry on an open shift</w:t>
            </w:r>
          </w:p>
        </w:tc>
        <w:tc>
          <w:tcPr>
            <w:tcW w:type="dxa" w:w="855"/>
          </w:tcPr>
          <w:p>
            <w:pPr>
              <w:spacing w:after="0"/>
            </w:pPr>
            <w:r/>
            <w:r>
              <w:rPr>
                <w:sz w:val="13"/>
              </w:rPr>
              <w:t>bearer</w:t>
            </w:r>
          </w:p>
        </w:tc>
        <w:tc>
          <w:tcPr>
            <w:tcW w:type="dxa" w:w="3492"/>
          </w:tcPr>
          <w:p>
            <w:pPr>
              <w:spacing w:after="0"/>
            </w:pPr>
            <w:r/>
            <w:r>
              <w:rPr>
                <w:sz w:val="13"/>
              </w:rPr>
              <w:t>cashier.shifts.drawer</w:t>
            </w:r>
          </w:p>
        </w:tc>
      </w:tr>
      <w:tr>
        <w:trPr>
          <w:cantSplit/>
        </w:trPr>
        <w:tc>
          <w:tcPr>
            <w:tcW w:type="dxa" w:w="927"/>
          </w:tcPr>
          <w:p>
            <w:pPr>
              <w:spacing w:after="0"/>
            </w:pPr>
            <w:r/>
            <w:r>
              <w:rPr>
                <w:sz w:val="13"/>
              </w:rPr>
              <w:t>POST</w:t>
            </w:r>
          </w:p>
        </w:tc>
        <w:tc>
          <w:tcPr>
            <w:tcW w:type="dxa" w:w="4276"/>
          </w:tcPr>
          <w:p>
            <w:pPr>
              <w:spacing w:after="0"/>
            </w:pPr>
            <w:r/>
            <w:r>
              <w:rPr>
                <w:sz w:val="13"/>
              </w:rPr>
              <w:t>/api/v1/cashier/shifts/{id}/cash-out</w:t>
            </w:r>
          </w:p>
        </w:tc>
        <w:tc>
          <w:tcPr>
            <w:tcW w:type="dxa" w:w="4561"/>
          </w:tcPr>
          <w:p>
            <w:pPr>
              <w:spacing w:after="0"/>
            </w:pPr>
            <w:r/>
            <w:r>
              <w:rPr>
                <w:sz w:val="13"/>
              </w:rPr>
              <w:t>Record a cash-out drawer entry on an open shift</w:t>
            </w:r>
          </w:p>
        </w:tc>
        <w:tc>
          <w:tcPr>
            <w:tcW w:type="dxa" w:w="855"/>
          </w:tcPr>
          <w:p>
            <w:pPr>
              <w:spacing w:after="0"/>
            </w:pPr>
            <w:r/>
            <w:r>
              <w:rPr>
                <w:sz w:val="13"/>
              </w:rPr>
              <w:t>bearer</w:t>
            </w:r>
          </w:p>
        </w:tc>
        <w:tc>
          <w:tcPr>
            <w:tcW w:type="dxa" w:w="3492"/>
          </w:tcPr>
          <w:p>
            <w:pPr>
              <w:spacing w:after="0"/>
            </w:pPr>
            <w:r/>
            <w:r>
              <w:rPr>
                <w:sz w:val="13"/>
              </w:rPr>
              <w:t>cashier.shifts.drawer</w:t>
            </w:r>
          </w:p>
        </w:tc>
      </w:tr>
      <w:tr>
        <w:trPr>
          <w:cantSplit/>
        </w:trPr>
        <w:tc>
          <w:tcPr>
            <w:tcW w:type="dxa" w:w="927"/>
          </w:tcPr>
          <w:p>
            <w:pPr>
              <w:spacing w:after="0"/>
            </w:pPr>
            <w:r/>
            <w:r>
              <w:rPr>
                <w:sz w:val="13"/>
              </w:rPr>
              <w:t>POST</w:t>
            </w:r>
          </w:p>
        </w:tc>
        <w:tc>
          <w:tcPr>
            <w:tcW w:type="dxa" w:w="4276"/>
          </w:tcPr>
          <w:p>
            <w:pPr>
              <w:spacing w:after="0"/>
            </w:pPr>
            <w:r/>
            <w:r>
              <w:rPr>
                <w:sz w:val="13"/>
              </w:rPr>
              <w:t>/api/v1/cashier/shifts/{id}/close</w:t>
            </w:r>
          </w:p>
        </w:tc>
        <w:tc>
          <w:tcPr>
            <w:tcW w:type="dxa" w:w="4561"/>
          </w:tcPr>
          <w:p>
            <w:pPr>
              <w:spacing w:after="0"/>
            </w:pPr>
            <w:r/>
            <w:r>
              <w:rPr>
                <w:sz w:val="13"/>
              </w:rPr>
              <w:t>Close an open shift with counted actual cash (variance computed)</w:t>
            </w:r>
          </w:p>
        </w:tc>
        <w:tc>
          <w:tcPr>
            <w:tcW w:type="dxa" w:w="855"/>
          </w:tcPr>
          <w:p>
            <w:pPr>
              <w:spacing w:after="0"/>
            </w:pPr>
            <w:r/>
            <w:r>
              <w:rPr>
                <w:sz w:val="13"/>
              </w:rPr>
              <w:t>bearer</w:t>
            </w:r>
          </w:p>
        </w:tc>
        <w:tc>
          <w:tcPr>
            <w:tcW w:type="dxa" w:w="3492"/>
          </w:tcPr>
          <w:p>
            <w:pPr>
              <w:spacing w:after="0"/>
            </w:pPr>
            <w:r/>
            <w:r>
              <w:rPr>
                <w:sz w:val="13"/>
              </w:rPr>
              <w:t>cashier.shifts.close</w:t>
            </w:r>
          </w:p>
        </w:tc>
      </w:tr>
      <w:tr>
        <w:trPr>
          <w:cantSplit/>
        </w:trPr>
        <w:tc>
          <w:tcPr>
            <w:tcW w:type="dxa" w:w="927"/>
          </w:tcPr>
          <w:p>
            <w:pPr>
              <w:spacing w:after="0"/>
            </w:pPr>
            <w:r/>
            <w:r>
              <w:rPr>
                <w:sz w:val="13"/>
              </w:rPr>
              <w:t>GET</w:t>
            </w:r>
          </w:p>
        </w:tc>
        <w:tc>
          <w:tcPr>
            <w:tcW w:type="dxa" w:w="4276"/>
          </w:tcPr>
          <w:p>
            <w:pPr>
              <w:spacing w:after="0"/>
            </w:pPr>
            <w:r/>
            <w:r>
              <w:rPr>
                <w:sz w:val="13"/>
              </w:rPr>
              <w:t>/api/v1/cashier/shifts/{id}/summary</w:t>
            </w:r>
          </w:p>
        </w:tc>
        <w:tc>
          <w:tcPr>
            <w:tcW w:type="dxa" w:w="4561"/>
          </w:tcPr>
          <w:p>
            <w:pPr>
              <w:spacing w:after="0"/>
            </w:pPr>
            <w:r/>
            <w:r>
              <w:rPr>
                <w:sz w:val="13"/>
              </w:rPr>
              <w:t>Get shift drawer summary (cash in/out, cash sales, expected cash)</w:t>
            </w:r>
          </w:p>
        </w:tc>
        <w:tc>
          <w:tcPr>
            <w:tcW w:type="dxa" w:w="855"/>
          </w:tcPr>
          <w:p>
            <w:pPr>
              <w:spacing w:after="0"/>
            </w:pPr>
            <w:r/>
            <w:r>
              <w:rPr>
                <w:sz w:val="13"/>
              </w:rPr>
              <w:t>bearer</w:t>
            </w:r>
          </w:p>
        </w:tc>
        <w:tc>
          <w:tcPr>
            <w:tcW w:type="dxa" w:w="3492"/>
          </w:tcPr>
          <w:p>
            <w:pPr>
              <w:spacing w:after="0"/>
            </w:pPr>
            <w:r/>
            <w:r>
              <w:rPr>
                <w:sz w:val="13"/>
              </w:rPr>
              <w:t>cashier.shifts.view</w:t>
            </w:r>
          </w:p>
        </w:tc>
      </w:tr>
    </w:tbl>
    <w:p>
      <w:bookmarkStart w:id="1237" w:name="_Toc1237"/>
      <w:pPr>
        <w:pStyle w:val="Heading3"/>
      </w:pPr>
      <w:r>
        <w:t>customers — 8 operations</w:t>
      </w:r>
      <w:bookmarkEnd w:id="1237"/>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/api/v1/customers</w:t>
            </w:r>
          </w:p>
        </w:tc>
        <w:tc>
          <w:tcPr>
            <w:tcW w:type="dxa" w:w="4561"/>
          </w:tcPr>
          <w:p>
            <w:pPr>
              <w:spacing w:after="0"/>
            </w:pPr>
            <w:r/>
            <w:r>
              <w:rPr>
                <w:sz w:val="13"/>
              </w:rPr>
              <w:t>List customers (paginated)</w:t>
            </w:r>
          </w:p>
        </w:tc>
        <w:tc>
          <w:tcPr>
            <w:tcW w:type="dxa" w:w="855"/>
          </w:tcPr>
          <w:p>
            <w:pPr>
              <w:spacing w:after="0"/>
            </w:pPr>
            <w:r/>
            <w:r>
              <w:rPr>
                <w:sz w:val="13"/>
              </w:rPr>
              <w:t>bearer</w:t>
            </w:r>
          </w:p>
        </w:tc>
        <w:tc>
          <w:tcPr>
            <w:tcW w:type="dxa" w:w="3492"/>
          </w:tcPr>
          <w:p>
            <w:pPr>
              <w:spacing w:after="0"/>
            </w:pPr>
            <w:r/>
            <w:r>
              <w:rPr>
                <w:sz w:val="13"/>
              </w:rPr>
              <w:t>masterdata.customers.read</w:t>
            </w:r>
          </w:p>
        </w:tc>
      </w:tr>
      <w:tr>
        <w:trPr>
          <w:cantSplit/>
        </w:trPr>
        <w:tc>
          <w:tcPr>
            <w:tcW w:type="dxa" w:w="927"/>
          </w:tcPr>
          <w:p>
            <w:pPr>
              <w:spacing w:after="0"/>
            </w:pPr>
            <w:r/>
            <w:r>
              <w:rPr>
                <w:sz w:val="13"/>
              </w:rPr>
              <w:t>POST</w:t>
            </w:r>
          </w:p>
        </w:tc>
        <w:tc>
          <w:tcPr>
            <w:tcW w:type="dxa" w:w="4276"/>
          </w:tcPr>
          <w:p>
            <w:pPr>
              <w:spacing w:after="0"/>
            </w:pPr>
            <w:r/>
            <w:r>
              <w:rPr>
                <w:sz w:val="13"/>
              </w:rPr>
              <w:t>/api/v1/customers</w:t>
            </w:r>
          </w:p>
        </w:tc>
        <w:tc>
          <w:tcPr>
            <w:tcW w:type="dxa" w:w="4561"/>
          </w:tcPr>
          <w:p>
            <w:pPr>
              <w:spacing w:after="0"/>
            </w:pPr>
            <w:r/>
            <w:r>
              <w:rPr>
                <w:sz w:val="13"/>
              </w:rPr>
              <w:t>Create a customer</w:t>
            </w:r>
          </w:p>
        </w:tc>
        <w:tc>
          <w:tcPr>
            <w:tcW w:type="dxa" w:w="855"/>
          </w:tcPr>
          <w:p>
            <w:pPr>
              <w:spacing w:after="0"/>
            </w:pPr>
            <w:r/>
            <w:r>
              <w:rPr>
                <w:sz w:val="13"/>
              </w:rPr>
              <w:t>bearer</w:t>
            </w:r>
          </w:p>
        </w:tc>
        <w:tc>
          <w:tcPr>
            <w:tcW w:type="dxa" w:w="3492"/>
          </w:tcPr>
          <w:p>
            <w:pPr>
              <w:spacing w:after="0"/>
            </w:pPr>
            <w:r/>
            <w:r>
              <w:rPr>
                <w:sz w:val="13"/>
              </w:rPr>
              <w:t>masterdata.customers.create</w:t>
            </w:r>
          </w:p>
        </w:tc>
      </w:tr>
      <w:tr>
        <w:trPr>
          <w:cantSplit/>
        </w:trPr>
        <w:tc>
          <w:tcPr>
            <w:tcW w:type="dxa" w:w="927"/>
          </w:tcPr>
          <w:p>
            <w:pPr>
              <w:spacing w:after="0"/>
            </w:pPr>
            <w:r/>
            <w:r>
              <w:rPr>
                <w:sz w:val="13"/>
              </w:rPr>
              <w:t>GET</w:t>
            </w:r>
          </w:p>
        </w:tc>
        <w:tc>
          <w:tcPr>
            <w:tcW w:type="dxa" w:w="4276"/>
          </w:tcPr>
          <w:p>
            <w:pPr>
              <w:spacing w:after="0"/>
            </w:pPr>
            <w:r/>
            <w:r>
              <w:rPr>
                <w:sz w:val="13"/>
              </w:rPr>
              <w:t>/api/v1/customers/me</w:t>
            </w:r>
          </w:p>
        </w:tc>
        <w:tc>
          <w:tcPr>
            <w:tcW w:type="dxa" w:w="4561"/>
          </w:tcPr>
          <w:p>
            <w:pPr>
              <w:spacing w:after="0"/>
            </w:pPr>
            <w:r/>
            <w:r>
              <w:rPr>
                <w:sz w:val="13"/>
              </w:rPr>
              <w:t>The signed-in caller's own company record</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PUT</w:t>
            </w:r>
          </w:p>
        </w:tc>
        <w:tc>
          <w:tcPr>
            <w:tcW w:type="dxa" w:w="4276"/>
          </w:tcPr>
          <w:p>
            <w:pPr>
              <w:spacing w:after="0"/>
            </w:pPr>
            <w:r/>
            <w:r>
              <w:rPr>
                <w:sz w:val="13"/>
              </w:rPr>
              <w:t>/api/v1/customers/me</w:t>
            </w:r>
          </w:p>
        </w:tc>
        <w:tc>
          <w:tcPr>
            <w:tcW w:type="dxa" w:w="4561"/>
          </w:tcPr>
          <w:p>
            <w:pPr>
              <w:spacing w:after="0"/>
            </w:pPr>
            <w:r/>
            <w:r>
              <w:rPr>
                <w:sz w:val="13"/>
              </w:rPr>
              <w:t>Update the signed-in caller's own company record</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/api/v1/customers/search</w:t>
            </w:r>
          </w:p>
        </w:tc>
        <w:tc>
          <w:tcPr>
            <w:tcW w:type="dxa" w:w="4561"/>
          </w:tcPr>
          <w:p>
            <w:pPr>
              <w:spacing w:after="0"/>
            </w:pPr>
            <w:r/>
            <w:r>
              <w:rPr>
                <w:sz w:val="13"/>
              </w:rPr>
              <w:t>Lightweight customer search (POS / order entry)</w:t>
            </w:r>
          </w:p>
        </w:tc>
        <w:tc>
          <w:tcPr>
            <w:tcW w:type="dxa" w:w="855"/>
          </w:tcPr>
          <w:p>
            <w:pPr>
              <w:spacing w:after="0"/>
            </w:pPr>
            <w:r/>
            <w:r>
              <w:rPr>
                <w:sz w:val="13"/>
              </w:rPr>
              <w:t>bearer</w:t>
            </w:r>
          </w:p>
        </w:tc>
        <w:tc>
          <w:tcPr>
            <w:tcW w:type="dxa" w:w="3492"/>
          </w:tcPr>
          <w:p>
            <w:pPr>
              <w:spacing w:after="0"/>
            </w:pPr>
            <w:r/>
            <w:r>
              <w:rPr>
                <w:sz w:val="13"/>
              </w:rPr>
              <w:t>masterdata.customers.read</w:t>
            </w:r>
          </w:p>
        </w:tc>
      </w:tr>
      <w:tr>
        <w:trPr>
          <w:cantSplit/>
        </w:trPr>
        <w:tc>
          <w:tcPr>
            <w:tcW w:type="dxa" w:w="927"/>
          </w:tcPr>
          <w:p>
            <w:pPr>
              <w:spacing w:after="0"/>
            </w:pPr>
            <w:r/>
            <w:r>
              <w:rPr>
                <w:sz w:val="13"/>
              </w:rPr>
              <w:t>DELETE</w:t>
            </w:r>
          </w:p>
        </w:tc>
        <w:tc>
          <w:tcPr>
            <w:tcW w:type="dxa" w:w="4276"/>
          </w:tcPr>
          <w:p>
            <w:pPr>
              <w:spacing w:after="0"/>
            </w:pPr>
            <w:r/>
            <w:r>
              <w:rPr>
                <w:sz w:val="13"/>
              </w:rPr>
              <w:t>/api/v1/customers/{id}</w:t>
            </w:r>
          </w:p>
        </w:tc>
        <w:tc>
          <w:tcPr>
            <w:tcW w:type="dxa" w:w="4561"/>
          </w:tcPr>
          <w:p>
            <w:pPr>
              <w:spacing w:after="0"/>
            </w:pPr>
            <w:r/>
            <w:r>
              <w:rPr>
                <w:sz w:val="13"/>
              </w:rPr>
              <w:t>Soft-delete a customer</w:t>
            </w:r>
          </w:p>
        </w:tc>
        <w:tc>
          <w:tcPr>
            <w:tcW w:type="dxa" w:w="855"/>
          </w:tcPr>
          <w:p>
            <w:pPr>
              <w:spacing w:after="0"/>
            </w:pPr>
            <w:r/>
            <w:r>
              <w:rPr>
                <w:sz w:val="13"/>
              </w:rPr>
              <w:t>bearer</w:t>
            </w:r>
          </w:p>
        </w:tc>
        <w:tc>
          <w:tcPr>
            <w:tcW w:type="dxa" w:w="3492"/>
          </w:tcPr>
          <w:p>
            <w:pPr>
              <w:spacing w:after="0"/>
            </w:pPr>
            <w:r/>
            <w:r>
              <w:rPr>
                <w:sz w:val="13"/>
              </w:rPr>
              <w:t>masterdata.customers.delete</w:t>
            </w:r>
          </w:p>
        </w:tc>
      </w:tr>
      <w:tr>
        <w:trPr>
          <w:cantSplit/>
        </w:trPr>
        <w:tc>
          <w:tcPr>
            <w:tcW w:type="dxa" w:w="927"/>
          </w:tcPr>
          <w:p>
            <w:pPr>
              <w:spacing w:after="0"/>
            </w:pPr>
            <w:r/>
            <w:r>
              <w:rPr>
                <w:sz w:val="13"/>
              </w:rPr>
              <w:t>GET</w:t>
            </w:r>
          </w:p>
        </w:tc>
        <w:tc>
          <w:tcPr>
            <w:tcW w:type="dxa" w:w="4276"/>
          </w:tcPr>
          <w:p>
            <w:pPr>
              <w:spacing w:after="0"/>
            </w:pPr>
            <w:r/>
            <w:r>
              <w:rPr>
                <w:sz w:val="13"/>
              </w:rPr>
              <w:t>/api/v1/customers/{id}</w:t>
            </w:r>
          </w:p>
        </w:tc>
        <w:tc>
          <w:tcPr>
            <w:tcW w:type="dxa" w:w="4561"/>
          </w:tcPr>
          <w:p>
            <w:pPr>
              <w:spacing w:after="0"/>
            </w:pPr>
            <w:r/>
            <w:r>
              <w:rPr>
                <w:sz w:val="13"/>
              </w:rPr>
              <w:t>Get a customer</w:t>
            </w:r>
          </w:p>
        </w:tc>
        <w:tc>
          <w:tcPr>
            <w:tcW w:type="dxa" w:w="855"/>
          </w:tcPr>
          <w:p>
            <w:pPr>
              <w:spacing w:after="0"/>
            </w:pPr>
            <w:r/>
            <w:r>
              <w:rPr>
                <w:sz w:val="13"/>
              </w:rPr>
              <w:t>bearer</w:t>
            </w:r>
          </w:p>
        </w:tc>
        <w:tc>
          <w:tcPr>
            <w:tcW w:type="dxa" w:w="3492"/>
          </w:tcPr>
          <w:p>
            <w:pPr>
              <w:spacing w:after="0"/>
            </w:pPr>
            <w:r/>
            <w:r>
              <w:rPr>
                <w:sz w:val="13"/>
              </w:rPr>
              <w:t>masterdata.customers.read</w:t>
            </w:r>
          </w:p>
        </w:tc>
      </w:tr>
      <w:tr>
        <w:trPr>
          <w:cantSplit/>
        </w:trPr>
        <w:tc>
          <w:tcPr>
            <w:tcW w:type="dxa" w:w="927"/>
          </w:tcPr>
          <w:p>
            <w:pPr>
              <w:spacing w:after="0"/>
            </w:pPr>
            <w:r/>
            <w:r>
              <w:rPr>
                <w:sz w:val="13"/>
              </w:rPr>
              <w:t>PUT</w:t>
            </w:r>
          </w:p>
        </w:tc>
        <w:tc>
          <w:tcPr>
            <w:tcW w:type="dxa" w:w="4276"/>
          </w:tcPr>
          <w:p>
            <w:pPr>
              <w:spacing w:after="0"/>
            </w:pPr>
            <w:r/>
            <w:r>
              <w:rPr>
                <w:sz w:val="13"/>
              </w:rPr>
              <w:t>/api/v1/customers/{id}</w:t>
            </w:r>
          </w:p>
        </w:tc>
        <w:tc>
          <w:tcPr>
            <w:tcW w:type="dxa" w:w="4561"/>
          </w:tcPr>
          <w:p>
            <w:pPr>
              <w:spacing w:after="0"/>
            </w:pPr>
            <w:r/>
            <w:r>
              <w:rPr>
                <w:sz w:val="13"/>
              </w:rPr>
              <w:t>Update a customer</w:t>
            </w:r>
          </w:p>
        </w:tc>
        <w:tc>
          <w:tcPr>
            <w:tcW w:type="dxa" w:w="855"/>
          </w:tcPr>
          <w:p>
            <w:pPr>
              <w:spacing w:after="0"/>
            </w:pPr>
            <w:r/>
            <w:r>
              <w:rPr>
                <w:sz w:val="13"/>
              </w:rPr>
              <w:t>bearer</w:t>
            </w:r>
          </w:p>
        </w:tc>
        <w:tc>
          <w:tcPr>
            <w:tcW w:type="dxa" w:w="3492"/>
          </w:tcPr>
          <w:p>
            <w:pPr>
              <w:spacing w:after="0"/>
            </w:pPr>
            <w:r/>
            <w:r>
              <w:rPr>
                <w:sz w:val="13"/>
              </w:rPr>
              <w:t>masterdata.customers.update</w:t>
            </w:r>
          </w:p>
        </w:tc>
      </w:tr>
    </w:tbl>
    <w:p>
      <w:bookmarkStart w:id="1238" w:name="_Toc1238"/>
      <w:pPr>
        <w:pStyle w:val="Heading3"/>
      </w:pPr>
      <w:r>
        <w:t>distribution — 35 operations</w:t>
      </w:r>
      <w:bookmarkEnd w:id="1238"/>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/api/v1/delivery-orders</w:t>
            </w:r>
          </w:p>
        </w:tc>
        <w:tc>
          <w:tcPr>
            <w:tcW w:type="dxa" w:w="4561"/>
          </w:tcPr>
          <w:p>
            <w:pPr>
              <w:spacing w:after="0"/>
            </w:pPr>
            <w:r/>
            <w:r>
              <w:rPr>
                <w:sz w:val="13"/>
              </w:rPr>
              <w:t>List delivery orders</w:t>
            </w:r>
          </w:p>
        </w:tc>
        <w:tc>
          <w:tcPr>
            <w:tcW w:type="dxa" w:w="855"/>
          </w:tcPr>
          <w:p>
            <w:pPr>
              <w:spacing w:after="0"/>
            </w:pPr>
            <w:r/>
            <w:r>
              <w:rPr>
                <w:sz w:val="13"/>
              </w:rPr>
              <w:t>bearer</w:t>
            </w:r>
          </w:p>
        </w:tc>
        <w:tc>
          <w:tcPr>
            <w:tcW w:type="dxa" w:w="3492"/>
          </w:tcPr>
          <w:p>
            <w:pPr>
              <w:spacing w:after="0"/>
            </w:pPr>
            <w:r/>
            <w:r>
              <w:rPr>
                <w:sz w:val="13"/>
              </w:rPr>
              <w:t>distribution.delivery-orders.view</w:t>
            </w:r>
          </w:p>
        </w:tc>
      </w:tr>
      <w:tr>
        <w:trPr>
          <w:cantSplit/>
        </w:trPr>
        <w:tc>
          <w:tcPr>
            <w:tcW w:type="dxa" w:w="927"/>
          </w:tcPr>
          <w:p>
            <w:pPr>
              <w:spacing w:after="0"/>
            </w:pPr>
            <w:r/>
            <w:r>
              <w:rPr>
                <w:sz w:val="13"/>
              </w:rPr>
              <w:t>POST</w:t>
            </w:r>
          </w:p>
        </w:tc>
        <w:tc>
          <w:tcPr>
            <w:tcW w:type="dxa" w:w="4276"/>
          </w:tcPr>
          <w:p>
            <w:pPr>
              <w:spacing w:after="0"/>
            </w:pPr>
            <w:r/>
            <w:r>
              <w:rPr>
                <w:sz w:val="13"/>
              </w:rPr>
              <w:t>/api/v1/delivery-orders</w:t>
            </w:r>
          </w:p>
        </w:tc>
        <w:tc>
          <w:tcPr>
            <w:tcW w:type="dxa" w:w="4561"/>
          </w:tcPr>
          <w:p>
            <w:pPr>
              <w:spacing w:after="0"/>
            </w:pPr>
            <w:r/>
            <w:r>
              <w:rPr>
                <w:sz w:val="13"/>
              </w:rPr>
              <w:t>Create a delivery order from a sales order</w:t>
            </w:r>
          </w:p>
        </w:tc>
        <w:tc>
          <w:tcPr>
            <w:tcW w:type="dxa" w:w="855"/>
          </w:tcPr>
          <w:p>
            <w:pPr>
              <w:spacing w:after="0"/>
            </w:pPr>
            <w:r/>
            <w:r>
              <w:rPr>
                <w:sz w:val="13"/>
              </w:rPr>
              <w:t>bearer</w:t>
            </w:r>
          </w:p>
        </w:tc>
        <w:tc>
          <w:tcPr>
            <w:tcW w:type="dxa" w:w="3492"/>
          </w:tcPr>
          <w:p>
            <w:pPr>
              <w:spacing w:after="0"/>
            </w:pPr>
            <w:r/>
            <w:r>
              <w:rPr>
                <w:sz w:val="13"/>
              </w:rPr>
              <w:t>distribution.delivery-orders.create</w:t>
            </w:r>
          </w:p>
        </w:tc>
      </w:tr>
      <w:tr>
        <w:trPr>
          <w:cantSplit/>
        </w:trPr>
        <w:tc>
          <w:tcPr>
            <w:tcW w:type="dxa" w:w="927"/>
          </w:tcPr>
          <w:p>
            <w:pPr>
              <w:spacing w:after="0"/>
            </w:pPr>
            <w:r/>
            <w:r>
              <w:rPr>
                <w:sz w:val="13"/>
              </w:rPr>
              <w:t>GET</w:t>
            </w:r>
          </w:p>
        </w:tc>
        <w:tc>
          <w:tcPr>
            <w:tcW w:type="dxa" w:w="4276"/>
          </w:tcPr>
          <w:p>
            <w:pPr>
              <w:spacing w:after="0"/>
            </w:pPr>
            <w:r/>
            <w:r>
              <w:rPr>
                <w:sz w:val="13"/>
              </w:rPr>
              <w:t>/api/v1/delivery-orders/me</w:t>
            </w:r>
          </w:p>
        </w:tc>
        <w:tc>
          <w:tcPr>
            <w:tcW w:type="dxa" w:w="4561"/>
          </w:tcPr>
          <w:p>
            <w:pPr>
              <w:spacing w:after="0"/>
            </w:pPr>
            <w:r/>
            <w:r>
              <w:rPr>
                <w:sz w:val="13"/>
              </w:rPr>
              <w:t>List the authenticated buyer's own delivery orders (B2B surface)</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/api/v1/delivery-orders/{id}</w:t>
            </w:r>
          </w:p>
        </w:tc>
        <w:tc>
          <w:tcPr>
            <w:tcW w:type="dxa" w:w="4561"/>
          </w:tcPr>
          <w:p>
            <w:pPr>
              <w:spacing w:after="0"/>
            </w:pPr>
            <w:r/>
            <w:r>
              <w:rPr>
                <w:sz w:val="13"/>
              </w:rPr>
              <w:t>Get a delivery order with items, shipments and dispatches</w:t>
            </w:r>
          </w:p>
        </w:tc>
        <w:tc>
          <w:tcPr>
            <w:tcW w:type="dxa" w:w="855"/>
          </w:tcPr>
          <w:p>
            <w:pPr>
              <w:spacing w:after="0"/>
            </w:pPr>
            <w:r/>
            <w:r>
              <w:rPr>
                <w:sz w:val="13"/>
              </w:rPr>
              <w:t>bearer</w:t>
            </w:r>
          </w:p>
        </w:tc>
        <w:tc>
          <w:tcPr>
            <w:tcW w:type="dxa" w:w="3492"/>
          </w:tcPr>
          <w:p>
            <w:pPr>
              <w:spacing w:after="0"/>
            </w:pPr>
            <w:r/>
            <w:r>
              <w:rPr>
                <w:sz w:val="13"/>
              </w:rPr>
              <w:t>distribution.delivery-orders.view</w:t>
            </w:r>
          </w:p>
        </w:tc>
      </w:tr>
      <w:tr>
        <w:trPr>
          <w:cantSplit/>
        </w:trPr>
        <w:tc>
          <w:tcPr>
            <w:tcW w:type="dxa" w:w="927"/>
          </w:tcPr>
          <w:p>
            <w:pPr>
              <w:spacing w:after="0"/>
            </w:pPr>
            <w:r/>
            <w:r>
              <w:rPr>
                <w:sz w:val="13"/>
              </w:rPr>
              <w:t>POST</w:t>
            </w:r>
          </w:p>
        </w:tc>
        <w:tc>
          <w:tcPr>
            <w:tcW w:type="dxa" w:w="4276"/>
          </w:tcPr>
          <w:p>
            <w:pPr>
              <w:spacing w:after="0"/>
            </w:pPr>
            <w:r/>
            <w:r>
              <w:rPr>
                <w:sz w:val="13"/>
              </w:rPr>
              <w:t>/api/v1/delivery-orders/{id}/deliver</w:t>
            </w:r>
          </w:p>
        </w:tc>
        <w:tc>
          <w:tcPr>
            <w:tcW w:type="dxa" w:w="4561"/>
          </w:tcPr>
          <w:p>
            <w:pPr>
              <w:spacing w:after="0"/>
            </w:pPr>
            <w:r/>
            <w:r>
              <w:rPr>
                <w:sz w:val="13"/>
              </w:rPr>
              <w:t>Mark all shipments on a delivery order delivered and complete the DO</w:t>
            </w:r>
          </w:p>
        </w:tc>
        <w:tc>
          <w:tcPr>
            <w:tcW w:type="dxa" w:w="855"/>
          </w:tcPr>
          <w:p>
            <w:pPr>
              <w:spacing w:after="0"/>
            </w:pPr>
            <w:r/>
            <w:r>
              <w:rPr>
                <w:sz w:val="13"/>
              </w:rPr>
              <w:t>bearer</w:t>
            </w:r>
          </w:p>
        </w:tc>
        <w:tc>
          <w:tcPr>
            <w:tcW w:type="dxa" w:w="3492"/>
          </w:tcPr>
          <w:p>
            <w:pPr>
              <w:spacing w:after="0"/>
            </w:pPr>
            <w:r/>
            <w:r>
              <w:rPr>
                <w:sz w:val="13"/>
              </w:rPr>
              <w:t>distribution.shipments.deliver</w:t>
            </w:r>
          </w:p>
        </w:tc>
      </w:tr>
      <w:tr>
        <w:trPr>
          <w:cantSplit/>
        </w:trPr>
        <w:tc>
          <w:tcPr>
            <w:tcW w:type="dxa" w:w="927"/>
          </w:tcPr>
          <w:p>
            <w:pPr>
              <w:spacing w:after="0"/>
            </w:pPr>
            <w:r/>
            <w:r>
              <w:rPr>
                <w:sz w:val="13"/>
              </w:rPr>
              <w:t>POST</w:t>
            </w:r>
          </w:p>
        </w:tc>
        <w:tc>
          <w:tcPr>
            <w:tcW w:type="dxa" w:w="4276"/>
          </w:tcPr>
          <w:p>
            <w:pPr>
              <w:spacing w:after="0"/>
            </w:pPr>
            <w:r/>
            <w:r>
              <w:rPr>
                <w:sz w:val="13"/>
              </w:rPr>
              <w:t>/api/v1/delivery-orders/{id}/dispatch</w:t>
            </w:r>
          </w:p>
        </w:tc>
        <w:tc>
          <w:tcPr>
            <w:tcW w:type="dxa" w:w="4561"/>
          </w:tcPr>
          <w:p>
            <w:pPr>
              <w:spacing w:after="0"/>
            </w:pPr>
            <w:r/>
            <w:r>
              <w:rPr>
                <w:sz w:val="13"/>
              </w:rPr>
              <w:t>Assign or reassign fleet/dispatch for a delivery order</w:t>
            </w:r>
          </w:p>
        </w:tc>
        <w:tc>
          <w:tcPr>
            <w:tcW w:type="dxa" w:w="855"/>
          </w:tcPr>
          <w:p>
            <w:pPr>
              <w:spacing w:after="0"/>
            </w:pPr>
            <w:r/>
            <w:r>
              <w:rPr>
                <w:sz w:val="13"/>
              </w:rPr>
              <w:t>bearer</w:t>
            </w:r>
          </w:p>
        </w:tc>
        <w:tc>
          <w:tcPr>
            <w:tcW w:type="dxa" w:w="3492"/>
          </w:tcPr>
          <w:p>
            <w:pPr>
              <w:spacing w:after="0"/>
            </w:pPr>
            <w:r/>
            <w:r>
              <w:rPr>
                <w:sz w:val="13"/>
              </w:rPr>
              <w:t>distribution.dispatches.create</w:t>
            </w:r>
          </w:p>
        </w:tc>
      </w:tr>
      <w:tr>
        <w:trPr>
          <w:cantSplit/>
        </w:trPr>
        <w:tc>
          <w:tcPr>
            <w:tcW w:type="dxa" w:w="927"/>
          </w:tcPr>
          <w:p>
            <w:pPr>
              <w:spacing w:after="0"/>
            </w:pPr>
            <w:r/>
            <w:r>
              <w:rPr>
                <w:sz w:val="13"/>
              </w:rPr>
              <w:t>POST</w:t>
            </w:r>
          </w:p>
        </w:tc>
        <w:tc>
          <w:tcPr>
            <w:tcW w:type="dxa" w:w="4276"/>
          </w:tcPr>
          <w:p>
            <w:pPr>
              <w:spacing w:after="0"/>
            </w:pPr>
            <w:r/>
            <w:r>
              <w:rPr>
                <w:sz w:val="13"/>
              </w:rPr>
              <w:t>/api/v1/delivery-orders/{id}/shipments</w:t>
            </w:r>
          </w:p>
        </w:tc>
        <w:tc>
          <w:tcPr>
            <w:tcW w:type="dxa" w:w="4561"/>
          </w:tcPr>
          <w:p>
            <w:pPr>
              <w:spacing w:after="0"/>
            </w:pPr>
            <w:r/>
            <w:r>
              <w:rPr>
                <w:sz w:val="13"/>
              </w:rPr>
              <w:t>Execute a shipment against a delivery order</w:t>
            </w:r>
          </w:p>
        </w:tc>
        <w:tc>
          <w:tcPr>
            <w:tcW w:type="dxa" w:w="855"/>
          </w:tcPr>
          <w:p>
            <w:pPr>
              <w:spacing w:after="0"/>
            </w:pPr>
            <w:r/>
            <w:r>
              <w:rPr>
                <w:sz w:val="13"/>
              </w:rPr>
              <w:t>bearer</w:t>
            </w:r>
          </w:p>
        </w:tc>
        <w:tc>
          <w:tcPr>
            <w:tcW w:type="dxa" w:w="3492"/>
          </w:tcPr>
          <w:p>
            <w:pPr>
              <w:spacing w:after="0"/>
            </w:pPr>
            <w:r/>
            <w:r>
              <w:rPr>
                <w:sz w:val="13"/>
              </w:rPr>
              <w:t>distribution.shipments.create</w:t>
            </w:r>
          </w:p>
        </w:tc>
      </w:tr>
      <w:tr>
        <w:trPr>
          <w:cantSplit/>
        </w:trPr>
        <w:tc>
          <w:tcPr>
            <w:tcW w:type="dxa" w:w="927"/>
          </w:tcPr>
          <w:p>
            <w:pPr>
              <w:spacing w:after="0"/>
            </w:pPr>
            <w:r/>
            <w:r>
              <w:rPr>
                <w:sz w:val="13"/>
              </w:rPr>
              <w:t>GET</w:t>
            </w:r>
          </w:p>
        </w:tc>
        <w:tc>
          <w:tcPr>
            <w:tcW w:type="dxa" w:w="4276"/>
          </w:tcPr>
          <w:p>
            <w:pPr>
              <w:spacing w:after="0"/>
            </w:pPr>
            <w:r/>
            <w:r>
              <w:rPr>
                <w:sz w:val="13"/>
              </w:rPr>
              <w:t>/api/v1/distribution/drivers</w:t>
            </w:r>
          </w:p>
        </w:tc>
        <w:tc>
          <w:tcPr>
            <w:tcW w:type="dxa" w:w="4561"/>
          </w:tcPr>
          <w:p>
            <w:pPr>
              <w:spacing w:after="0"/>
            </w:pPr>
            <w:r/>
            <w:r>
              <w:rPr>
                <w:sz w:val="13"/>
              </w:rPr>
              <w:t>List dispatch driver candidates</w:t>
            </w:r>
          </w:p>
        </w:tc>
        <w:tc>
          <w:tcPr>
            <w:tcW w:type="dxa" w:w="855"/>
          </w:tcPr>
          <w:p>
            <w:pPr>
              <w:spacing w:after="0"/>
            </w:pPr>
            <w:r/>
            <w:r>
              <w:rPr>
                <w:sz w:val="13"/>
              </w:rPr>
              <w:t>bearer</w:t>
            </w:r>
          </w:p>
        </w:tc>
        <w:tc>
          <w:tcPr>
            <w:tcW w:type="dxa" w:w="3492"/>
          </w:tcPr>
          <w:p>
            <w:pPr>
              <w:spacing w:after="0"/>
            </w:pPr>
            <w:r/>
            <w:r>
              <w:rPr>
                <w:sz w:val="13"/>
              </w:rPr>
              <w:t>distribution.dispatches.create</w:t>
            </w:r>
          </w:p>
        </w:tc>
      </w:tr>
      <w:tr>
        <w:trPr>
          <w:cantSplit/>
        </w:trPr>
        <w:tc>
          <w:tcPr>
            <w:tcW w:type="dxa" w:w="927"/>
          </w:tcPr>
          <w:p>
            <w:pPr>
              <w:spacing w:after="0"/>
            </w:pPr>
            <w:r/>
            <w:r>
              <w:rPr>
                <w:sz w:val="13"/>
              </w:rPr>
              <w:t>POST</w:t>
            </w:r>
          </w:p>
        </w:tc>
        <w:tc>
          <w:tcPr>
            <w:tcW w:type="dxa" w:w="4276"/>
          </w:tcPr>
          <w:p>
            <w:pPr>
              <w:spacing w:after="0"/>
            </w:pPr>
            <w:r/>
            <w:r>
              <w:rPr>
                <w:sz w:val="13"/>
              </w:rPr>
              <w:t>/api/v1/distribution/drivers</w:t>
            </w:r>
          </w:p>
        </w:tc>
        <w:tc>
          <w:tcPr>
            <w:tcW w:type="dxa" w:w="4561"/>
          </w:tcPr>
          <w:p>
            <w:pPr>
              <w:spacing w:after="0"/>
            </w:pPr>
            <w:r/>
            <w:r>
              <w:rPr>
                <w:sz w:val="13"/>
              </w:rPr>
              <w:t>Add a driver candidate</w:t>
            </w:r>
          </w:p>
        </w:tc>
        <w:tc>
          <w:tcPr>
            <w:tcW w:type="dxa" w:w="855"/>
          </w:tcPr>
          <w:p>
            <w:pPr>
              <w:spacing w:after="0"/>
            </w:pPr>
            <w:r/>
            <w:r>
              <w:rPr>
                <w:sz w:val="13"/>
              </w:rPr>
              <w:t>bearer</w:t>
            </w:r>
          </w:p>
        </w:tc>
        <w:tc>
          <w:tcPr>
            <w:tcW w:type="dxa" w:w="3492"/>
          </w:tcPr>
          <w:p>
            <w:pPr>
              <w:spacing w:after="0"/>
            </w:pPr>
            <w:r/>
            <w:r>
              <w:rPr>
                <w:sz w:val="13"/>
              </w:rPr>
              <w:t>distribution.dispatches.create</w:t>
            </w:r>
          </w:p>
        </w:tc>
      </w:tr>
      <w:tr>
        <w:trPr>
          <w:cantSplit/>
        </w:trPr>
        <w:tc>
          <w:tcPr>
            <w:tcW w:type="dxa" w:w="927"/>
          </w:tcPr>
          <w:p>
            <w:pPr>
              <w:spacing w:after="0"/>
            </w:pPr>
            <w:r/>
            <w:r>
              <w:rPr>
                <w:sz w:val="13"/>
              </w:rPr>
              <w:t>GET</w:t>
            </w:r>
          </w:p>
        </w:tc>
        <w:tc>
          <w:tcPr>
            <w:tcW w:type="dxa" w:w="4276"/>
          </w:tcPr>
          <w:p>
            <w:pPr>
              <w:spacing w:after="0"/>
            </w:pPr>
            <w:r/>
            <w:r>
              <w:rPr>
                <w:sz w:val="13"/>
              </w:rPr>
              <w:t>/api/v1/distribution/map</w:t>
            </w:r>
          </w:p>
        </w:tc>
        <w:tc>
          <w:tcPr>
            <w:tcW w:type="dxa" w:w="4561"/>
          </w:tcPr>
          <w:p>
            <w:pPr>
              <w:spacing w:after="0"/>
            </w:pPr>
            <w:r/>
            <w:r>
              <w:rPr>
                <w:sz w:val="13"/>
              </w:rPr>
              <w:t>Map feed — warehouses, stores and active shipment positions</w:t>
            </w:r>
          </w:p>
        </w:tc>
        <w:tc>
          <w:tcPr>
            <w:tcW w:type="dxa" w:w="855"/>
          </w:tcPr>
          <w:p>
            <w:pPr>
              <w:spacing w:after="0"/>
            </w:pPr>
            <w:r/>
            <w:r>
              <w:rPr>
                <w:sz w:val="13"/>
              </w:rPr>
              <w:t>bearer</w:t>
            </w:r>
          </w:p>
        </w:tc>
        <w:tc>
          <w:tcPr>
            <w:tcW w:type="dxa" w:w="3492"/>
          </w:tcPr>
          <w:p>
            <w:pPr>
              <w:spacing w:after="0"/>
            </w:pPr>
            <w:r/>
            <w:r>
              <w:rPr>
                <w:sz w:val="13"/>
              </w:rPr>
              <w:t>distribution.delivery-orders.view</w:t>
            </w:r>
          </w:p>
        </w:tc>
      </w:tr>
      <w:tr>
        <w:trPr>
          <w:cantSplit/>
        </w:trPr>
        <w:tc>
          <w:tcPr>
            <w:tcW w:type="dxa" w:w="927"/>
          </w:tcPr>
          <w:p>
            <w:pPr>
              <w:spacing w:after="0"/>
            </w:pPr>
            <w:r/>
            <w:r>
              <w:rPr>
                <w:sz w:val="13"/>
              </w:rPr>
              <w:t>GET</w:t>
            </w:r>
          </w:p>
        </w:tc>
        <w:tc>
          <w:tcPr>
            <w:tcW w:type="dxa" w:w="4276"/>
          </w:tcPr>
          <w:p>
            <w:pPr>
              <w:spacing w:after="0"/>
            </w:pPr>
            <w:r/>
            <w:r>
              <w:rPr>
                <w:sz w:val="13"/>
              </w:rPr>
              <w:t>/api/v1/fleet</w:t>
            </w:r>
          </w:p>
        </w:tc>
        <w:tc>
          <w:tcPr>
            <w:tcW w:type="dxa" w:w="4561"/>
          </w:tcPr>
          <w:p>
            <w:pPr>
              <w:spacing w:after="0"/>
            </w:pPr>
            <w:r/>
            <w:r>
              <w:rPr>
                <w:sz w:val="13"/>
              </w:rPr>
              <w:t>List fleet vehicles</w:t>
            </w:r>
          </w:p>
        </w:tc>
        <w:tc>
          <w:tcPr>
            <w:tcW w:type="dxa" w:w="855"/>
          </w:tcPr>
          <w:p>
            <w:pPr>
              <w:spacing w:after="0"/>
            </w:pPr>
            <w:r/>
            <w:r>
              <w:rPr>
                <w:sz w:val="13"/>
              </w:rPr>
              <w:t>bearer</w:t>
            </w:r>
          </w:p>
        </w:tc>
        <w:tc>
          <w:tcPr>
            <w:tcW w:type="dxa" w:w="3492"/>
          </w:tcPr>
          <w:p>
            <w:pPr>
              <w:spacing w:after="0"/>
            </w:pPr>
            <w:r/>
            <w:r>
              <w:rPr>
                <w:sz w:val="13"/>
              </w:rPr>
              <w:t>distribution.fleet.view</w:t>
            </w:r>
          </w:p>
        </w:tc>
      </w:tr>
      <w:tr>
        <w:trPr>
          <w:cantSplit/>
        </w:trPr>
        <w:tc>
          <w:tcPr>
            <w:tcW w:type="dxa" w:w="927"/>
          </w:tcPr>
          <w:p>
            <w:pPr>
              <w:spacing w:after="0"/>
            </w:pPr>
            <w:r/>
            <w:r>
              <w:rPr>
                <w:sz w:val="13"/>
              </w:rPr>
              <w:t>POST</w:t>
            </w:r>
          </w:p>
        </w:tc>
        <w:tc>
          <w:tcPr>
            <w:tcW w:type="dxa" w:w="4276"/>
          </w:tcPr>
          <w:p>
            <w:pPr>
              <w:spacing w:after="0"/>
            </w:pPr>
            <w:r/>
            <w:r>
              <w:rPr>
                <w:sz w:val="13"/>
              </w:rPr>
              <w:t>/api/v1/fleet</w:t>
            </w:r>
          </w:p>
        </w:tc>
        <w:tc>
          <w:tcPr>
            <w:tcW w:type="dxa" w:w="4561"/>
          </w:tcPr>
          <w:p>
            <w:pPr>
              <w:spacing w:after="0"/>
            </w:pPr>
            <w:r/>
            <w:r>
              <w:rPr>
                <w:sz w:val="13"/>
              </w:rPr>
              <w:t>Register a fleet vehicle</w:t>
            </w:r>
          </w:p>
        </w:tc>
        <w:tc>
          <w:tcPr>
            <w:tcW w:type="dxa" w:w="855"/>
          </w:tcPr>
          <w:p>
            <w:pPr>
              <w:spacing w:after="0"/>
            </w:pPr>
            <w:r/>
            <w:r>
              <w:rPr>
                <w:sz w:val="13"/>
              </w:rPr>
              <w:t>bearer</w:t>
            </w:r>
          </w:p>
        </w:tc>
        <w:tc>
          <w:tcPr>
            <w:tcW w:type="dxa" w:w="3492"/>
          </w:tcPr>
          <w:p>
            <w:pPr>
              <w:spacing w:after="0"/>
            </w:pPr>
            <w:r/>
            <w:r>
              <w:rPr>
                <w:sz w:val="13"/>
              </w:rPr>
              <w:t>distribution.fleet.create</w:t>
            </w:r>
          </w:p>
        </w:tc>
      </w:tr>
      <w:tr>
        <w:trPr>
          <w:cantSplit/>
        </w:trPr>
        <w:tc>
          <w:tcPr>
            <w:tcW w:type="dxa" w:w="927"/>
          </w:tcPr>
          <w:p>
            <w:pPr>
              <w:spacing w:after="0"/>
            </w:pPr>
            <w:r/>
            <w:r>
              <w:rPr>
                <w:sz w:val="13"/>
              </w:rPr>
              <w:t>GET</w:t>
            </w:r>
          </w:p>
        </w:tc>
        <w:tc>
          <w:tcPr>
            <w:tcW w:type="dxa" w:w="4276"/>
          </w:tcPr>
          <w:p>
            <w:pPr>
              <w:spacing w:after="0"/>
            </w:pPr>
            <w:r/>
            <w:r>
              <w:rPr>
                <w:sz w:val="13"/>
              </w:rPr>
              <w:t>/api/v1/fleet/{id}</w:t>
            </w:r>
          </w:p>
        </w:tc>
        <w:tc>
          <w:tcPr>
            <w:tcW w:type="dxa" w:w="4561"/>
          </w:tcPr>
          <w:p>
            <w:pPr>
              <w:spacing w:after="0"/>
            </w:pPr>
            <w:r/>
            <w:r>
              <w:rPr>
                <w:sz w:val="13"/>
              </w:rPr>
              <w:t>Get a fleet vehicle</w:t>
            </w:r>
          </w:p>
        </w:tc>
        <w:tc>
          <w:tcPr>
            <w:tcW w:type="dxa" w:w="855"/>
          </w:tcPr>
          <w:p>
            <w:pPr>
              <w:spacing w:after="0"/>
            </w:pPr>
            <w:r/>
            <w:r>
              <w:rPr>
                <w:sz w:val="13"/>
              </w:rPr>
              <w:t>bearer</w:t>
            </w:r>
          </w:p>
        </w:tc>
        <w:tc>
          <w:tcPr>
            <w:tcW w:type="dxa" w:w="3492"/>
          </w:tcPr>
          <w:p>
            <w:pPr>
              <w:spacing w:after="0"/>
            </w:pPr>
            <w:r/>
            <w:r>
              <w:rPr>
                <w:sz w:val="13"/>
              </w:rPr>
              <w:t>distribution.fleet.view</w:t>
            </w:r>
          </w:p>
        </w:tc>
      </w:tr>
      <w:tr>
        <w:trPr>
          <w:cantSplit/>
        </w:trPr>
        <w:tc>
          <w:tcPr>
            <w:tcW w:type="dxa" w:w="927"/>
          </w:tcPr>
          <w:p>
            <w:pPr>
              <w:spacing w:after="0"/>
            </w:pPr>
            <w:r/>
            <w:r>
              <w:rPr>
                <w:sz w:val="13"/>
              </w:rPr>
              <w:t>GET</w:t>
            </w:r>
          </w:p>
        </w:tc>
        <w:tc>
          <w:tcPr>
            <w:tcW w:type="dxa" w:w="4276"/>
          </w:tcPr>
          <w:p>
            <w:pPr>
              <w:spacing w:after="0"/>
            </w:pPr>
            <w:r/>
            <w:r>
              <w:rPr>
                <w:sz w:val="13"/>
              </w:rPr>
              <w:t>/api/v1/lhpp</w:t>
            </w:r>
          </w:p>
        </w:tc>
        <w:tc>
          <w:tcPr>
            <w:tcW w:type="dxa" w:w="4561"/>
          </w:tcPr>
          <w:p>
            <w:pPr>
              <w:spacing w:after="0"/>
            </w:pPr>
            <w:r/>
            <w:r>
              <w:rPr>
                <w:sz w:val="13"/>
              </w:rPr>
              <w:t>List LHPP billing sheets (manually maintained, one driver per sheet, may span days)</w:t>
            </w:r>
          </w:p>
        </w:tc>
        <w:tc>
          <w:tcPr>
            <w:tcW w:type="dxa" w:w="855"/>
          </w:tcPr>
          <w:p>
            <w:pPr>
              <w:spacing w:after="0"/>
            </w:pPr>
            <w:r/>
            <w:r>
              <w:rPr>
                <w:sz w:val="13"/>
              </w:rPr>
              <w:t>bearer</w:t>
            </w:r>
          </w:p>
        </w:tc>
        <w:tc>
          <w:tcPr>
            <w:tcW w:type="dxa" w:w="3492"/>
          </w:tcPr>
          <w:p>
            <w:pPr>
              <w:spacing w:after="0"/>
            </w:pPr>
            <w:r/>
            <w:r>
              <w:rPr>
                <w:sz w:val="13"/>
              </w:rPr>
              <w:t>sales.lhpp.view</w:t>
            </w:r>
          </w:p>
        </w:tc>
      </w:tr>
      <w:tr>
        <w:trPr>
          <w:cantSplit/>
        </w:trPr>
        <w:tc>
          <w:tcPr>
            <w:tcW w:type="dxa" w:w="927"/>
          </w:tcPr>
          <w:p>
            <w:pPr>
              <w:spacing w:after="0"/>
            </w:pPr>
            <w:r/>
            <w:r>
              <w:rPr>
                <w:sz w:val="13"/>
              </w:rPr>
              <w:t>POST</w:t>
            </w:r>
          </w:p>
        </w:tc>
        <w:tc>
          <w:tcPr>
            <w:tcW w:type="dxa" w:w="4276"/>
          </w:tcPr>
          <w:p>
            <w:pPr>
              <w:spacing w:after="0"/>
            </w:pPr>
            <w:r/>
            <w:r>
              <w:rPr>
                <w:sz w:val="13"/>
              </w:rPr>
              <w:t>/api/v1/lhpp/groups/merge</w:t>
            </w:r>
          </w:p>
        </w:tc>
        <w:tc>
          <w:tcPr>
            <w:tcW w:type="dxa" w:w="4561"/>
          </w:tcPr>
          <w:p>
            <w:pPr>
              <w:spacing w:after="0"/>
            </w:pPr>
            <w:r/>
            <w:r>
              <w:rPr>
                <w:sz w:val="13"/>
              </w:rPr>
              <w:t>Merge LHPP sheets into one (reversible via split)</w:t>
            </w:r>
          </w:p>
        </w:tc>
        <w:tc>
          <w:tcPr>
            <w:tcW w:type="dxa" w:w="855"/>
          </w:tcPr>
          <w:p>
            <w:pPr>
              <w:spacing w:after="0"/>
            </w:pPr>
            <w:r/>
            <w:r>
              <w:rPr>
                <w:sz w:val="13"/>
              </w:rPr>
              <w:t>bearer</w:t>
            </w:r>
          </w:p>
        </w:tc>
        <w:tc>
          <w:tcPr>
            <w:tcW w:type="dxa" w:w="3492"/>
          </w:tcPr>
          <w:p>
            <w:pPr>
              <w:spacing w:after="0"/>
            </w:pPr>
            <w:r/>
            <w:r>
              <w:rPr>
                <w:sz w:val="13"/>
              </w:rPr>
              <w:t>sales.lhpp.merge</w:t>
            </w:r>
          </w:p>
        </w:tc>
      </w:tr>
      <w:tr>
        <w:trPr>
          <w:cantSplit/>
        </w:trPr>
        <w:tc>
          <w:tcPr>
            <w:tcW w:type="dxa" w:w="927"/>
          </w:tcPr>
          <w:p>
            <w:pPr>
              <w:spacing w:after="0"/>
            </w:pPr>
            <w:r/>
            <w:r>
              <w:rPr>
                <w:sz w:val="13"/>
              </w:rPr>
              <w:t>PATCH</w:t>
            </w:r>
          </w:p>
        </w:tc>
        <w:tc>
          <w:tcPr>
            <w:tcW w:type="dxa" w:w="4276"/>
          </w:tcPr>
          <w:p>
            <w:pPr>
              <w:spacing w:after="0"/>
            </w:pPr>
            <w:r/>
            <w:r>
              <w:rPr>
                <w:sz w:val="13"/>
              </w:rPr>
              <w:t>/api/v1/lhpp/groups/{id}</w:t>
            </w:r>
          </w:p>
        </w:tc>
        <w:tc>
          <w:tcPr>
            <w:tcW w:type="dxa" w:w="4561"/>
          </w:tcPr>
          <w:p>
            <w:pPr>
              <w:spacing w:after="0"/>
            </w:pPr>
            <w:r/>
            <w:r>
              <w:rPr>
                <w:sz w:val="13"/>
              </w:rPr>
              <w:t>Re-point a single-DO LHPP sheet at another driver</w:t>
            </w:r>
          </w:p>
        </w:tc>
        <w:tc>
          <w:tcPr>
            <w:tcW w:type="dxa" w:w="855"/>
          </w:tcPr>
          <w:p>
            <w:pPr>
              <w:spacing w:after="0"/>
            </w:pPr>
            <w:r/>
            <w:r>
              <w:rPr>
                <w:sz w:val="13"/>
              </w:rPr>
              <w:t>bearer</w:t>
            </w:r>
          </w:p>
        </w:tc>
        <w:tc>
          <w:tcPr>
            <w:tcW w:type="dxa" w:w="3492"/>
          </w:tcPr>
          <w:p>
            <w:pPr>
              <w:spacing w:after="0"/>
            </w:pPr>
            <w:r/>
            <w:r>
              <w:rPr>
                <w:sz w:val="13"/>
              </w:rPr>
              <w:t>sales.lhpp.merge</w:t>
            </w:r>
          </w:p>
        </w:tc>
      </w:tr>
      <w:tr>
        <w:trPr>
          <w:cantSplit/>
        </w:trPr>
        <w:tc>
          <w:tcPr>
            <w:tcW w:type="dxa" w:w="927"/>
          </w:tcPr>
          <w:p>
            <w:pPr>
              <w:spacing w:after="0"/>
            </w:pPr>
            <w:r/>
            <w:r>
              <w:rPr>
                <w:sz w:val="13"/>
              </w:rPr>
              <w:t>GET</w:t>
            </w:r>
          </w:p>
        </w:tc>
        <w:tc>
          <w:tcPr>
            <w:tcW w:type="dxa" w:w="4276"/>
          </w:tcPr>
          <w:p>
            <w:pPr>
              <w:spacing w:after="0"/>
            </w:pPr>
            <w:r/>
            <w:r>
              <w:rPr>
                <w:sz w:val="13"/>
              </w:rPr>
              <w:t>/api/v1/lhpp/groups/{id}/history</w:t>
            </w:r>
          </w:p>
        </w:tc>
        <w:tc>
          <w:tcPr>
            <w:tcW w:type="dxa" w:w="4561"/>
          </w:tcPr>
          <w:p>
            <w:pPr>
              <w:spacing w:after="0"/>
            </w:pPr>
            <w:r/>
            <w:r>
              <w:rPr>
                <w:sz w:val="13"/>
              </w:rPr>
              <w:t>Audit trail for one LHPP sheet, newest first</w:t>
            </w:r>
          </w:p>
        </w:tc>
        <w:tc>
          <w:tcPr>
            <w:tcW w:type="dxa" w:w="855"/>
          </w:tcPr>
          <w:p>
            <w:pPr>
              <w:spacing w:after="0"/>
            </w:pPr>
            <w:r/>
            <w:r>
              <w:rPr>
                <w:sz w:val="13"/>
              </w:rPr>
              <w:t>bearer</w:t>
            </w:r>
          </w:p>
        </w:tc>
        <w:tc>
          <w:tcPr>
            <w:tcW w:type="dxa" w:w="3492"/>
          </w:tcPr>
          <w:p>
            <w:pPr>
              <w:spacing w:after="0"/>
            </w:pPr>
            <w:r/>
            <w:r>
              <w:rPr>
                <w:sz w:val="13"/>
              </w:rPr>
              <w:t>sales.lhpp.view</w:t>
            </w:r>
          </w:p>
        </w:tc>
      </w:tr>
      <w:tr>
        <w:trPr>
          <w:cantSplit/>
        </w:trPr>
        <w:tc>
          <w:tcPr>
            <w:tcW w:type="dxa" w:w="927"/>
          </w:tcPr>
          <w:p>
            <w:pPr>
              <w:spacing w:after="0"/>
            </w:pPr>
            <w:r/>
            <w:r>
              <w:rPr>
                <w:sz w:val="13"/>
              </w:rPr>
              <w:t>POST</w:t>
            </w:r>
          </w:p>
        </w:tc>
        <w:tc>
          <w:tcPr>
            <w:tcW w:type="dxa" w:w="4276"/>
          </w:tcPr>
          <w:p>
            <w:pPr>
              <w:spacing w:after="0"/>
            </w:pPr>
            <w:r/>
            <w:r>
              <w:rPr>
                <w:sz w:val="13"/>
              </w:rPr>
              <w:t>/api/v1/lhpp/groups/{id}/split</w:t>
            </w:r>
          </w:p>
        </w:tc>
        <w:tc>
          <w:tcPr>
            <w:tcW w:type="dxa" w:w="4561"/>
          </w:tcPr>
          <w:p>
            <w:pPr>
              <w:spacing w:after="0"/>
            </w:pPr>
            <w:r/>
            <w:r>
              <w:rPr>
                <w:sz w:val="13"/>
              </w:rPr>
              <w:t>Split DOs out of a sheet into a new one</w:t>
            </w:r>
          </w:p>
        </w:tc>
        <w:tc>
          <w:tcPr>
            <w:tcW w:type="dxa" w:w="855"/>
          </w:tcPr>
          <w:p>
            <w:pPr>
              <w:spacing w:after="0"/>
            </w:pPr>
            <w:r/>
            <w:r>
              <w:rPr>
                <w:sz w:val="13"/>
              </w:rPr>
              <w:t>bearer</w:t>
            </w:r>
          </w:p>
        </w:tc>
        <w:tc>
          <w:tcPr>
            <w:tcW w:type="dxa" w:w="3492"/>
          </w:tcPr>
          <w:p>
            <w:pPr>
              <w:spacing w:after="0"/>
            </w:pPr>
            <w:r/>
            <w:r>
              <w:rPr>
                <w:sz w:val="13"/>
              </w:rPr>
              <w:t>sales.lhpp.merge</w:t>
            </w:r>
          </w:p>
        </w:tc>
      </w:tr>
      <w:tr>
        <w:trPr>
          <w:cantSplit/>
        </w:trPr>
        <w:tc>
          <w:tcPr>
            <w:tcW w:type="dxa" w:w="927"/>
          </w:tcPr>
          <w:p>
            <w:pPr>
              <w:spacing w:after="0"/>
            </w:pPr>
            <w:r/>
            <w:r>
              <w:rPr>
                <w:sz w:val="13"/>
              </w:rPr>
              <w:t>POST</w:t>
            </w:r>
          </w:p>
        </w:tc>
        <w:tc>
          <w:tcPr>
            <w:tcW w:type="dxa" w:w="4276"/>
          </w:tcPr>
          <w:p>
            <w:pPr>
              <w:spacing w:after="0"/>
            </w:pPr>
            <w:r/>
            <w:r>
              <w:rPr>
                <w:sz w:val="13"/>
              </w:rPr>
              <w:t>/api/v1/lhpp/groups/{id}/void</w:t>
            </w:r>
          </w:p>
        </w:tc>
        <w:tc>
          <w:tcPr>
            <w:tcW w:type="dxa" w:w="4561"/>
          </w:tcPr>
          <w:p>
            <w:pPr>
              <w:spacing w:after="0"/>
            </w:pPr>
            <w:r/>
            <w:r>
              <w:rPr>
                <w:sz w:val="13"/>
              </w:rPr>
              <w:t>Void an LHPP sheet, releasing its DOs for re-batching</w:t>
            </w:r>
          </w:p>
        </w:tc>
        <w:tc>
          <w:tcPr>
            <w:tcW w:type="dxa" w:w="855"/>
          </w:tcPr>
          <w:p>
            <w:pPr>
              <w:spacing w:after="0"/>
            </w:pPr>
            <w:r/>
            <w:r>
              <w:rPr>
                <w:sz w:val="13"/>
              </w:rPr>
              <w:t>bearer</w:t>
            </w:r>
          </w:p>
        </w:tc>
        <w:tc>
          <w:tcPr>
            <w:tcW w:type="dxa" w:w="3492"/>
          </w:tcPr>
          <w:p>
            <w:pPr>
              <w:spacing w:after="0"/>
            </w:pPr>
            <w:r/>
            <w:r>
              <w:rPr>
                <w:sz w:val="13"/>
              </w:rPr>
              <w:t>sales.lhpp.merge</w:t>
            </w:r>
          </w:p>
        </w:tc>
      </w:tr>
      <w:tr>
        <w:trPr>
          <w:cantSplit/>
        </w:trPr>
        <w:tc>
          <w:tcPr>
            <w:tcW w:type="dxa" w:w="927"/>
          </w:tcPr>
          <w:p>
            <w:pPr>
              <w:spacing w:after="0"/>
            </w:pPr>
            <w:r/>
            <w:r>
              <w:rPr>
                <w:sz w:val="13"/>
              </w:rPr>
              <w:t>GET</w:t>
            </w:r>
          </w:p>
        </w:tc>
        <w:tc>
          <w:tcPr>
            <w:tcW w:type="dxa" w:w="4276"/>
          </w:tcPr>
          <w:p>
            <w:pPr>
              <w:spacing w:after="0"/>
            </w:pPr>
            <w:r/>
            <w:r>
              <w:rPr>
                <w:sz w:val="13"/>
              </w:rPr>
              <w:t>/api/v1/lhpp/sales</w:t>
            </w:r>
          </w:p>
        </w:tc>
        <w:tc>
          <w:tcPr>
            <w:tcW w:type="dxa" w:w="4561"/>
          </w:tcPr>
          <w:p>
            <w:pPr>
              <w:spacing w:after="0"/>
            </w:pPr>
            <w:r/>
            <w:r>
              <w:rPr>
                <w:sz w:val="13"/>
              </w:rPr>
              <w:t>List Sales LHPP sheets (billing visits grouped by sales rep + visit date)</w:t>
            </w:r>
          </w:p>
        </w:tc>
        <w:tc>
          <w:tcPr>
            <w:tcW w:type="dxa" w:w="855"/>
          </w:tcPr>
          <w:p>
            <w:pPr>
              <w:spacing w:after="0"/>
            </w:pPr>
            <w:r/>
            <w:r>
              <w:rPr>
                <w:sz w:val="13"/>
              </w:rPr>
              <w:t>bearer</w:t>
            </w:r>
          </w:p>
        </w:tc>
        <w:tc>
          <w:tcPr>
            <w:tcW w:type="dxa" w:w="3492"/>
          </w:tcPr>
          <w:p>
            <w:pPr>
              <w:spacing w:after="0"/>
            </w:pPr>
            <w:r/>
            <w:r>
              <w:rPr>
                <w:sz w:val="13"/>
              </w:rPr>
              <w:t>sales.lhpp.view</w:t>
            </w:r>
          </w:p>
        </w:tc>
      </w:tr>
      <w:tr>
        <w:trPr>
          <w:cantSplit/>
        </w:trPr>
        <w:tc>
          <w:tcPr>
            <w:tcW w:type="dxa" w:w="927"/>
          </w:tcPr>
          <w:p>
            <w:pPr>
              <w:spacing w:after="0"/>
            </w:pPr>
            <w:r/>
            <w:r>
              <w:rPr>
                <w:sz w:val="13"/>
              </w:rPr>
              <w:t>GET</w:t>
            </w:r>
          </w:p>
        </w:tc>
        <w:tc>
          <w:tcPr>
            <w:tcW w:type="dxa" w:w="4276"/>
          </w:tcPr>
          <w:p>
            <w:pPr>
              <w:spacing w:after="0"/>
            </w:pPr>
            <w:r/>
            <w:r>
              <w:rPr>
                <w:sz w:val="13"/>
              </w:rPr>
              <w:t>/api/v1/lhpp/sales/me</w:t>
            </w:r>
          </w:p>
        </w:tc>
        <w:tc>
          <w:tcPr>
            <w:tcW w:type="dxa" w:w="4561"/>
          </w:tcPr>
          <w:p>
            <w:pPr>
              <w:spacing w:after="0"/>
            </w:pPr>
            <w:r/>
            <w:r>
              <w:rPr>
                <w:sz w:val="13"/>
              </w:rPr>
              <w:t>List the caller's own Sales LHPP sheets</w:t>
            </w:r>
          </w:p>
        </w:tc>
        <w:tc>
          <w:tcPr>
            <w:tcW w:type="dxa" w:w="855"/>
          </w:tcPr>
          <w:p>
            <w:pPr>
              <w:spacing w:after="0"/>
            </w:pPr>
            <w:r/>
            <w:r>
              <w:rPr>
                <w:sz w:val="13"/>
              </w:rPr>
              <w:t>bearer</w:t>
            </w:r>
          </w:p>
        </w:tc>
        <w:tc>
          <w:tcPr>
            <w:tcW w:type="dxa" w:w="3492"/>
          </w:tcPr>
          <w:p>
            <w:pPr>
              <w:spacing w:after="0"/>
            </w:pPr>
            <w:r/>
            <w:r>
              <w:rPr>
                <w:sz w:val="13"/>
              </w:rPr>
              <w:t>sales.lhpp.view</w:t>
            </w:r>
          </w:p>
        </w:tc>
      </w:tr>
      <w:tr>
        <w:trPr>
          <w:cantSplit/>
        </w:trPr>
        <w:tc>
          <w:tcPr>
            <w:tcW w:type="dxa" w:w="927"/>
          </w:tcPr>
          <w:p>
            <w:pPr>
              <w:spacing w:after="0"/>
            </w:pPr>
            <w:r/>
            <w:r>
              <w:rPr>
                <w:sz w:val="13"/>
              </w:rPr>
              <w:t>GET</w:t>
            </w:r>
          </w:p>
        </w:tc>
        <w:tc>
          <w:tcPr>
            <w:tcW w:type="dxa" w:w="4276"/>
          </w:tcPr>
          <w:p>
            <w:pPr>
              <w:spacing w:after="0"/>
            </w:pPr>
            <w:r/>
            <w:r>
              <w:rPr>
                <w:sz w:val="13"/>
              </w:rPr>
              <w:t>/api/v1/lhpp/sales/{id}</w:t>
            </w:r>
          </w:p>
        </w:tc>
        <w:tc>
          <w:tcPr>
            <w:tcW w:type="dxa" w:w="4561"/>
          </w:tcPr>
          <w:p>
            <w:pPr>
              <w:spacing w:after="0"/>
            </w:pPr>
            <w:r/>
            <w:r>
              <w:rPr>
                <w:sz w:val="13"/>
              </w:rPr>
              <w:t>Sales LHPP detail with visit/invoice items</w:t>
            </w:r>
          </w:p>
        </w:tc>
        <w:tc>
          <w:tcPr>
            <w:tcW w:type="dxa" w:w="855"/>
          </w:tcPr>
          <w:p>
            <w:pPr>
              <w:spacing w:after="0"/>
            </w:pPr>
            <w:r/>
            <w:r>
              <w:rPr>
                <w:sz w:val="13"/>
              </w:rPr>
              <w:t>bearer</w:t>
            </w:r>
          </w:p>
        </w:tc>
        <w:tc>
          <w:tcPr>
            <w:tcW w:type="dxa" w:w="3492"/>
          </w:tcPr>
          <w:p>
            <w:pPr>
              <w:spacing w:after="0"/>
            </w:pPr>
            <w:r/>
            <w:r>
              <w:rPr>
                <w:sz w:val="13"/>
              </w:rPr>
              <w:t>sales.lhpp.view</w:t>
            </w:r>
          </w:p>
        </w:tc>
      </w:tr>
      <w:tr>
        <w:trPr>
          <w:cantSplit/>
        </w:trPr>
        <w:tc>
          <w:tcPr>
            <w:tcW w:type="dxa" w:w="927"/>
          </w:tcPr>
          <w:p>
            <w:pPr>
              <w:spacing w:after="0"/>
            </w:pPr>
            <w:r/>
            <w:r>
              <w:rPr>
                <w:sz w:val="13"/>
              </w:rPr>
              <w:t>POST</w:t>
            </w:r>
          </w:p>
        </w:tc>
        <w:tc>
          <w:tcPr>
            <w:tcW w:type="dxa" w:w="4276"/>
          </w:tcPr>
          <w:p>
            <w:pPr>
              <w:spacing w:after="0"/>
            </w:pPr>
            <w:r/>
            <w:r>
              <w:rPr>
                <w:sz w:val="13"/>
              </w:rPr>
              <w:t>/api/v1/lhpp/sales/{id}/payments</w:t>
            </w:r>
          </w:p>
        </w:tc>
        <w:tc>
          <w:tcPr>
            <w:tcW w:type="dxa" w:w="4561"/>
          </w:tcPr>
          <w:p>
            <w:pPr>
              <w:spacing w:after="0"/>
            </w:pPr>
            <w:r/>
            <w:r>
              <w:rPr>
                <w:sz w:val="13"/>
              </w:rPr>
              <w:t>Record a payment against an open invoice on a Sales LHPP sheet (posts to the invoice ledger)</w:t>
            </w:r>
          </w:p>
        </w:tc>
        <w:tc>
          <w:tcPr>
            <w:tcW w:type="dxa" w:w="855"/>
          </w:tcPr>
          <w:p>
            <w:pPr>
              <w:spacing w:after="0"/>
            </w:pPr>
            <w:r/>
            <w:r>
              <w:rPr>
                <w:sz w:val="13"/>
              </w:rPr>
              <w:t>bearer</w:t>
            </w:r>
          </w:p>
        </w:tc>
        <w:tc>
          <w:tcPr>
            <w:tcW w:type="dxa" w:w="3492"/>
          </w:tcPr>
          <w:p>
            <w:pPr>
              <w:spacing w:after="0"/>
            </w:pPr>
            <w:r/>
            <w:r>
              <w:rPr>
                <w:sz w:val="13"/>
              </w:rPr>
              <w:t>sales.lhpp.pay</w:t>
            </w:r>
          </w:p>
        </w:tc>
      </w:tr>
      <w:tr>
        <w:trPr>
          <w:cantSplit/>
        </w:trPr>
        <w:tc>
          <w:tcPr>
            <w:tcW w:type="dxa" w:w="927"/>
          </w:tcPr>
          <w:p>
            <w:pPr>
              <w:spacing w:after="0"/>
            </w:pPr>
            <w:r/>
            <w:r>
              <w:rPr>
                <w:sz w:val="13"/>
              </w:rPr>
              <w:t>GET</w:t>
            </w:r>
          </w:p>
        </w:tc>
        <w:tc>
          <w:tcPr>
            <w:tcW w:type="dxa" w:w="4276"/>
          </w:tcPr>
          <w:p>
            <w:pPr>
              <w:spacing w:after="0"/>
            </w:pPr>
            <w:r/>
            <w:r>
              <w:rPr>
                <w:sz w:val="13"/>
              </w:rPr>
              <w:t>/api/v1/lhpp/{id}</w:t>
            </w:r>
          </w:p>
        </w:tc>
        <w:tc>
          <w:tcPr>
            <w:tcW w:type="dxa" w:w="4561"/>
          </w:tcPr>
          <w:p>
            <w:pPr>
              <w:spacing w:after="0"/>
            </w:pPr>
            <w:r/>
            <w:r>
              <w:rPr>
                <w:sz w:val="13"/>
              </w:rPr>
              <w:t>LHPP detail with DO items</w:t>
            </w:r>
          </w:p>
        </w:tc>
        <w:tc>
          <w:tcPr>
            <w:tcW w:type="dxa" w:w="855"/>
          </w:tcPr>
          <w:p>
            <w:pPr>
              <w:spacing w:after="0"/>
            </w:pPr>
            <w:r/>
            <w:r>
              <w:rPr>
                <w:sz w:val="13"/>
              </w:rPr>
              <w:t>bearer</w:t>
            </w:r>
          </w:p>
        </w:tc>
        <w:tc>
          <w:tcPr>
            <w:tcW w:type="dxa" w:w="3492"/>
          </w:tcPr>
          <w:p>
            <w:pPr>
              <w:spacing w:after="0"/>
            </w:pPr>
            <w:r/>
            <w:r>
              <w:rPr>
                <w:sz w:val="13"/>
              </w:rPr>
              <w:t>sales.lhpp.view</w:t>
            </w:r>
          </w:p>
        </w:tc>
      </w:tr>
      <w:tr>
        <w:trPr>
          <w:cantSplit/>
        </w:trPr>
        <w:tc>
          <w:tcPr>
            <w:tcW w:type="dxa" w:w="927"/>
          </w:tcPr>
          <w:p>
            <w:pPr>
              <w:spacing w:after="0"/>
            </w:pPr>
            <w:r/>
            <w:r>
              <w:rPr>
                <w:sz w:val="13"/>
              </w:rPr>
              <w:t>POST</w:t>
            </w:r>
          </w:p>
        </w:tc>
        <w:tc>
          <w:tcPr>
            <w:tcW w:type="dxa" w:w="4276"/>
          </w:tcPr>
          <w:p>
            <w:pPr>
              <w:spacing w:after="0"/>
            </w:pPr>
            <w:r/>
            <w:r>
              <w:rPr>
                <w:sz w:val="13"/>
              </w:rPr>
              <w:t>/api/v1/lhpp/{id}/payments</w:t>
            </w:r>
          </w:p>
        </w:tc>
        <w:tc>
          <w:tcPr>
            <w:tcW w:type="dxa" w:w="4561"/>
          </w:tcPr>
          <w:p>
            <w:pPr>
              <w:spacing w:after="0"/>
            </w:pPr>
            <w:r/>
            <w:r>
              <w:rPr>
                <w:sz w:val="13"/>
              </w:rPr>
              <w:t>Record an LHPP DO payment (posts to the invoice ledger)</w:t>
            </w:r>
          </w:p>
        </w:tc>
        <w:tc>
          <w:tcPr>
            <w:tcW w:type="dxa" w:w="855"/>
          </w:tcPr>
          <w:p>
            <w:pPr>
              <w:spacing w:after="0"/>
            </w:pPr>
            <w:r/>
            <w:r>
              <w:rPr>
                <w:sz w:val="13"/>
              </w:rPr>
              <w:t>bearer</w:t>
            </w:r>
          </w:p>
        </w:tc>
        <w:tc>
          <w:tcPr>
            <w:tcW w:type="dxa" w:w="3492"/>
          </w:tcPr>
          <w:p>
            <w:pPr>
              <w:spacing w:after="0"/>
            </w:pPr>
            <w:r/>
            <w:r>
              <w:rPr>
                <w:sz w:val="13"/>
              </w:rPr>
              <w:t>sales.lhpp.pay</w:t>
            </w:r>
          </w:p>
        </w:tc>
      </w:tr>
      <w:tr>
        <w:trPr>
          <w:cantSplit/>
        </w:trPr>
        <w:tc>
          <w:tcPr>
            <w:tcW w:type="dxa" w:w="927"/>
          </w:tcPr>
          <w:p>
            <w:pPr>
              <w:spacing w:after="0"/>
            </w:pPr>
            <w:r/>
            <w:r>
              <w:rPr>
                <w:sz w:val="13"/>
              </w:rPr>
              <w:t>POST</w:t>
            </w:r>
          </w:p>
        </w:tc>
        <w:tc>
          <w:tcPr>
            <w:tcW w:type="dxa" w:w="4276"/>
          </w:tcPr>
          <w:p>
            <w:pPr>
              <w:spacing w:after="0"/>
            </w:pPr>
            <w:r/>
            <w:r>
              <w:rPr>
                <w:sz w:val="13"/>
              </w:rPr>
              <w:t>/api/v1/shipments/{id}/deliver</w:t>
            </w:r>
          </w:p>
        </w:tc>
        <w:tc>
          <w:tcPr>
            <w:tcW w:type="dxa" w:w="4561"/>
          </w:tcPr>
          <w:p>
            <w:pPr>
              <w:spacing w:after="0"/>
            </w:pPr>
            <w:r/>
            <w:r>
              <w:rPr>
                <w:sz w:val="13"/>
              </w:rPr>
              <w:t>Mark a shipment as delivered</w:t>
            </w:r>
          </w:p>
        </w:tc>
        <w:tc>
          <w:tcPr>
            <w:tcW w:type="dxa" w:w="855"/>
          </w:tcPr>
          <w:p>
            <w:pPr>
              <w:spacing w:after="0"/>
            </w:pPr>
            <w:r/>
            <w:r>
              <w:rPr>
                <w:sz w:val="13"/>
              </w:rPr>
              <w:t>bearer</w:t>
            </w:r>
          </w:p>
        </w:tc>
        <w:tc>
          <w:tcPr>
            <w:tcW w:type="dxa" w:w="3492"/>
          </w:tcPr>
          <w:p>
            <w:pPr>
              <w:spacing w:after="0"/>
            </w:pPr>
            <w:r/>
            <w:r>
              <w:rPr>
                <w:sz w:val="13"/>
              </w:rPr>
              <w:t>distribution.shipments.deliver</w:t>
            </w:r>
          </w:p>
        </w:tc>
      </w:tr>
      <w:tr>
        <w:trPr>
          <w:cantSplit/>
        </w:trPr>
        <w:tc>
          <w:tcPr>
            <w:tcW w:type="dxa" w:w="927"/>
          </w:tcPr>
          <w:p>
            <w:pPr>
              <w:spacing w:after="0"/>
            </w:pPr>
            <w:r/>
            <w:r>
              <w:rPr>
                <w:sz w:val="13"/>
              </w:rPr>
              <w:t>GET</w:t>
            </w:r>
          </w:p>
        </w:tc>
        <w:tc>
          <w:tcPr>
            <w:tcW w:type="dxa" w:w="4276"/>
          </w:tcPr>
          <w:p>
            <w:pPr>
              <w:spacing w:after="0"/>
            </w:pPr>
            <w:r/>
            <w:r>
              <w:rPr>
                <w:sz w:val="13"/>
              </w:rPr>
              <w:t>/api/v1/shipments/{id}/tracking</w:t>
            </w:r>
          </w:p>
        </w:tc>
        <w:tc>
          <w:tcPr>
            <w:tcW w:type="dxa" w:w="4561"/>
          </w:tcPr>
          <w:p>
            <w:pPr>
              <w:spacing w:after="0"/>
            </w:pPr>
            <w:r/>
            <w:r>
              <w:rPr>
                <w:sz w:val="13"/>
              </w:rPr>
              <w:t>Shipment tracking summary (latest point, history, real-time availability)</w:t>
            </w:r>
          </w:p>
        </w:tc>
        <w:tc>
          <w:tcPr>
            <w:tcW w:type="dxa" w:w="855"/>
          </w:tcPr>
          <w:p>
            <w:pPr>
              <w:spacing w:after="0"/>
            </w:pPr>
            <w:r/>
            <w:r>
              <w:rPr>
                <w:sz w:val="13"/>
              </w:rPr>
              <w:t>bearer</w:t>
            </w:r>
          </w:p>
        </w:tc>
        <w:tc>
          <w:tcPr>
            <w:tcW w:type="dxa" w:w="3492"/>
          </w:tcPr>
          <w:p>
            <w:pPr>
              <w:spacing w:after="0"/>
            </w:pPr>
            <w:r/>
            <w:r>
              <w:rPr>
                <w:sz w:val="13"/>
              </w:rPr>
              <w:t>distribution.shipments.view</w:t>
            </w:r>
          </w:p>
        </w:tc>
      </w:tr>
      <w:tr>
        <w:trPr>
          <w:cantSplit/>
        </w:trPr>
        <w:tc>
          <w:tcPr>
            <w:tcW w:type="dxa" w:w="927"/>
          </w:tcPr>
          <w:p>
            <w:pPr>
              <w:spacing w:after="0"/>
            </w:pPr>
            <w:r/>
            <w:r>
              <w:rPr>
                <w:sz w:val="13"/>
              </w:rPr>
              <w:t>POST</w:t>
            </w:r>
          </w:p>
        </w:tc>
        <w:tc>
          <w:tcPr>
            <w:tcW w:type="dxa" w:w="4276"/>
          </w:tcPr>
          <w:p>
            <w:pPr>
              <w:spacing w:after="0"/>
            </w:pPr>
            <w:r/>
            <w:r>
              <w:rPr>
                <w:sz w:val="13"/>
              </w:rPr>
              <w:t>/api/v1/shipments/{id}/tracking/events</w:t>
            </w:r>
          </w:p>
        </w:tc>
        <w:tc>
          <w:tcPr>
            <w:tcW w:type="dxa" w:w="4561"/>
          </w:tcPr>
          <w:p>
            <w:pPr>
              <w:spacing w:after="0"/>
            </w:pPr>
            <w:r/>
            <w:r>
              <w:rPr>
                <w:sz w:val="13"/>
              </w:rPr>
              <w:t>Append a shipment tracking event (manual or third-party push)</w:t>
            </w:r>
          </w:p>
        </w:tc>
        <w:tc>
          <w:tcPr>
            <w:tcW w:type="dxa" w:w="855"/>
          </w:tcPr>
          <w:p>
            <w:pPr>
              <w:spacing w:after="0"/>
            </w:pPr>
            <w:r/>
            <w:r>
              <w:rPr>
                <w:sz w:val="13"/>
              </w:rPr>
              <w:t>bearer</w:t>
            </w:r>
          </w:p>
        </w:tc>
        <w:tc>
          <w:tcPr>
            <w:tcW w:type="dxa" w:w="3492"/>
          </w:tcPr>
          <w:p>
            <w:pPr>
              <w:spacing w:after="0"/>
            </w:pPr>
            <w:r/>
            <w:r>
              <w:rPr>
                <w:sz w:val="13"/>
              </w:rPr>
              <w:t>distribution.tracking.record</w:t>
            </w:r>
          </w:p>
        </w:tc>
      </w:tr>
      <w:tr>
        <w:trPr>
          <w:cantSplit/>
        </w:trPr>
        <w:tc>
          <w:tcPr>
            <w:tcW w:type="dxa" w:w="927"/>
          </w:tcPr>
          <w:p>
            <w:pPr>
              <w:spacing w:after="0"/>
            </w:pPr>
            <w:r/>
            <w:r>
              <w:rPr>
                <w:sz w:val="13"/>
              </w:rPr>
              <w:t>GET</w:t>
            </w:r>
          </w:p>
        </w:tc>
        <w:tc>
          <w:tcPr>
            <w:tcW w:type="dxa" w:w="4276"/>
          </w:tcPr>
          <w:p>
            <w:pPr>
              <w:spacing w:after="0"/>
            </w:pPr>
            <w:r/>
            <w:r>
              <w:rPr>
                <w:sz w:val="13"/>
              </w:rPr>
              <w:t>/api/v1/shipments/{id}/tracking/latest</w:t>
            </w:r>
          </w:p>
        </w:tc>
        <w:tc>
          <w:tcPr>
            <w:tcW w:type="dxa" w:w="4561"/>
          </w:tcPr>
          <w:p>
            <w:pPr>
              <w:spacing w:after="0"/>
            </w:pPr>
            <w:r/>
            <w:r>
              <w:rPr>
                <w:sz w:val="13"/>
              </w:rPr>
              <w:t>Latest known GPS fix for one shipment</w:t>
            </w:r>
          </w:p>
        </w:tc>
        <w:tc>
          <w:tcPr>
            <w:tcW w:type="dxa" w:w="855"/>
          </w:tcPr>
          <w:p>
            <w:pPr>
              <w:spacing w:after="0"/>
            </w:pPr>
            <w:r/>
            <w:r>
              <w:rPr>
                <w:sz w:val="13"/>
              </w:rPr>
              <w:t>bearer</w:t>
            </w:r>
          </w:p>
        </w:tc>
        <w:tc>
          <w:tcPr>
            <w:tcW w:type="dxa" w:w="3492"/>
          </w:tcPr>
          <w:p>
            <w:pPr>
              <w:spacing w:after="0"/>
            </w:pPr>
            <w:r/>
            <w:r>
              <w:rPr>
                <w:sz w:val="13"/>
              </w:rPr>
              <w:t>distribution.tracking.lookup</w:t>
            </w:r>
          </w:p>
        </w:tc>
      </w:tr>
      <w:tr>
        <w:trPr>
          <w:cantSplit/>
        </w:trPr>
        <w:tc>
          <w:tcPr>
            <w:tcW w:type="dxa" w:w="927"/>
          </w:tcPr>
          <w:p>
            <w:pPr>
              <w:spacing w:after="0"/>
            </w:pPr>
            <w:r/>
            <w:r>
              <w:rPr>
                <w:sz w:val="13"/>
              </w:rPr>
              <w:t>GET</w:t>
            </w:r>
          </w:p>
        </w:tc>
        <w:tc>
          <w:tcPr>
            <w:tcW w:type="dxa" w:w="4276"/>
          </w:tcPr>
          <w:p>
            <w:pPr>
              <w:spacing w:after="0"/>
            </w:pPr>
            <w:r/>
            <w:r>
              <w:rPr>
                <w:sz w:val="13"/>
              </w:rPr>
              <w:t>/api/v1/tracking/lookup</w:t>
            </w:r>
          </w:p>
        </w:tc>
        <w:tc>
          <w:tcPr>
            <w:tcW w:type="dxa" w:w="4561"/>
          </w:tcPr>
          <w:p>
            <w:pPr>
              <w:spacing w:after="0"/>
            </w:pPr>
            <w:r/>
            <w:r>
              <w:rPr>
                <w:sz w:val="13"/>
              </w:rPr>
              <w:t>Resolve a DO number, shipment number, barcode, or tracking number to shipments</w:t>
            </w:r>
          </w:p>
        </w:tc>
        <w:tc>
          <w:tcPr>
            <w:tcW w:type="dxa" w:w="855"/>
          </w:tcPr>
          <w:p>
            <w:pPr>
              <w:spacing w:after="0"/>
            </w:pPr>
            <w:r/>
            <w:r>
              <w:rPr>
                <w:sz w:val="13"/>
              </w:rPr>
              <w:t>bearer</w:t>
            </w:r>
          </w:p>
        </w:tc>
        <w:tc>
          <w:tcPr>
            <w:tcW w:type="dxa" w:w="3492"/>
          </w:tcPr>
          <w:p>
            <w:pPr>
              <w:spacing w:after="0"/>
            </w:pPr>
            <w:r/>
            <w:r>
              <w:rPr>
                <w:sz w:val="13"/>
              </w:rPr>
              <w:t>distribution.tracking.lookup</w:t>
            </w:r>
          </w:p>
        </w:tc>
      </w:tr>
      <w:tr>
        <w:trPr>
          <w:cantSplit/>
        </w:trPr>
        <w:tc>
          <w:tcPr>
            <w:tcW w:type="dxa" w:w="927"/>
          </w:tcPr>
          <w:p>
            <w:pPr>
              <w:spacing w:after="0"/>
            </w:pPr>
            <w:r/>
            <w:r>
              <w:rPr>
                <w:sz w:val="13"/>
              </w:rPr>
              <w:t>GET</w:t>
            </w:r>
          </w:p>
        </w:tc>
        <w:tc>
          <w:tcPr>
            <w:tcW w:type="dxa" w:w="4276"/>
          </w:tcPr>
          <w:p>
            <w:pPr>
              <w:spacing w:after="0"/>
            </w:pPr>
            <w:r/>
            <w:r>
              <w:rPr>
                <w:sz w:val="13"/>
              </w:rPr>
              <w:t>/api/v1/warehouse-deposits</w:t>
            </w:r>
          </w:p>
        </w:tc>
        <w:tc>
          <w:tcPr>
            <w:tcW w:type="dxa" w:w="4561"/>
          </w:tcPr>
          <w:p>
            <w:pPr>
              <w:spacing w:after="0"/>
            </w:pPr>
            <w:r/>
            <w:r>
              <w:rPr>
                <w:sz w:val="13"/>
              </w:rPr>
              <w:t>List warehouse driver deposits</w:t>
            </w:r>
          </w:p>
        </w:tc>
        <w:tc>
          <w:tcPr>
            <w:tcW w:type="dxa" w:w="855"/>
          </w:tcPr>
          <w:p>
            <w:pPr>
              <w:spacing w:after="0"/>
            </w:pPr>
            <w:r/>
            <w:r>
              <w:rPr>
                <w:sz w:val="13"/>
              </w:rPr>
              <w:t>bearer</w:t>
            </w:r>
          </w:p>
        </w:tc>
        <w:tc>
          <w:tcPr>
            <w:tcW w:type="dxa" w:w="3492"/>
          </w:tcPr>
          <w:p>
            <w:pPr>
              <w:spacing w:after="0"/>
            </w:pPr>
            <w:r/>
            <w:r>
              <w:rPr>
                <w:sz w:val="13"/>
              </w:rPr>
              <w:t>distribution.warehouse.view</w:t>
            </w:r>
          </w:p>
        </w:tc>
      </w:tr>
      <w:tr>
        <w:trPr>
          <w:cantSplit/>
        </w:trPr>
        <w:tc>
          <w:tcPr>
            <w:tcW w:type="dxa" w:w="927"/>
          </w:tcPr>
          <w:p>
            <w:pPr>
              <w:spacing w:after="0"/>
            </w:pPr>
            <w:r/>
            <w:r>
              <w:rPr>
                <w:sz w:val="13"/>
              </w:rPr>
              <w:t>POST</w:t>
            </w:r>
          </w:p>
        </w:tc>
        <w:tc>
          <w:tcPr>
            <w:tcW w:type="dxa" w:w="4276"/>
          </w:tcPr>
          <w:p>
            <w:pPr>
              <w:spacing w:after="0"/>
            </w:pPr>
            <w:r/>
            <w:r>
              <w:rPr>
                <w:sz w:val="13"/>
              </w:rPr>
              <w:t>/api/v1/warehouse-deposits</w:t>
            </w:r>
          </w:p>
        </w:tc>
        <w:tc>
          <w:tcPr>
            <w:tcW w:type="dxa" w:w="4561"/>
          </w:tcPr>
          <w:p>
            <w:pPr>
              <w:spacing w:after="0"/>
            </w:pPr>
            <w:r/>
            <w:r>
              <w:rPr>
                <w:sz w:val="13"/>
              </w:rPr>
              <w:t>Record a Setoran from a checklist of not-yet-deposited cash/giro payments</w:t>
            </w:r>
          </w:p>
        </w:tc>
        <w:tc>
          <w:tcPr>
            <w:tcW w:type="dxa" w:w="855"/>
          </w:tcPr>
          <w:p>
            <w:pPr>
              <w:spacing w:after="0"/>
            </w:pPr>
            <w:r/>
            <w:r>
              <w:rPr>
                <w:sz w:val="13"/>
              </w:rPr>
              <w:t>bearer</w:t>
            </w:r>
          </w:p>
        </w:tc>
        <w:tc>
          <w:tcPr>
            <w:tcW w:type="dxa" w:w="3492"/>
          </w:tcPr>
          <w:p>
            <w:pPr>
              <w:spacing w:after="0"/>
            </w:pPr>
            <w:r/>
            <w:r>
              <w:rPr>
                <w:sz w:val="13"/>
              </w:rPr>
              <w:t>distribution.warehouse.create</w:t>
            </w:r>
          </w:p>
        </w:tc>
      </w:tr>
      <w:tr>
        <w:trPr>
          <w:cantSplit/>
        </w:trPr>
        <w:tc>
          <w:tcPr>
            <w:tcW w:type="dxa" w:w="927"/>
          </w:tcPr>
          <w:p>
            <w:pPr>
              <w:spacing w:after="0"/>
            </w:pPr>
            <w:r/>
            <w:r>
              <w:rPr>
                <w:sz w:val="13"/>
              </w:rPr>
              <w:t>GET</w:t>
            </w:r>
          </w:p>
        </w:tc>
        <w:tc>
          <w:tcPr>
            <w:tcW w:type="dxa" w:w="4276"/>
          </w:tcPr>
          <w:p>
            <w:pPr>
              <w:spacing w:after="0"/>
            </w:pPr>
            <w:r/>
            <w:r>
              <w:rPr>
                <w:sz w:val="13"/>
              </w:rPr>
              <w:t>/api/v1/warehouse-deposits/undeposited-payments</w:t>
            </w:r>
          </w:p>
        </w:tc>
        <w:tc>
          <w:tcPr>
            <w:tcW w:type="dxa" w:w="4561"/>
          </w:tcPr>
          <w:p>
            <w:pPr>
              <w:spacing w:after="0"/>
            </w:pPr>
            <w:r/>
            <w:r>
              <w:rPr>
                <w:sz w:val="13"/>
              </w:rPr>
              <w:t>Cash/giro payments not yet claimed by any Setoran (the "Catat Setoran" checklist source)</w:t>
            </w:r>
          </w:p>
        </w:tc>
        <w:tc>
          <w:tcPr>
            <w:tcW w:type="dxa" w:w="855"/>
          </w:tcPr>
          <w:p>
            <w:pPr>
              <w:spacing w:after="0"/>
            </w:pPr>
            <w:r/>
            <w:r>
              <w:rPr>
                <w:sz w:val="13"/>
              </w:rPr>
              <w:t>bearer</w:t>
            </w:r>
          </w:p>
        </w:tc>
        <w:tc>
          <w:tcPr>
            <w:tcW w:type="dxa" w:w="3492"/>
          </w:tcPr>
          <w:p>
            <w:pPr>
              <w:spacing w:after="0"/>
            </w:pPr>
            <w:r/>
            <w:r>
              <w:rPr>
                <w:sz w:val="13"/>
              </w:rPr>
              <w:t>distribution.warehouse.create</w:t>
            </w:r>
          </w:p>
        </w:tc>
      </w:tr>
      <w:tr>
        <w:trPr>
          <w:cantSplit/>
        </w:trPr>
        <w:tc>
          <w:tcPr>
            <w:tcW w:type="dxa" w:w="927"/>
          </w:tcPr>
          <w:p>
            <w:pPr>
              <w:spacing w:after="0"/>
            </w:pPr>
            <w:r/>
            <w:r>
              <w:rPr>
                <w:sz w:val="13"/>
              </w:rPr>
              <w:t>GET</w:t>
            </w:r>
          </w:p>
        </w:tc>
        <w:tc>
          <w:tcPr>
            <w:tcW w:type="dxa" w:w="4276"/>
          </w:tcPr>
          <w:p>
            <w:pPr>
              <w:spacing w:after="0"/>
            </w:pPr>
            <w:r/>
            <w:r>
              <w:rPr>
                <w:sz w:val="13"/>
              </w:rPr>
              <w:t>/api/v1/warehouse-deposits/{id}</w:t>
            </w:r>
          </w:p>
        </w:tc>
        <w:tc>
          <w:tcPr>
            <w:tcW w:type="dxa" w:w="4561"/>
          </w:tcPr>
          <w:p>
            <w:pPr>
              <w:spacing w:after="0"/>
            </w:pPr>
            <w:r/>
            <w:r>
              <w:rPr>
                <w:sz w:val="13"/>
              </w:rPr>
              <w:t>Get warehouse driver deposit by ID</w:t>
            </w:r>
          </w:p>
        </w:tc>
        <w:tc>
          <w:tcPr>
            <w:tcW w:type="dxa" w:w="855"/>
          </w:tcPr>
          <w:p>
            <w:pPr>
              <w:spacing w:after="0"/>
            </w:pPr>
            <w:r/>
            <w:r>
              <w:rPr>
                <w:sz w:val="13"/>
              </w:rPr>
              <w:t>bearer</w:t>
            </w:r>
          </w:p>
        </w:tc>
        <w:tc>
          <w:tcPr>
            <w:tcW w:type="dxa" w:w="3492"/>
          </w:tcPr>
          <w:p>
            <w:pPr>
              <w:spacing w:after="0"/>
            </w:pPr>
            <w:r/>
            <w:r>
              <w:rPr>
                <w:sz w:val="13"/>
              </w:rPr>
              <w:t>distribution.warehouse.view</w:t>
            </w:r>
          </w:p>
        </w:tc>
      </w:tr>
      <w:tr>
        <w:trPr>
          <w:cantSplit/>
        </w:trPr>
        <w:tc>
          <w:tcPr>
            <w:tcW w:type="dxa" w:w="927"/>
          </w:tcPr>
          <w:p>
            <w:pPr>
              <w:spacing w:after="0"/>
            </w:pPr>
            <w:r/>
            <w:r>
              <w:rPr>
                <w:sz w:val="13"/>
              </w:rPr>
              <w:t>POST</w:t>
            </w:r>
          </w:p>
        </w:tc>
        <w:tc>
          <w:tcPr>
            <w:tcW w:type="dxa" w:w="4276"/>
          </w:tcPr>
          <w:p>
            <w:pPr>
              <w:spacing w:after="0"/>
            </w:pPr>
            <w:r/>
            <w:r>
              <w:rPr>
                <w:sz w:val="13"/>
              </w:rPr>
              <w:t>/api/v1/warehouse-deposits/{id}/receive</w:t>
            </w:r>
          </w:p>
        </w:tc>
        <w:tc>
          <w:tcPr>
            <w:tcW w:type="dxa" w:w="4561"/>
          </w:tcPr>
          <w:p>
            <w:pPr>
              <w:spacing w:after="0"/>
            </w:pPr>
            <w:r/>
            <w:r>
              <w:rPr>
                <w:sz w:val="13"/>
              </w:rPr>
              <w:t>Kasir Pusat confirms custody of a Setoran (no shift/drawer involved)</w:t>
            </w:r>
          </w:p>
        </w:tc>
        <w:tc>
          <w:tcPr>
            <w:tcW w:type="dxa" w:w="855"/>
          </w:tcPr>
          <w:p>
            <w:pPr>
              <w:spacing w:after="0"/>
            </w:pPr>
            <w:r/>
            <w:r>
              <w:rPr>
                <w:sz w:val="13"/>
              </w:rPr>
              <w:t>bearer</w:t>
            </w:r>
          </w:p>
        </w:tc>
        <w:tc>
          <w:tcPr>
            <w:tcW w:type="dxa" w:w="3492"/>
          </w:tcPr>
          <w:p>
            <w:pPr>
              <w:spacing w:after="0"/>
            </w:pPr>
            <w:r/>
            <w:r>
              <w:rPr>
                <w:sz w:val="13"/>
              </w:rPr>
              <w:t>distribution.warehouse.receive</w:t>
            </w:r>
          </w:p>
        </w:tc>
      </w:tr>
    </w:tbl>
    <w:p>
      <w:bookmarkStart w:id="1239" w:name="_Toc1239"/>
      <w:pPr>
        <w:pStyle w:val="Heading3"/>
      </w:pPr>
      <w:r>
        <w:t>galon — 11 operations</w:t>
      </w:r>
      <w:bookmarkEnd w:id="1239"/>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/api/v1/galon</w:t>
            </w:r>
          </w:p>
        </w:tc>
        <w:tc>
          <w:tcPr>
            <w:tcW w:type="dxa" w:w="4561"/>
          </w:tcPr>
          <w:p>
            <w:pPr>
              <w:spacing w:after="0"/>
            </w:pPr>
            <w:r/>
            <w:r>
              <w:rPr>
                <w:sz w:val="13"/>
              </w:rPr>
              <w:t>List galon transactions</w:t>
            </w:r>
          </w:p>
        </w:tc>
        <w:tc>
          <w:tcPr>
            <w:tcW w:type="dxa" w:w="855"/>
          </w:tcPr>
          <w:p>
            <w:pPr>
              <w:spacing w:after="0"/>
            </w:pPr>
            <w:r/>
            <w:r>
              <w:rPr>
                <w:sz w:val="13"/>
              </w:rPr>
              <w:t>bearer</w:t>
            </w:r>
          </w:p>
        </w:tc>
        <w:tc>
          <w:tcPr>
            <w:tcW w:type="dxa" w:w="3492"/>
          </w:tcPr>
          <w:p>
            <w:pPr>
              <w:spacing w:after="0"/>
            </w:pPr>
            <w:r/>
            <w:r>
              <w:rPr>
                <w:sz w:val="13"/>
              </w:rPr>
              <w:t>galon.transactions.view</w:t>
            </w:r>
          </w:p>
        </w:tc>
      </w:tr>
      <w:tr>
        <w:trPr>
          <w:cantSplit/>
        </w:trPr>
        <w:tc>
          <w:tcPr>
            <w:tcW w:type="dxa" w:w="927"/>
          </w:tcPr>
          <w:p>
            <w:pPr>
              <w:spacing w:after="0"/>
            </w:pPr>
            <w:r/>
            <w:r>
              <w:rPr>
                <w:sz w:val="13"/>
              </w:rPr>
              <w:t>POST</w:t>
            </w:r>
          </w:p>
        </w:tc>
        <w:tc>
          <w:tcPr>
            <w:tcW w:type="dxa" w:w="4276"/>
          </w:tcPr>
          <w:p>
            <w:pPr>
              <w:spacing w:after="0"/>
            </w:pPr>
            <w:r/>
            <w:r>
              <w:rPr>
                <w:sz w:val="13"/>
              </w:rPr>
              <w:t>/api/v1/galon</w:t>
            </w:r>
          </w:p>
        </w:tc>
        <w:tc>
          <w:tcPr>
            <w:tcW w:type="dxa" w:w="4561"/>
          </w:tcPr>
          <w:p>
            <w:pPr>
              <w:spacing w:after="0"/>
            </w:pPr>
            <w:r/>
            <w:r>
              <w:rPr>
                <w:sz w:val="13"/>
              </w:rPr>
              <w:t>Create a galon transaction (refill/buy/borrow, pickup/delivery)</w:t>
            </w:r>
          </w:p>
        </w:tc>
        <w:tc>
          <w:tcPr>
            <w:tcW w:type="dxa" w:w="855"/>
          </w:tcPr>
          <w:p>
            <w:pPr>
              <w:spacing w:after="0"/>
            </w:pPr>
            <w:r/>
            <w:r>
              <w:rPr>
                <w:sz w:val="13"/>
              </w:rPr>
              <w:t>bearer</w:t>
            </w:r>
          </w:p>
        </w:tc>
        <w:tc>
          <w:tcPr>
            <w:tcW w:type="dxa" w:w="3492"/>
          </w:tcPr>
          <w:p>
            <w:pPr>
              <w:spacing w:after="0"/>
            </w:pPr>
            <w:r/>
            <w:r>
              <w:rPr>
                <w:sz w:val="13"/>
              </w:rPr>
              <w:t>galon.transactions.create</w:t>
            </w:r>
          </w:p>
        </w:tc>
      </w:tr>
      <w:tr>
        <w:trPr>
          <w:cantSplit/>
        </w:trPr>
        <w:tc>
          <w:tcPr>
            <w:tcW w:type="dxa" w:w="927"/>
          </w:tcPr>
          <w:p>
            <w:pPr>
              <w:spacing w:after="0"/>
            </w:pPr>
            <w:r/>
            <w:r>
              <w:rPr>
                <w:sz w:val="13"/>
              </w:rPr>
              <w:t>GET</w:t>
            </w:r>
          </w:p>
        </w:tc>
        <w:tc>
          <w:tcPr>
            <w:tcW w:type="dxa" w:w="4276"/>
          </w:tcPr>
          <w:p>
            <w:pPr>
              <w:spacing w:after="0"/>
            </w:pPr>
            <w:r/>
            <w:r>
              <w:rPr>
                <w:sz w:val="13"/>
              </w:rPr>
              <w:t>/api/v1/galon/by-code/{code}</w:t>
            </w:r>
          </w:p>
        </w:tc>
        <w:tc>
          <w:tcPr>
            <w:tcW w:type="dxa" w:w="4561"/>
          </w:tcPr>
          <w:p>
            <w:pPr>
              <w:spacing w:after="0"/>
            </w:pPr>
            <w:r/>
            <w:r>
              <w:rPr>
                <w:sz w:val="13"/>
              </w:rPr>
              <w:t>List a physical gallon's recent transactions (barcode tracker)</w:t>
            </w:r>
          </w:p>
        </w:tc>
        <w:tc>
          <w:tcPr>
            <w:tcW w:type="dxa" w:w="855"/>
          </w:tcPr>
          <w:p>
            <w:pPr>
              <w:spacing w:after="0"/>
            </w:pPr>
            <w:r/>
            <w:r>
              <w:rPr>
                <w:sz w:val="13"/>
              </w:rPr>
              <w:t>bearer</w:t>
            </w:r>
          </w:p>
        </w:tc>
        <w:tc>
          <w:tcPr>
            <w:tcW w:type="dxa" w:w="3492"/>
          </w:tcPr>
          <w:p>
            <w:pPr>
              <w:spacing w:after="0"/>
            </w:pPr>
            <w:r/>
            <w:r>
              <w:rPr>
                <w:sz w:val="13"/>
              </w:rPr>
              <w:t>galon.transactions.view</w:t>
            </w:r>
          </w:p>
        </w:tc>
      </w:tr>
      <w:tr>
        <w:trPr>
          <w:cantSplit/>
        </w:trPr>
        <w:tc>
          <w:tcPr>
            <w:tcW w:type="dxa" w:w="927"/>
          </w:tcPr>
          <w:p>
            <w:pPr>
              <w:spacing w:after="0"/>
            </w:pPr>
            <w:r/>
            <w:r>
              <w:rPr>
                <w:sz w:val="13"/>
              </w:rPr>
              <w:t>GET</w:t>
            </w:r>
          </w:p>
        </w:tc>
        <w:tc>
          <w:tcPr>
            <w:tcW w:type="dxa" w:w="4276"/>
          </w:tcPr>
          <w:p>
            <w:pPr>
              <w:spacing w:after="0"/>
            </w:pPr>
            <w:r/>
            <w:r>
              <w:rPr>
                <w:sz w:val="13"/>
              </w:rPr>
              <w:t>/api/v1/galon/by-code/{code}/info</w:t>
            </w:r>
          </w:p>
        </w:tc>
        <w:tc>
          <w:tcPr>
            <w:tcW w:type="dxa" w:w="4561"/>
          </w:tcPr>
          <w:p>
            <w:pPr>
              <w:spacing w:after="0"/>
            </w:pPr>
            <w:r/>
            <w:r>
              <w:rPr>
                <w:sz w:val="13"/>
              </w:rPr>
              <w:t>Aggregate tracking info for one physical gallon</w:t>
            </w:r>
          </w:p>
        </w:tc>
        <w:tc>
          <w:tcPr>
            <w:tcW w:type="dxa" w:w="855"/>
          </w:tcPr>
          <w:p>
            <w:pPr>
              <w:spacing w:after="0"/>
            </w:pPr>
            <w:r/>
            <w:r>
              <w:rPr>
                <w:sz w:val="13"/>
              </w:rPr>
              <w:t>bearer</w:t>
            </w:r>
          </w:p>
        </w:tc>
        <w:tc>
          <w:tcPr>
            <w:tcW w:type="dxa" w:w="3492"/>
          </w:tcPr>
          <w:p>
            <w:pPr>
              <w:spacing w:after="0"/>
            </w:pPr>
            <w:r/>
            <w:r>
              <w:rPr>
                <w:sz w:val="13"/>
              </w:rPr>
              <w:t>galon.transactions.view</w:t>
            </w:r>
          </w:p>
        </w:tc>
      </w:tr>
      <w:tr>
        <w:trPr>
          <w:cantSplit/>
        </w:trPr>
        <w:tc>
          <w:tcPr>
            <w:tcW w:type="dxa" w:w="927"/>
          </w:tcPr>
          <w:p>
            <w:pPr>
              <w:spacing w:after="0"/>
            </w:pPr>
            <w:r/>
            <w:r>
              <w:rPr>
                <w:sz w:val="13"/>
              </w:rPr>
              <w:t>GET</w:t>
            </w:r>
          </w:p>
        </w:tc>
        <w:tc>
          <w:tcPr>
            <w:tcW w:type="dxa" w:w="4276"/>
          </w:tcPr>
          <w:p>
            <w:pPr>
              <w:spacing w:after="0"/>
            </w:pPr>
            <w:r/>
            <w:r>
              <w:rPr>
                <w:sz w:val="13"/>
              </w:rPr>
              <w:t>/api/v1/galon/services</w:t>
            </w:r>
          </w:p>
        </w:tc>
        <w:tc>
          <w:tcPr>
            <w:tcW w:type="dxa" w:w="4561"/>
          </w:tcPr>
          <w:p>
            <w:pPr>
              <w:spacing w:after="0"/>
            </w:pPr>
            <w:r/>
            <w:r>
              <w:rPr>
                <w:sz w:val="13"/>
              </w:rPr>
              <w:t>Get galon services configuration</w:t>
            </w:r>
          </w:p>
        </w:tc>
        <w:tc>
          <w:tcPr>
            <w:tcW w:type="dxa" w:w="855"/>
          </w:tcPr>
          <w:p>
            <w:pPr>
              <w:spacing w:after="0"/>
            </w:pPr>
            <w:r/>
            <w:r>
              <w:rPr>
                <w:sz w:val="13"/>
              </w:rPr>
              <w:t>bearer</w:t>
            </w:r>
          </w:p>
        </w:tc>
        <w:tc>
          <w:tcPr>
            <w:tcW w:type="dxa" w:w="3492"/>
          </w:tcPr>
          <w:p>
            <w:pPr>
              <w:spacing w:after="0"/>
            </w:pPr>
            <w:r/>
            <w:r>
              <w:rPr>
                <w:sz w:val="13"/>
              </w:rPr>
              <w:t>galon.transactions.view</w:t>
            </w:r>
          </w:p>
        </w:tc>
      </w:tr>
      <w:tr>
        <w:trPr>
          <w:cantSplit/>
        </w:trPr>
        <w:tc>
          <w:tcPr>
            <w:tcW w:type="dxa" w:w="927"/>
          </w:tcPr>
          <w:p>
            <w:pPr>
              <w:spacing w:after="0"/>
            </w:pPr>
            <w:r/>
            <w:r>
              <w:rPr>
                <w:sz w:val="13"/>
              </w:rPr>
              <w:t>GET</w:t>
            </w:r>
          </w:p>
        </w:tc>
        <w:tc>
          <w:tcPr>
            <w:tcW w:type="dxa" w:w="4276"/>
          </w:tcPr>
          <w:p>
            <w:pPr>
              <w:spacing w:after="0"/>
            </w:pPr>
            <w:r/>
            <w:r>
              <w:rPr>
                <w:sz w:val="13"/>
              </w:rPr>
              <w:t>/api/v1/galon/status</w:t>
            </w:r>
          </w:p>
        </w:tc>
        <w:tc>
          <w:tcPr>
            <w:tcW w:type="dxa" w:w="4561"/>
          </w:tcPr>
          <w:p>
            <w:pPr>
              <w:spacing w:after="0"/>
            </w:pPr>
            <w:r/>
            <w:r>
              <w:rPr>
                <w:sz w:val="13"/>
              </w:rPr>
              <w:t>Get galon status summary</w:t>
            </w:r>
          </w:p>
        </w:tc>
        <w:tc>
          <w:tcPr>
            <w:tcW w:type="dxa" w:w="855"/>
          </w:tcPr>
          <w:p>
            <w:pPr>
              <w:spacing w:after="0"/>
            </w:pPr>
            <w:r/>
            <w:r>
              <w:rPr>
                <w:sz w:val="13"/>
              </w:rPr>
              <w:t>bearer</w:t>
            </w:r>
          </w:p>
        </w:tc>
        <w:tc>
          <w:tcPr>
            <w:tcW w:type="dxa" w:w="3492"/>
          </w:tcPr>
          <w:p>
            <w:pPr>
              <w:spacing w:after="0"/>
            </w:pPr>
            <w:r/>
            <w:r>
              <w:rPr>
                <w:sz w:val="13"/>
              </w:rPr>
              <w:t>galon.transactions.view</w:t>
            </w:r>
          </w:p>
        </w:tc>
      </w:tr>
      <w:tr>
        <w:trPr>
          <w:cantSplit/>
        </w:trPr>
        <w:tc>
          <w:tcPr>
            <w:tcW w:type="dxa" w:w="927"/>
          </w:tcPr>
          <w:p>
            <w:pPr>
              <w:spacing w:after="0"/>
            </w:pPr>
            <w:r/>
            <w:r>
              <w:rPr>
                <w:sz w:val="13"/>
              </w:rPr>
              <w:t>GET</w:t>
            </w:r>
          </w:p>
        </w:tc>
        <w:tc>
          <w:tcPr>
            <w:tcW w:type="dxa" w:w="4276"/>
          </w:tcPr>
          <w:p>
            <w:pPr>
              <w:spacing w:after="0"/>
            </w:pPr>
            <w:r/>
            <w:r>
              <w:rPr>
                <w:sz w:val="13"/>
              </w:rPr>
              <w:t>/api/v1/galon/units</w:t>
            </w:r>
          </w:p>
        </w:tc>
        <w:tc>
          <w:tcPr>
            <w:tcW w:type="dxa" w:w="4561"/>
          </w:tcPr>
          <w:p>
            <w:pPr>
              <w:spacing w:after="0"/>
            </w:pPr>
            <w:r/>
            <w:r>
              <w:rPr>
                <w:sz w:val="13"/>
              </w:rPr>
              <w:t>Get galon inventory units</w:t>
            </w:r>
          </w:p>
        </w:tc>
        <w:tc>
          <w:tcPr>
            <w:tcW w:type="dxa" w:w="855"/>
          </w:tcPr>
          <w:p>
            <w:pPr>
              <w:spacing w:after="0"/>
            </w:pPr>
            <w:r/>
            <w:r>
              <w:rPr>
                <w:sz w:val="13"/>
              </w:rPr>
              <w:t>bearer</w:t>
            </w:r>
          </w:p>
        </w:tc>
        <w:tc>
          <w:tcPr>
            <w:tcW w:type="dxa" w:w="3492"/>
          </w:tcPr>
          <w:p>
            <w:pPr>
              <w:spacing w:after="0"/>
            </w:pPr>
            <w:r/>
            <w:r>
              <w:rPr>
                <w:sz w:val="13"/>
              </w:rPr>
              <w:t>galon.transactions.view</w:t>
            </w:r>
          </w:p>
        </w:tc>
      </w:tr>
      <w:tr>
        <w:trPr>
          <w:cantSplit/>
        </w:trPr>
        <w:tc>
          <w:tcPr>
            <w:tcW w:type="dxa" w:w="927"/>
          </w:tcPr>
          <w:p>
            <w:pPr>
              <w:spacing w:after="0"/>
            </w:pPr>
            <w:r/>
            <w:r>
              <w:rPr>
                <w:sz w:val="13"/>
              </w:rPr>
              <w:t>GET</w:t>
            </w:r>
          </w:p>
        </w:tc>
        <w:tc>
          <w:tcPr>
            <w:tcW w:type="dxa" w:w="4276"/>
          </w:tcPr>
          <w:p>
            <w:pPr>
              <w:spacing w:after="0"/>
            </w:pPr>
            <w:r/>
            <w:r>
              <w:rPr>
                <w:sz w:val="13"/>
              </w:rPr>
              <w:t>/api/v1/galon/{id}</w:t>
            </w:r>
          </w:p>
        </w:tc>
        <w:tc>
          <w:tcPr>
            <w:tcW w:type="dxa" w:w="4561"/>
          </w:tcPr>
          <w:p>
            <w:pPr>
              <w:spacing w:after="0"/>
            </w:pPr>
            <w:r/>
            <w:r>
              <w:rPr>
                <w:sz w:val="13"/>
              </w:rPr>
              <w:t>Get a galon transaction</w:t>
            </w:r>
          </w:p>
        </w:tc>
        <w:tc>
          <w:tcPr>
            <w:tcW w:type="dxa" w:w="855"/>
          </w:tcPr>
          <w:p>
            <w:pPr>
              <w:spacing w:after="0"/>
            </w:pPr>
            <w:r/>
            <w:r>
              <w:rPr>
                <w:sz w:val="13"/>
              </w:rPr>
              <w:t>bearer</w:t>
            </w:r>
          </w:p>
        </w:tc>
        <w:tc>
          <w:tcPr>
            <w:tcW w:type="dxa" w:w="3492"/>
          </w:tcPr>
          <w:p>
            <w:pPr>
              <w:spacing w:after="0"/>
            </w:pPr>
            <w:r/>
            <w:r>
              <w:rPr>
                <w:sz w:val="13"/>
              </w:rPr>
              <w:t>galon.transactions.view</w:t>
            </w:r>
          </w:p>
        </w:tc>
      </w:tr>
      <w:tr>
        <w:trPr>
          <w:cantSplit/>
        </w:trPr>
        <w:tc>
          <w:tcPr>
            <w:tcW w:type="dxa" w:w="927"/>
          </w:tcPr>
          <w:p>
            <w:pPr>
              <w:spacing w:after="0"/>
            </w:pPr>
            <w:r/>
            <w:r>
              <w:rPr>
                <w:sz w:val="13"/>
              </w:rPr>
              <w:t>POST</w:t>
            </w:r>
          </w:p>
        </w:tc>
        <w:tc>
          <w:tcPr>
            <w:tcW w:type="dxa" w:w="4276"/>
          </w:tcPr>
          <w:p>
            <w:pPr>
              <w:spacing w:after="0"/>
            </w:pPr>
            <w:r/>
            <w:r>
              <w:rPr>
                <w:sz w:val="13"/>
              </w:rPr>
              <w:t>/api/v1/galon/{id}/cancel</w:t>
            </w:r>
          </w:p>
        </w:tc>
        <w:tc>
          <w:tcPr>
            <w:tcW w:type="dxa" w:w="4561"/>
          </w:tcPr>
          <w:p>
            <w:pPr>
              <w:spacing w:after="0"/>
            </w:pPr>
            <w:r/>
            <w:r>
              <w:rPr>
                <w:sz w:val="13"/>
              </w:rPr>
              <w:t>Cancel a pending galon transaction</w:t>
            </w:r>
          </w:p>
        </w:tc>
        <w:tc>
          <w:tcPr>
            <w:tcW w:type="dxa" w:w="855"/>
          </w:tcPr>
          <w:p>
            <w:pPr>
              <w:spacing w:after="0"/>
            </w:pPr>
            <w:r/>
            <w:r>
              <w:rPr>
                <w:sz w:val="13"/>
              </w:rPr>
              <w:t>bearer</w:t>
            </w:r>
          </w:p>
        </w:tc>
        <w:tc>
          <w:tcPr>
            <w:tcW w:type="dxa" w:w="3492"/>
          </w:tcPr>
          <w:p>
            <w:pPr>
              <w:spacing w:after="0"/>
            </w:pPr>
            <w:r/>
            <w:r>
              <w:rPr>
                <w:sz w:val="13"/>
              </w:rPr>
              <w:t>galon.transactions.cancel</w:t>
            </w:r>
          </w:p>
        </w:tc>
      </w:tr>
      <w:tr>
        <w:trPr>
          <w:cantSplit/>
        </w:trPr>
        <w:tc>
          <w:tcPr>
            <w:tcW w:type="dxa" w:w="927"/>
          </w:tcPr>
          <w:p>
            <w:pPr>
              <w:spacing w:after="0"/>
            </w:pPr>
            <w:r/>
            <w:r>
              <w:rPr>
                <w:sz w:val="13"/>
              </w:rPr>
              <w:t>POST</w:t>
            </w:r>
          </w:p>
        </w:tc>
        <w:tc>
          <w:tcPr>
            <w:tcW w:type="dxa" w:w="4276"/>
          </w:tcPr>
          <w:p>
            <w:pPr>
              <w:spacing w:after="0"/>
            </w:pPr>
            <w:r/>
            <w:r>
              <w:rPr>
                <w:sz w:val="13"/>
              </w:rPr>
              <w:t>/api/v1/galon/{id}/complete</w:t>
            </w:r>
          </w:p>
        </w:tc>
        <w:tc>
          <w:tcPr>
            <w:tcW w:type="dxa" w:w="4561"/>
          </w:tcPr>
          <w:p>
            <w:pPr>
              <w:spacing w:after="0"/>
            </w:pPr>
            <w:r/>
            <w:r>
              <w:rPr>
                <w:sz w:val="13"/>
              </w:rPr>
              <w:t>Complete a pending galon transaction</w:t>
            </w:r>
          </w:p>
        </w:tc>
        <w:tc>
          <w:tcPr>
            <w:tcW w:type="dxa" w:w="855"/>
          </w:tcPr>
          <w:p>
            <w:pPr>
              <w:spacing w:after="0"/>
            </w:pPr>
            <w:r/>
            <w:r>
              <w:rPr>
                <w:sz w:val="13"/>
              </w:rPr>
              <w:t>bearer</w:t>
            </w:r>
          </w:p>
        </w:tc>
        <w:tc>
          <w:tcPr>
            <w:tcW w:type="dxa" w:w="3492"/>
          </w:tcPr>
          <w:p>
            <w:pPr>
              <w:spacing w:after="0"/>
            </w:pPr>
            <w:r/>
            <w:r>
              <w:rPr>
                <w:sz w:val="13"/>
              </w:rPr>
              <w:t>galon.transactions.complete</w:t>
            </w:r>
          </w:p>
        </w:tc>
      </w:tr>
      <w:tr>
        <w:trPr>
          <w:cantSplit/>
        </w:trPr>
        <w:tc>
          <w:tcPr>
            <w:tcW w:type="dxa" w:w="927"/>
          </w:tcPr>
          <w:p>
            <w:pPr>
              <w:spacing w:after="0"/>
            </w:pPr>
            <w:r/>
            <w:r>
              <w:rPr>
                <w:sz w:val="13"/>
              </w:rPr>
              <w:t>POST</w:t>
            </w:r>
          </w:p>
        </w:tc>
        <w:tc>
          <w:tcPr>
            <w:tcW w:type="dxa" w:w="4276"/>
          </w:tcPr>
          <w:p>
            <w:pPr>
              <w:spacing w:after="0"/>
            </w:pPr>
            <w:r/>
            <w:r>
              <w:rPr>
                <w:sz w:val="13"/>
              </w:rPr>
              <w:t>/api/v1/galon/{id}/return</w:t>
            </w:r>
          </w:p>
        </w:tc>
        <w:tc>
          <w:tcPr>
            <w:tcW w:type="dxa" w:w="4561"/>
          </w:tcPr>
          <w:p>
            <w:pPr>
              <w:spacing w:after="0"/>
            </w:pPr>
            <w:r/>
            <w:r>
              <w:rPr>
                <w:sz w:val="13"/>
              </w:rPr>
              <w:t>Return a borrowed galon and clear the loan (§20</w:t>
            </w:r>
          </w:p>
        </w:tc>
        <w:tc>
          <w:tcPr>
            <w:tcW w:type="dxa" w:w="855"/>
          </w:tcPr>
          <w:p>
            <w:pPr>
              <w:spacing w:after="0"/>
            </w:pPr>
            <w:r/>
            <w:r>
              <w:rPr>
                <w:sz w:val="13"/>
              </w:rPr>
              <w:t>bearer</w:t>
            </w:r>
          </w:p>
        </w:tc>
        <w:tc>
          <w:tcPr>
            <w:tcW w:type="dxa" w:w="3492"/>
          </w:tcPr>
          <w:p>
            <w:pPr>
              <w:spacing w:after="0"/>
            </w:pPr>
            <w:r/>
            <w:r>
              <w:rPr>
                <w:sz w:val="13"/>
              </w:rPr>
              <w:t>galon.transactions.return</w:t>
            </w:r>
          </w:p>
        </w:tc>
      </w:tr>
    </w:tbl>
    <w:p>
      <w:bookmarkStart w:id="1240" w:name="_Toc1240"/>
      <w:pPr>
        <w:pStyle w:val="Heading3"/>
      </w:pPr>
      <w:r>
        <w:t>geo — 2 operations</w:t>
      </w:r>
      <w:bookmarkEnd w:id="1240"/>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/api/v1/geo/geocode</w:t>
            </w:r>
          </w:p>
        </w:tc>
        <w:tc>
          <w:tcPr>
            <w:tcW w:type="dxa" w:w="4561"/>
          </w:tcPr>
          <w:p>
            <w:pPr>
              <w:spacing w:after="0"/>
            </w:pPr>
            <w:r/>
            <w:r>
              <w:rPr>
                <w:sz w:val="13"/>
              </w:rPr>
              <w:t>Forward/reverse geocoding (provider-abstracted, off by default)</w:t>
            </w:r>
          </w:p>
        </w:tc>
        <w:tc>
          <w:tcPr>
            <w:tcW w:type="dxa" w:w="855"/>
          </w:tcPr>
          <w:p>
            <w:pPr>
              <w:spacing w:after="0"/>
            </w:pPr>
            <w:r/>
            <w:r>
              <w:rPr>
                <w:sz w:val="13"/>
              </w:rPr>
              <w:t>bearer</w:t>
            </w:r>
          </w:p>
        </w:tc>
        <w:tc>
          <w:tcPr>
            <w:tcW w:type="dxa" w:w="3492"/>
          </w:tcPr>
          <w:p>
            <w:pPr>
              <w:spacing w:after="0"/>
            </w:pPr>
            <w:r/>
            <w:r>
              <w:rPr>
                <w:sz w:val="13"/>
              </w:rPr>
              <w:t>distribution.tracking.lookup</w:t>
            </w:r>
          </w:p>
        </w:tc>
      </w:tr>
      <w:tr>
        <w:trPr>
          <w:cantSplit/>
        </w:trPr>
        <w:tc>
          <w:tcPr>
            <w:tcW w:type="dxa" w:w="927"/>
          </w:tcPr>
          <w:p>
            <w:pPr>
              <w:spacing w:after="0"/>
            </w:pPr>
            <w:r/>
            <w:r>
              <w:rPr>
                <w:sz w:val="13"/>
              </w:rPr>
              <w:t>GET</w:t>
            </w:r>
          </w:p>
        </w:tc>
        <w:tc>
          <w:tcPr>
            <w:tcW w:type="dxa" w:w="4276"/>
          </w:tcPr>
          <w:p>
            <w:pPr>
              <w:spacing w:after="0"/>
            </w:pPr>
            <w:r/>
            <w:r>
              <w:rPr>
                <w:sz w:val="13"/>
              </w:rPr>
              <w:t>/api/v1/geo/route</w:t>
            </w:r>
          </w:p>
        </w:tc>
        <w:tc>
          <w:tcPr>
            <w:tcW w:type="dxa" w:w="4561"/>
          </w:tcPr>
          <w:p>
            <w:pPr>
              <w:spacing w:after="0"/>
            </w:pPr>
            <w:r/>
            <w:r>
              <w:rPr>
                <w:sz w:val="13"/>
              </w:rPr>
              <w:t>Driving route between two points (provider-abstracted)</w:t>
            </w:r>
          </w:p>
        </w:tc>
        <w:tc>
          <w:tcPr>
            <w:tcW w:type="dxa" w:w="855"/>
          </w:tcPr>
          <w:p>
            <w:pPr>
              <w:spacing w:after="0"/>
            </w:pPr>
            <w:r/>
            <w:r>
              <w:rPr>
                <w:sz w:val="13"/>
              </w:rPr>
              <w:t>bearer</w:t>
            </w:r>
          </w:p>
        </w:tc>
        <w:tc>
          <w:tcPr>
            <w:tcW w:type="dxa" w:w="3492"/>
          </w:tcPr>
          <w:p>
            <w:pPr>
              <w:spacing w:after="0"/>
            </w:pPr>
            <w:r/>
            <w:r>
              <w:rPr>
                <w:sz w:val="13"/>
              </w:rPr>
              <w:t>distribution.tracking.lookup</w:t>
            </w:r>
          </w:p>
        </w:tc>
      </w:tr>
    </w:tbl>
    <w:p>
      <w:bookmarkStart w:id="1241" w:name="_Toc1241"/>
      <w:pPr>
        <w:pStyle w:val="Heading3"/>
      </w:pPr>
      <w:r>
        <w:t>health — 2 operations</w:t>
      </w:r>
      <w:bookmarkEnd w:id="1241"/>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/health</w:t>
            </w:r>
          </w:p>
        </w:tc>
        <w:tc>
          <w:tcPr>
            <w:tcW w:type="dxa" w:w="4561"/>
          </w:tcPr>
          <w:p>
            <w:pPr>
              <w:spacing w:after="0"/>
            </w:pPr>
            <w:r/>
            <w:r>
              <w:rPr>
                <w:sz w:val="13"/>
              </w:rPr>
              <w:t>Liveness probe</w:t>
            </w:r>
          </w:p>
        </w:tc>
        <w:tc>
          <w:tcPr>
            <w:tcW w:type="dxa" w:w="855"/>
          </w:tcPr>
          <w:p>
            <w:pPr>
              <w:spacing w:after="0"/>
            </w:pPr>
            <w:r/>
            <w:r>
              <w:rPr>
                <w:sz w:val="13"/>
              </w:rPr>
              <w:t>public</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/ready</w:t>
            </w:r>
          </w:p>
        </w:tc>
        <w:tc>
          <w:tcPr>
            <w:tcW w:type="dxa" w:w="4561"/>
          </w:tcPr>
          <w:p>
            <w:pPr>
              <w:spacing w:after="0"/>
            </w:pPr>
            <w:r/>
            <w:r>
              <w:rPr>
                <w:sz w:val="13"/>
              </w:rPr>
              <w:t>Readiness probe (DB + Redis connectivity)</w:t>
            </w:r>
          </w:p>
        </w:tc>
        <w:tc>
          <w:tcPr>
            <w:tcW w:type="dxa" w:w="855"/>
          </w:tcPr>
          <w:p>
            <w:pPr>
              <w:spacing w:after="0"/>
            </w:pPr>
            <w:r/>
            <w:r>
              <w:rPr>
                <w:sz w:val="13"/>
              </w:rPr>
              <w:t>public</w:t>
            </w:r>
          </w:p>
        </w:tc>
        <w:tc>
          <w:tcPr>
            <w:tcW w:type="dxa" w:w="3492"/>
          </w:tcPr>
          <w:p>
            <w:pPr>
              <w:spacing w:after="0"/>
            </w:pPr>
            <w:r/>
            <w:r>
              <w:rPr>
                <w:sz w:val="13"/>
              </w:rPr>
              <w:t>none (auth only)</w:t>
            </w:r>
          </w:p>
        </w:tc>
      </w:tr>
    </w:tbl>
    <w:p>
      <w:bookmarkStart w:id="1242" w:name="_Toc1242"/>
      <w:pPr>
        <w:pStyle w:val="Heading3"/>
      </w:pPr>
      <w:r>
        <w:t>hr — 27 operations</w:t>
      </w:r>
      <w:bookmarkEnd w:id="1242"/>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/api/v1/employees</w:t>
            </w:r>
          </w:p>
        </w:tc>
        <w:tc>
          <w:tcPr>
            <w:tcW w:type="dxa" w:w="4561"/>
          </w:tcPr>
          <w:p>
            <w:pPr>
              <w:spacing w:after="0"/>
            </w:pPr>
            <w:r/>
            <w:r>
              <w:rPr>
                <w:sz w:val="13"/>
              </w:rPr>
              <w:t>List employees</w:t>
            </w:r>
          </w:p>
        </w:tc>
        <w:tc>
          <w:tcPr>
            <w:tcW w:type="dxa" w:w="855"/>
          </w:tcPr>
          <w:p>
            <w:pPr>
              <w:spacing w:after="0"/>
            </w:pPr>
            <w:r/>
            <w:r>
              <w:rPr>
                <w:sz w:val="13"/>
              </w:rPr>
              <w:t>bearer</w:t>
            </w:r>
          </w:p>
        </w:tc>
        <w:tc>
          <w:tcPr>
            <w:tcW w:type="dxa" w:w="3492"/>
          </w:tcPr>
          <w:p>
            <w:pPr>
              <w:spacing w:after="0"/>
            </w:pPr>
            <w:r/>
            <w:r>
              <w:rPr>
                <w:sz w:val="13"/>
              </w:rPr>
              <w:t>hr.employees.view</w:t>
            </w:r>
          </w:p>
        </w:tc>
      </w:tr>
      <w:tr>
        <w:trPr>
          <w:cantSplit/>
        </w:trPr>
        <w:tc>
          <w:tcPr>
            <w:tcW w:type="dxa" w:w="927"/>
          </w:tcPr>
          <w:p>
            <w:pPr>
              <w:spacing w:after="0"/>
            </w:pPr>
            <w:r/>
            <w:r>
              <w:rPr>
                <w:sz w:val="13"/>
              </w:rPr>
              <w:t>POST</w:t>
            </w:r>
          </w:p>
        </w:tc>
        <w:tc>
          <w:tcPr>
            <w:tcW w:type="dxa" w:w="4276"/>
          </w:tcPr>
          <w:p>
            <w:pPr>
              <w:spacing w:after="0"/>
            </w:pPr>
            <w:r/>
            <w:r>
              <w:rPr>
                <w:sz w:val="13"/>
              </w:rPr>
              <w:t>/api/v1/employees</w:t>
            </w:r>
          </w:p>
        </w:tc>
        <w:tc>
          <w:tcPr>
            <w:tcW w:type="dxa" w:w="4561"/>
          </w:tcPr>
          <w:p>
            <w:pPr>
              <w:spacing w:after="0"/>
            </w:pPr>
            <w:r/>
            <w:r>
              <w:rPr>
                <w:sz w:val="13"/>
              </w:rPr>
              <w:t>Create an employee</w:t>
            </w:r>
          </w:p>
        </w:tc>
        <w:tc>
          <w:tcPr>
            <w:tcW w:type="dxa" w:w="855"/>
          </w:tcPr>
          <w:p>
            <w:pPr>
              <w:spacing w:after="0"/>
            </w:pPr>
            <w:r/>
            <w:r>
              <w:rPr>
                <w:sz w:val="13"/>
              </w:rPr>
              <w:t>bearer</w:t>
            </w:r>
          </w:p>
        </w:tc>
        <w:tc>
          <w:tcPr>
            <w:tcW w:type="dxa" w:w="3492"/>
          </w:tcPr>
          <w:p>
            <w:pPr>
              <w:spacing w:after="0"/>
            </w:pPr>
            <w:r/>
            <w:r>
              <w:rPr>
                <w:sz w:val="13"/>
              </w:rPr>
              <w:t>hr.employees.create</w:t>
            </w:r>
          </w:p>
        </w:tc>
      </w:tr>
      <w:tr>
        <w:trPr>
          <w:cantSplit/>
        </w:trPr>
        <w:tc>
          <w:tcPr>
            <w:tcW w:type="dxa" w:w="927"/>
          </w:tcPr>
          <w:p>
            <w:pPr>
              <w:spacing w:after="0"/>
            </w:pPr>
            <w:r/>
            <w:r>
              <w:rPr>
                <w:sz w:val="13"/>
              </w:rPr>
              <w:t>DELETE</w:t>
            </w:r>
          </w:p>
        </w:tc>
        <w:tc>
          <w:tcPr>
            <w:tcW w:type="dxa" w:w="4276"/>
          </w:tcPr>
          <w:p>
            <w:pPr>
              <w:spacing w:after="0"/>
            </w:pPr>
            <w:r/>
            <w:r>
              <w:rPr>
                <w:sz w:val="13"/>
              </w:rPr>
              <w:t>/api/v1/employees/{id}</w:t>
            </w:r>
          </w:p>
        </w:tc>
        <w:tc>
          <w:tcPr>
            <w:tcW w:type="dxa" w:w="4561"/>
          </w:tcPr>
          <w:p>
            <w:pPr>
              <w:spacing w:after="0"/>
            </w:pPr>
            <w:r/>
            <w:r>
              <w:rPr>
                <w:sz w:val="13"/>
              </w:rPr>
              <w:t>Soft-delete an employee</w:t>
            </w:r>
          </w:p>
        </w:tc>
        <w:tc>
          <w:tcPr>
            <w:tcW w:type="dxa" w:w="855"/>
          </w:tcPr>
          <w:p>
            <w:pPr>
              <w:spacing w:after="0"/>
            </w:pPr>
            <w:r/>
            <w:r>
              <w:rPr>
                <w:sz w:val="13"/>
              </w:rPr>
              <w:t>bearer</w:t>
            </w:r>
          </w:p>
        </w:tc>
        <w:tc>
          <w:tcPr>
            <w:tcW w:type="dxa" w:w="3492"/>
          </w:tcPr>
          <w:p>
            <w:pPr>
              <w:spacing w:after="0"/>
            </w:pPr>
            <w:r/>
            <w:r>
              <w:rPr>
                <w:sz w:val="13"/>
              </w:rPr>
              <w:t>hr.employees.delete</w:t>
            </w:r>
          </w:p>
        </w:tc>
      </w:tr>
      <w:tr>
        <w:trPr>
          <w:cantSplit/>
        </w:trPr>
        <w:tc>
          <w:tcPr>
            <w:tcW w:type="dxa" w:w="927"/>
          </w:tcPr>
          <w:p>
            <w:pPr>
              <w:spacing w:after="0"/>
            </w:pPr>
            <w:r/>
            <w:r>
              <w:rPr>
                <w:sz w:val="13"/>
              </w:rPr>
              <w:t>GET</w:t>
            </w:r>
          </w:p>
        </w:tc>
        <w:tc>
          <w:tcPr>
            <w:tcW w:type="dxa" w:w="4276"/>
          </w:tcPr>
          <w:p>
            <w:pPr>
              <w:spacing w:after="0"/>
            </w:pPr>
            <w:r/>
            <w:r>
              <w:rPr>
                <w:sz w:val="13"/>
              </w:rPr>
              <w:t>/api/v1/employees/{id}</w:t>
            </w:r>
          </w:p>
        </w:tc>
        <w:tc>
          <w:tcPr>
            <w:tcW w:type="dxa" w:w="4561"/>
          </w:tcPr>
          <w:p>
            <w:pPr>
              <w:spacing w:after="0"/>
            </w:pPr>
            <w:r/>
            <w:r>
              <w:rPr>
                <w:sz w:val="13"/>
              </w:rPr>
              <w:t>Get an employee</w:t>
            </w:r>
          </w:p>
        </w:tc>
        <w:tc>
          <w:tcPr>
            <w:tcW w:type="dxa" w:w="855"/>
          </w:tcPr>
          <w:p>
            <w:pPr>
              <w:spacing w:after="0"/>
            </w:pPr>
            <w:r/>
            <w:r>
              <w:rPr>
                <w:sz w:val="13"/>
              </w:rPr>
              <w:t>bearer</w:t>
            </w:r>
          </w:p>
        </w:tc>
        <w:tc>
          <w:tcPr>
            <w:tcW w:type="dxa" w:w="3492"/>
          </w:tcPr>
          <w:p>
            <w:pPr>
              <w:spacing w:after="0"/>
            </w:pPr>
            <w:r/>
            <w:r>
              <w:rPr>
                <w:sz w:val="13"/>
              </w:rPr>
              <w:t>hr.employees.view</w:t>
            </w:r>
          </w:p>
        </w:tc>
      </w:tr>
      <w:tr>
        <w:trPr>
          <w:cantSplit/>
        </w:trPr>
        <w:tc>
          <w:tcPr>
            <w:tcW w:type="dxa" w:w="927"/>
          </w:tcPr>
          <w:p>
            <w:pPr>
              <w:spacing w:after="0"/>
            </w:pPr>
            <w:r/>
            <w:r>
              <w:rPr>
                <w:sz w:val="13"/>
              </w:rPr>
              <w:t>PUT</w:t>
            </w:r>
          </w:p>
        </w:tc>
        <w:tc>
          <w:tcPr>
            <w:tcW w:type="dxa" w:w="4276"/>
          </w:tcPr>
          <w:p>
            <w:pPr>
              <w:spacing w:after="0"/>
            </w:pPr>
            <w:r/>
            <w:r>
              <w:rPr>
                <w:sz w:val="13"/>
              </w:rPr>
              <w:t>/api/v1/employees/{id}</w:t>
            </w:r>
          </w:p>
        </w:tc>
        <w:tc>
          <w:tcPr>
            <w:tcW w:type="dxa" w:w="4561"/>
          </w:tcPr>
          <w:p>
            <w:pPr>
              <w:spacing w:after="0"/>
            </w:pPr>
            <w:r/>
            <w:r>
              <w:rPr>
                <w:sz w:val="13"/>
              </w:rPr>
              <w:t>Update an employee</w:t>
            </w:r>
          </w:p>
        </w:tc>
        <w:tc>
          <w:tcPr>
            <w:tcW w:type="dxa" w:w="855"/>
          </w:tcPr>
          <w:p>
            <w:pPr>
              <w:spacing w:after="0"/>
            </w:pPr>
            <w:r/>
            <w:r>
              <w:rPr>
                <w:sz w:val="13"/>
              </w:rPr>
              <w:t>bearer</w:t>
            </w:r>
          </w:p>
        </w:tc>
        <w:tc>
          <w:tcPr>
            <w:tcW w:type="dxa" w:w="3492"/>
          </w:tcPr>
          <w:p>
            <w:pPr>
              <w:spacing w:after="0"/>
            </w:pPr>
            <w:r/>
            <w:r>
              <w:rPr>
                <w:sz w:val="13"/>
              </w:rPr>
              <w:t>hr.employees.update</w:t>
            </w:r>
          </w:p>
        </w:tc>
      </w:tr>
      <w:tr>
        <w:trPr>
          <w:cantSplit/>
        </w:trPr>
        <w:tc>
          <w:tcPr>
            <w:tcW w:type="dxa" w:w="927"/>
          </w:tcPr>
          <w:p>
            <w:pPr>
              <w:spacing w:after="0"/>
            </w:pPr>
            <w:r/>
            <w:r>
              <w:rPr>
                <w:sz w:val="13"/>
              </w:rPr>
              <w:t>GET</w:t>
            </w:r>
          </w:p>
        </w:tc>
        <w:tc>
          <w:tcPr>
            <w:tcW w:type="dxa" w:w="4276"/>
          </w:tcPr>
          <w:p>
            <w:pPr>
              <w:spacing w:after="0"/>
            </w:pPr>
            <w:r/>
            <w:r>
              <w:rPr>
                <w:sz w:val="13"/>
              </w:rPr>
              <w:t>/api/v1/hr/attendance</w:t>
            </w:r>
          </w:p>
        </w:tc>
        <w:tc>
          <w:tcPr>
            <w:tcW w:type="dxa" w:w="4561"/>
          </w:tcPr>
          <w:p>
            <w:pPr>
              <w:spacing w:after="0"/>
            </w:pPr>
            <w:r/>
            <w:r>
              <w:rPr>
                <w:sz w:val="13"/>
              </w:rPr>
              <w:t>List attendance (admin view)</w:t>
            </w:r>
          </w:p>
        </w:tc>
        <w:tc>
          <w:tcPr>
            <w:tcW w:type="dxa" w:w="855"/>
          </w:tcPr>
          <w:p>
            <w:pPr>
              <w:spacing w:after="0"/>
            </w:pPr>
            <w:r/>
            <w:r>
              <w:rPr>
                <w:sz w:val="13"/>
              </w:rPr>
              <w:t>bearer</w:t>
            </w:r>
          </w:p>
        </w:tc>
        <w:tc>
          <w:tcPr>
            <w:tcW w:type="dxa" w:w="3492"/>
          </w:tcPr>
          <w:p>
            <w:pPr>
              <w:spacing w:after="0"/>
            </w:pPr>
            <w:r/>
            <w:r>
              <w:rPr>
                <w:sz w:val="13"/>
              </w:rPr>
              <w:t>hr.attendance.view</w:t>
            </w:r>
          </w:p>
        </w:tc>
      </w:tr>
      <w:tr>
        <w:trPr>
          <w:cantSplit/>
        </w:trPr>
        <w:tc>
          <w:tcPr>
            <w:tcW w:type="dxa" w:w="927"/>
          </w:tcPr>
          <w:p>
            <w:pPr>
              <w:spacing w:after="0"/>
            </w:pPr>
            <w:r/>
            <w:r>
              <w:rPr>
                <w:sz w:val="13"/>
              </w:rPr>
              <w:t>POST</w:t>
            </w:r>
          </w:p>
        </w:tc>
        <w:tc>
          <w:tcPr>
            <w:tcW w:type="dxa" w:w="4276"/>
          </w:tcPr>
          <w:p>
            <w:pPr>
              <w:spacing w:after="0"/>
            </w:pPr>
            <w:r/>
            <w:r>
              <w:rPr>
                <w:sz w:val="13"/>
              </w:rPr>
              <w:t>/api/v1/hr/attendance</w:t>
            </w:r>
          </w:p>
        </w:tc>
        <w:tc>
          <w:tcPr>
            <w:tcW w:type="dxa" w:w="4561"/>
          </w:tcPr>
          <w:p>
            <w:pPr>
              <w:spacing w:after="0"/>
            </w:pPr>
            <w:r/>
            <w:r>
              <w:rPr>
                <w:sz w:val="13"/>
              </w:rPr>
              <w:t>Create/backfill an attendance record (admin)</w:t>
            </w:r>
          </w:p>
        </w:tc>
        <w:tc>
          <w:tcPr>
            <w:tcW w:type="dxa" w:w="855"/>
          </w:tcPr>
          <w:p>
            <w:pPr>
              <w:spacing w:after="0"/>
            </w:pPr>
            <w:r/>
            <w:r>
              <w:rPr>
                <w:sz w:val="13"/>
              </w:rPr>
              <w:t>bearer</w:t>
            </w:r>
          </w:p>
        </w:tc>
        <w:tc>
          <w:tcPr>
            <w:tcW w:type="dxa" w:w="3492"/>
          </w:tcPr>
          <w:p>
            <w:pPr>
              <w:spacing w:after="0"/>
            </w:pPr>
            <w:r/>
            <w:r>
              <w:rPr>
                <w:sz w:val="13"/>
              </w:rPr>
              <w:t>hr.attendance.create</w:t>
            </w:r>
          </w:p>
        </w:tc>
      </w:tr>
      <w:tr>
        <w:trPr>
          <w:cantSplit/>
        </w:trPr>
        <w:tc>
          <w:tcPr>
            <w:tcW w:type="dxa" w:w="927"/>
          </w:tcPr>
          <w:p>
            <w:pPr>
              <w:spacing w:after="0"/>
            </w:pPr>
            <w:r/>
            <w:r>
              <w:rPr>
                <w:sz w:val="13"/>
              </w:rPr>
              <w:t>POST</w:t>
            </w:r>
          </w:p>
        </w:tc>
        <w:tc>
          <w:tcPr>
            <w:tcW w:type="dxa" w:w="4276"/>
          </w:tcPr>
          <w:p>
            <w:pPr>
              <w:spacing w:after="0"/>
            </w:pPr>
            <w:r/>
            <w:r>
              <w:rPr>
                <w:sz w:val="13"/>
              </w:rPr>
              <w:t>/api/v1/hr/attendance/clock-in</w:t>
            </w:r>
          </w:p>
        </w:tc>
        <w:tc>
          <w:tcPr>
            <w:tcW w:type="dxa" w:w="4561"/>
          </w:tcPr>
          <w:p>
            <w:pPr>
              <w:spacing w:after="0"/>
            </w:pPr>
            <w:r/>
            <w:r>
              <w:rPr>
                <w:sz w:val="13"/>
              </w:rPr>
              <w:t>Clock in (self-service)</w:t>
            </w:r>
          </w:p>
        </w:tc>
        <w:tc>
          <w:tcPr>
            <w:tcW w:type="dxa" w:w="855"/>
          </w:tcPr>
          <w:p>
            <w:pPr>
              <w:spacing w:after="0"/>
            </w:pPr>
            <w:r/>
            <w:r>
              <w:rPr>
                <w:sz w:val="13"/>
              </w:rPr>
              <w:t>bearer</w:t>
            </w:r>
          </w:p>
        </w:tc>
        <w:tc>
          <w:tcPr>
            <w:tcW w:type="dxa" w:w="3492"/>
          </w:tcPr>
          <w:p>
            <w:pPr>
              <w:spacing w:after="0"/>
            </w:pPr>
            <w:r/>
            <w:r>
              <w:rPr>
                <w:sz w:val="13"/>
              </w:rPr>
              <w:t>hr.clockin</w:t>
            </w:r>
          </w:p>
        </w:tc>
      </w:tr>
      <w:tr>
        <w:trPr>
          <w:cantSplit/>
        </w:trPr>
        <w:tc>
          <w:tcPr>
            <w:tcW w:type="dxa" w:w="927"/>
          </w:tcPr>
          <w:p>
            <w:pPr>
              <w:spacing w:after="0"/>
            </w:pPr>
            <w:r/>
            <w:r>
              <w:rPr>
                <w:sz w:val="13"/>
              </w:rPr>
              <w:t>POST</w:t>
            </w:r>
          </w:p>
        </w:tc>
        <w:tc>
          <w:tcPr>
            <w:tcW w:type="dxa" w:w="4276"/>
          </w:tcPr>
          <w:p>
            <w:pPr>
              <w:spacing w:after="0"/>
            </w:pPr>
            <w:r/>
            <w:r>
              <w:rPr>
                <w:sz w:val="13"/>
              </w:rPr>
              <w:t>/api/v1/hr/attendance/clock-out</w:t>
            </w:r>
          </w:p>
        </w:tc>
        <w:tc>
          <w:tcPr>
            <w:tcW w:type="dxa" w:w="4561"/>
          </w:tcPr>
          <w:p>
            <w:pPr>
              <w:spacing w:after="0"/>
            </w:pPr>
            <w:r/>
            <w:r>
              <w:rPr>
                <w:sz w:val="13"/>
              </w:rPr>
              <w:t>Clock out (self-service)</w:t>
            </w:r>
          </w:p>
        </w:tc>
        <w:tc>
          <w:tcPr>
            <w:tcW w:type="dxa" w:w="855"/>
          </w:tcPr>
          <w:p>
            <w:pPr>
              <w:spacing w:after="0"/>
            </w:pPr>
            <w:r/>
            <w:r>
              <w:rPr>
                <w:sz w:val="13"/>
              </w:rPr>
              <w:t>bearer</w:t>
            </w:r>
          </w:p>
        </w:tc>
        <w:tc>
          <w:tcPr>
            <w:tcW w:type="dxa" w:w="3492"/>
          </w:tcPr>
          <w:p>
            <w:pPr>
              <w:spacing w:after="0"/>
            </w:pPr>
            <w:r/>
            <w:r>
              <w:rPr>
                <w:sz w:val="13"/>
              </w:rPr>
              <w:t>hr.clockout</w:t>
            </w:r>
          </w:p>
        </w:tc>
      </w:tr>
      <w:tr>
        <w:trPr>
          <w:cantSplit/>
        </w:trPr>
        <w:tc>
          <w:tcPr>
            <w:tcW w:type="dxa" w:w="927"/>
          </w:tcPr>
          <w:p>
            <w:pPr>
              <w:spacing w:after="0"/>
            </w:pPr>
            <w:r/>
            <w:r>
              <w:rPr>
                <w:sz w:val="13"/>
              </w:rPr>
              <w:t>GET</w:t>
            </w:r>
          </w:p>
        </w:tc>
        <w:tc>
          <w:tcPr>
            <w:tcW w:type="dxa" w:w="4276"/>
          </w:tcPr>
          <w:p>
            <w:pPr>
              <w:spacing w:after="0"/>
            </w:pPr>
            <w:r/>
            <w:r>
              <w:rPr>
                <w:sz w:val="13"/>
              </w:rPr>
              <w:t>/api/v1/hr/attendance/me</w:t>
            </w:r>
          </w:p>
        </w:tc>
        <w:tc>
          <w:tcPr>
            <w:tcW w:type="dxa" w:w="4561"/>
          </w:tcPr>
          <w:p>
            <w:pPr>
              <w:spacing w:after="0"/>
            </w:pPr>
            <w:r/>
            <w:r>
              <w:rPr>
                <w:sz w:val="13"/>
              </w:rPr>
              <w:t>My attendance (current user)</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/api/v1/hr/attendance/{id}</w:t>
            </w:r>
          </w:p>
        </w:tc>
        <w:tc>
          <w:tcPr>
            <w:tcW w:type="dxa" w:w="4561"/>
          </w:tcPr>
          <w:p>
            <w:pPr>
              <w:spacing w:after="0"/>
            </w:pPr>
            <w:r/>
            <w:r>
              <w:rPr>
                <w:sz w:val="13"/>
              </w:rPr>
              <w:t>Get attendance detail by ID</w:t>
            </w:r>
          </w:p>
        </w:tc>
        <w:tc>
          <w:tcPr>
            <w:tcW w:type="dxa" w:w="855"/>
          </w:tcPr>
          <w:p>
            <w:pPr>
              <w:spacing w:after="0"/>
            </w:pPr>
            <w:r/>
            <w:r>
              <w:rPr>
                <w:sz w:val="13"/>
              </w:rPr>
              <w:t>bearer</w:t>
            </w:r>
          </w:p>
        </w:tc>
        <w:tc>
          <w:tcPr>
            <w:tcW w:type="dxa" w:w="3492"/>
          </w:tcPr>
          <w:p>
            <w:pPr>
              <w:spacing w:after="0"/>
            </w:pPr>
            <w:r/>
            <w:r>
              <w:rPr>
                <w:sz w:val="13"/>
              </w:rPr>
              <w:t>hr.attendance.view</w:t>
            </w:r>
          </w:p>
        </w:tc>
      </w:tr>
      <w:tr>
        <w:trPr>
          <w:cantSplit/>
        </w:trPr>
        <w:tc>
          <w:tcPr>
            <w:tcW w:type="dxa" w:w="927"/>
          </w:tcPr>
          <w:p>
            <w:pPr>
              <w:spacing w:after="0"/>
            </w:pPr>
            <w:r/>
            <w:r>
              <w:rPr>
                <w:sz w:val="13"/>
              </w:rPr>
              <w:t>GET</w:t>
            </w:r>
          </w:p>
        </w:tc>
        <w:tc>
          <w:tcPr>
            <w:tcW w:type="dxa" w:w="4276"/>
          </w:tcPr>
          <w:p>
            <w:pPr>
              <w:spacing w:after="0"/>
            </w:pPr>
            <w:r/>
            <w:r>
              <w:rPr>
                <w:sz w:val="13"/>
              </w:rPr>
              <w:t>/api/v1/hr/leaves</w:t>
            </w:r>
          </w:p>
        </w:tc>
        <w:tc>
          <w:tcPr>
            <w:tcW w:type="dxa" w:w="4561"/>
          </w:tcPr>
          <w:p>
            <w:pPr>
              <w:spacing w:after="0"/>
            </w:pPr>
            <w:r/>
            <w:r>
              <w:rPr>
                <w:sz w:val="13"/>
              </w:rPr>
              <w:t>List leave requests</w:t>
            </w:r>
          </w:p>
        </w:tc>
        <w:tc>
          <w:tcPr>
            <w:tcW w:type="dxa" w:w="855"/>
          </w:tcPr>
          <w:p>
            <w:pPr>
              <w:spacing w:after="0"/>
            </w:pPr>
            <w:r/>
            <w:r>
              <w:rPr>
                <w:sz w:val="13"/>
              </w:rPr>
              <w:t>bearer</w:t>
            </w:r>
          </w:p>
        </w:tc>
        <w:tc>
          <w:tcPr>
            <w:tcW w:type="dxa" w:w="3492"/>
          </w:tcPr>
          <w:p>
            <w:pPr>
              <w:spacing w:after="0"/>
            </w:pPr>
            <w:r/>
            <w:r>
              <w:rPr>
                <w:sz w:val="13"/>
              </w:rPr>
              <w:t>hr.leaves.view</w:t>
            </w:r>
          </w:p>
        </w:tc>
      </w:tr>
      <w:tr>
        <w:trPr>
          <w:cantSplit/>
        </w:trPr>
        <w:tc>
          <w:tcPr>
            <w:tcW w:type="dxa" w:w="927"/>
          </w:tcPr>
          <w:p>
            <w:pPr>
              <w:spacing w:after="0"/>
            </w:pPr>
            <w:r/>
            <w:r>
              <w:rPr>
                <w:sz w:val="13"/>
              </w:rPr>
              <w:t>POST</w:t>
            </w:r>
          </w:p>
        </w:tc>
        <w:tc>
          <w:tcPr>
            <w:tcW w:type="dxa" w:w="4276"/>
          </w:tcPr>
          <w:p>
            <w:pPr>
              <w:spacing w:after="0"/>
            </w:pPr>
            <w:r/>
            <w:r>
              <w:rPr>
                <w:sz w:val="13"/>
              </w:rPr>
              <w:t>/api/v1/hr/leaves</w:t>
            </w:r>
          </w:p>
        </w:tc>
        <w:tc>
          <w:tcPr>
            <w:tcW w:type="dxa" w:w="4561"/>
          </w:tcPr>
          <w:p>
            <w:pPr>
              <w:spacing w:after="0"/>
            </w:pPr>
            <w:r/>
            <w:r>
              <w:rPr>
                <w:sz w:val="13"/>
              </w:rPr>
              <w:t>Submit a leave request</w:t>
            </w:r>
          </w:p>
        </w:tc>
        <w:tc>
          <w:tcPr>
            <w:tcW w:type="dxa" w:w="855"/>
          </w:tcPr>
          <w:p>
            <w:pPr>
              <w:spacing w:after="0"/>
            </w:pPr>
            <w:r/>
            <w:r>
              <w:rPr>
                <w:sz w:val="13"/>
              </w:rPr>
              <w:t>bearer</w:t>
            </w:r>
          </w:p>
        </w:tc>
        <w:tc>
          <w:tcPr>
            <w:tcW w:type="dxa" w:w="3492"/>
          </w:tcPr>
          <w:p>
            <w:pPr>
              <w:spacing w:after="0"/>
            </w:pPr>
            <w:r/>
            <w:r>
              <w:rPr>
                <w:sz w:val="13"/>
              </w:rPr>
              <w:t>hr.leaves.store</w:t>
            </w:r>
          </w:p>
        </w:tc>
      </w:tr>
      <w:tr>
        <w:trPr>
          <w:cantSplit/>
        </w:trPr>
        <w:tc>
          <w:tcPr>
            <w:tcW w:type="dxa" w:w="927"/>
          </w:tcPr>
          <w:p>
            <w:pPr>
              <w:spacing w:after="0"/>
            </w:pPr>
            <w:r/>
            <w:r>
              <w:rPr>
                <w:sz w:val="13"/>
              </w:rPr>
              <w:t>GET</w:t>
            </w:r>
          </w:p>
        </w:tc>
        <w:tc>
          <w:tcPr>
            <w:tcW w:type="dxa" w:w="4276"/>
          </w:tcPr>
          <w:p>
            <w:pPr>
              <w:spacing w:after="0"/>
            </w:pPr>
            <w:r/>
            <w:r>
              <w:rPr>
                <w:sz w:val="13"/>
              </w:rPr>
              <w:t>/api/v1/hr/leaves/me</w:t>
            </w:r>
          </w:p>
        </w:tc>
        <w:tc>
          <w:tcPr>
            <w:tcW w:type="dxa" w:w="4561"/>
          </w:tcPr>
          <w:p>
            <w:pPr>
              <w:spacing w:after="0"/>
            </w:pPr>
            <w:r/>
            <w:r>
              <w:rPr>
                <w:sz w:val="13"/>
              </w:rPr>
              <w:t>My leave requests</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/api/v1/hr/leaves/{id}/approve</w:t>
            </w:r>
          </w:p>
        </w:tc>
        <w:tc>
          <w:tcPr>
            <w:tcW w:type="dxa" w:w="4561"/>
          </w:tcPr>
          <w:p>
            <w:pPr>
              <w:spacing w:after="0"/>
            </w:pPr>
            <w:r/>
            <w:r>
              <w:rPr>
                <w:sz w:val="13"/>
              </w:rPr>
              <w:t>Approve a leave request</w:t>
            </w:r>
          </w:p>
        </w:tc>
        <w:tc>
          <w:tcPr>
            <w:tcW w:type="dxa" w:w="855"/>
          </w:tcPr>
          <w:p>
            <w:pPr>
              <w:spacing w:after="0"/>
            </w:pPr>
            <w:r/>
            <w:r>
              <w:rPr>
                <w:sz w:val="13"/>
              </w:rPr>
              <w:t>bearer</w:t>
            </w:r>
          </w:p>
        </w:tc>
        <w:tc>
          <w:tcPr>
            <w:tcW w:type="dxa" w:w="3492"/>
          </w:tcPr>
          <w:p>
            <w:pPr>
              <w:spacing w:after="0"/>
            </w:pPr>
            <w:r/>
            <w:r>
              <w:rPr>
                <w:sz w:val="13"/>
              </w:rPr>
              <w:t>hr.leaves.approve</w:t>
            </w:r>
          </w:p>
        </w:tc>
      </w:tr>
      <w:tr>
        <w:trPr>
          <w:cantSplit/>
        </w:trPr>
        <w:tc>
          <w:tcPr>
            <w:tcW w:type="dxa" w:w="927"/>
          </w:tcPr>
          <w:p>
            <w:pPr>
              <w:spacing w:after="0"/>
            </w:pPr>
            <w:r/>
            <w:r>
              <w:rPr>
                <w:sz w:val="13"/>
              </w:rPr>
              <w:t>POST</w:t>
            </w:r>
          </w:p>
        </w:tc>
        <w:tc>
          <w:tcPr>
            <w:tcW w:type="dxa" w:w="4276"/>
          </w:tcPr>
          <w:p>
            <w:pPr>
              <w:spacing w:after="0"/>
            </w:pPr>
            <w:r/>
            <w:r>
              <w:rPr>
                <w:sz w:val="13"/>
              </w:rPr>
              <w:t>/api/v1/hr/leaves/{id}/reject</w:t>
            </w:r>
          </w:p>
        </w:tc>
        <w:tc>
          <w:tcPr>
            <w:tcW w:type="dxa" w:w="4561"/>
          </w:tcPr>
          <w:p>
            <w:pPr>
              <w:spacing w:after="0"/>
            </w:pPr>
            <w:r/>
            <w:r>
              <w:rPr>
                <w:sz w:val="13"/>
              </w:rPr>
              <w:t>Reject a leave request</w:t>
            </w:r>
          </w:p>
        </w:tc>
        <w:tc>
          <w:tcPr>
            <w:tcW w:type="dxa" w:w="855"/>
          </w:tcPr>
          <w:p>
            <w:pPr>
              <w:spacing w:after="0"/>
            </w:pPr>
            <w:r/>
            <w:r>
              <w:rPr>
                <w:sz w:val="13"/>
              </w:rPr>
              <w:t>bearer</w:t>
            </w:r>
          </w:p>
        </w:tc>
        <w:tc>
          <w:tcPr>
            <w:tcW w:type="dxa" w:w="3492"/>
          </w:tcPr>
          <w:p>
            <w:pPr>
              <w:spacing w:after="0"/>
            </w:pPr>
            <w:r/>
            <w:r>
              <w:rPr>
                <w:sz w:val="13"/>
              </w:rPr>
              <w:t>hr.leaves.approve</w:t>
            </w:r>
          </w:p>
        </w:tc>
      </w:tr>
      <w:tr>
        <w:trPr>
          <w:cantSplit/>
        </w:trPr>
        <w:tc>
          <w:tcPr>
            <w:tcW w:type="dxa" w:w="927"/>
          </w:tcPr>
          <w:p>
            <w:pPr>
              <w:spacing w:after="0"/>
            </w:pPr>
            <w:r/>
            <w:r>
              <w:rPr>
                <w:sz w:val="13"/>
              </w:rPr>
              <w:t>GET</w:t>
            </w:r>
          </w:p>
        </w:tc>
        <w:tc>
          <w:tcPr>
            <w:tcW w:type="dxa" w:w="4276"/>
          </w:tcPr>
          <w:p>
            <w:pPr>
              <w:spacing w:after="0"/>
            </w:pPr>
            <w:r/>
            <w:r>
              <w:rPr>
                <w:sz w:val="13"/>
              </w:rPr>
              <w:t>/api/v1/hr/payrolls</w:t>
            </w:r>
          </w:p>
        </w:tc>
        <w:tc>
          <w:tcPr>
            <w:tcW w:type="dxa" w:w="4561"/>
          </w:tcPr>
          <w:p>
            <w:pPr>
              <w:spacing w:after="0"/>
            </w:pPr>
            <w:r/>
            <w:r>
              <w:rPr>
                <w:sz w:val="13"/>
              </w:rPr>
              <w:t>List payrolls</w:t>
            </w:r>
          </w:p>
        </w:tc>
        <w:tc>
          <w:tcPr>
            <w:tcW w:type="dxa" w:w="855"/>
          </w:tcPr>
          <w:p>
            <w:pPr>
              <w:spacing w:after="0"/>
            </w:pPr>
            <w:r/>
            <w:r>
              <w:rPr>
                <w:sz w:val="13"/>
              </w:rPr>
              <w:t>bearer</w:t>
            </w:r>
          </w:p>
        </w:tc>
        <w:tc>
          <w:tcPr>
            <w:tcW w:type="dxa" w:w="3492"/>
          </w:tcPr>
          <w:p>
            <w:pPr>
              <w:spacing w:after="0"/>
            </w:pPr>
            <w:r/>
            <w:r>
              <w:rPr>
                <w:sz w:val="13"/>
              </w:rPr>
              <w:t>hr.payrolls.view</w:t>
            </w:r>
          </w:p>
        </w:tc>
      </w:tr>
      <w:tr>
        <w:trPr>
          <w:cantSplit/>
        </w:trPr>
        <w:tc>
          <w:tcPr>
            <w:tcW w:type="dxa" w:w="927"/>
          </w:tcPr>
          <w:p>
            <w:pPr>
              <w:spacing w:after="0"/>
            </w:pPr>
            <w:r/>
            <w:r>
              <w:rPr>
                <w:sz w:val="13"/>
              </w:rPr>
              <w:t>POST</w:t>
            </w:r>
          </w:p>
        </w:tc>
        <w:tc>
          <w:tcPr>
            <w:tcW w:type="dxa" w:w="4276"/>
          </w:tcPr>
          <w:p>
            <w:pPr>
              <w:spacing w:after="0"/>
            </w:pPr>
            <w:r/>
            <w:r>
              <w:rPr>
                <w:sz w:val="13"/>
              </w:rPr>
              <w:t>/api/v1/hr/payrolls</w:t>
            </w:r>
          </w:p>
        </w:tc>
        <w:tc>
          <w:tcPr>
            <w:tcW w:type="dxa" w:w="4561"/>
          </w:tcPr>
          <w:p>
            <w:pPr>
              <w:spacing w:after="0"/>
            </w:pPr>
            <w:r/>
            <w:r>
              <w:rPr>
                <w:sz w:val="13"/>
              </w:rPr>
              <w:t>Generate pay slips for a period</w:t>
            </w:r>
          </w:p>
        </w:tc>
        <w:tc>
          <w:tcPr>
            <w:tcW w:type="dxa" w:w="855"/>
          </w:tcPr>
          <w:p>
            <w:pPr>
              <w:spacing w:after="0"/>
            </w:pPr>
            <w:r/>
            <w:r>
              <w:rPr>
                <w:sz w:val="13"/>
              </w:rPr>
              <w:t>bearer</w:t>
            </w:r>
          </w:p>
        </w:tc>
        <w:tc>
          <w:tcPr>
            <w:tcW w:type="dxa" w:w="3492"/>
          </w:tcPr>
          <w:p>
            <w:pPr>
              <w:spacing w:after="0"/>
            </w:pPr>
            <w:r/>
            <w:r>
              <w:rPr>
                <w:sz w:val="13"/>
              </w:rPr>
              <w:t>hr.payrolls.generate</w:t>
            </w:r>
          </w:p>
        </w:tc>
      </w:tr>
      <w:tr>
        <w:trPr>
          <w:cantSplit/>
        </w:trPr>
        <w:tc>
          <w:tcPr>
            <w:tcW w:type="dxa" w:w="927"/>
          </w:tcPr>
          <w:p>
            <w:pPr>
              <w:spacing w:after="0"/>
            </w:pPr>
            <w:r/>
            <w:r>
              <w:rPr>
                <w:sz w:val="13"/>
              </w:rPr>
              <w:t>GET</w:t>
            </w:r>
          </w:p>
        </w:tc>
        <w:tc>
          <w:tcPr>
            <w:tcW w:type="dxa" w:w="4276"/>
          </w:tcPr>
          <w:p>
            <w:pPr>
              <w:spacing w:after="0"/>
            </w:pPr>
            <w:r/>
            <w:r>
              <w:rPr>
                <w:sz w:val="13"/>
              </w:rPr>
              <w:t>/api/v1/hr/payrolls/me</w:t>
            </w:r>
          </w:p>
        </w:tc>
        <w:tc>
          <w:tcPr>
            <w:tcW w:type="dxa" w:w="4561"/>
          </w:tcPr>
          <w:p>
            <w:pPr>
              <w:spacing w:after="0"/>
            </w:pPr>
            <w:r/>
            <w:r>
              <w:rPr>
                <w:sz w:val="13"/>
              </w:rPr>
              <w:t>My payslips</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/api/v1/hr/payrolls/{id}</w:t>
            </w:r>
          </w:p>
        </w:tc>
        <w:tc>
          <w:tcPr>
            <w:tcW w:type="dxa" w:w="4561"/>
          </w:tcPr>
          <w:p>
            <w:pPr>
              <w:spacing w:after="0"/>
            </w:pPr>
            <w:r/>
            <w:r>
              <w:rPr>
                <w:sz w:val="13"/>
              </w:rPr>
              <w:t>Get payroll by ID</w:t>
            </w:r>
          </w:p>
        </w:tc>
        <w:tc>
          <w:tcPr>
            <w:tcW w:type="dxa" w:w="855"/>
          </w:tcPr>
          <w:p>
            <w:pPr>
              <w:spacing w:after="0"/>
            </w:pPr>
            <w:r/>
            <w:r>
              <w:rPr>
                <w:sz w:val="13"/>
              </w:rPr>
              <w:t>bearer</w:t>
            </w:r>
          </w:p>
        </w:tc>
        <w:tc>
          <w:tcPr>
            <w:tcW w:type="dxa" w:w="3492"/>
          </w:tcPr>
          <w:p>
            <w:pPr>
              <w:spacing w:after="0"/>
            </w:pPr>
            <w:r/>
            <w:r>
              <w:rPr>
                <w:sz w:val="13"/>
              </w:rPr>
              <w:t>hr.payrolls.view</w:t>
            </w:r>
          </w:p>
        </w:tc>
      </w:tr>
      <w:tr>
        <w:trPr>
          <w:cantSplit/>
        </w:trPr>
        <w:tc>
          <w:tcPr>
            <w:tcW w:type="dxa" w:w="927"/>
          </w:tcPr>
          <w:p>
            <w:pPr>
              <w:spacing w:after="0"/>
            </w:pPr>
            <w:r/>
            <w:r>
              <w:rPr>
                <w:sz w:val="13"/>
              </w:rPr>
              <w:t>POST</w:t>
            </w:r>
          </w:p>
        </w:tc>
        <w:tc>
          <w:tcPr>
            <w:tcW w:type="dxa" w:w="4276"/>
          </w:tcPr>
          <w:p>
            <w:pPr>
              <w:spacing w:after="0"/>
            </w:pPr>
            <w:r/>
            <w:r>
              <w:rPr>
                <w:sz w:val="13"/>
              </w:rPr>
              <w:t>/api/v1/hr/payrolls/{id}/approve</w:t>
            </w:r>
          </w:p>
        </w:tc>
        <w:tc>
          <w:tcPr>
            <w:tcW w:type="dxa" w:w="4561"/>
          </w:tcPr>
          <w:p>
            <w:pPr>
              <w:spacing w:after="0"/>
            </w:pPr>
            <w:r/>
            <w:r>
              <w:rPr>
                <w:sz w:val="13"/>
              </w:rPr>
              <w:t>Approve a payroll (draft -&gt; approved)</w:t>
            </w:r>
          </w:p>
        </w:tc>
        <w:tc>
          <w:tcPr>
            <w:tcW w:type="dxa" w:w="855"/>
          </w:tcPr>
          <w:p>
            <w:pPr>
              <w:spacing w:after="0"/>
            </w:pPr>
            <w:r/>
            <w:r>
              <w:rPr>
                <w:sz w:val="13"/>
              </w:rPr>
              <w:t>bearer</w:t>
            </w:r>
          </w:p>
        </w:tc>
        <w:tc>
          <w:tcPr>
            <w:tcW w:type="dxa" w:w="3492"/>
          </w:tcPr>
          <w:p>
            <w:pPr>
              <w:spacing w:after="0"/>
            </w:pPr>
            <w:r/>
            <w:r>
              <w:rPr>
                <w:sz w:val="13"/>
              </w:rPr>
              <w:t>hr.payrolls.approve</w:t>
            </w:r>
          </w:p>
        </w:tc>
      </w:tr>
      <w:tr>
        <w:trPr>
          <w:cantSplit/>
        </w:trPr>
        <w:tc>
          <w:tcPr>
            <w:tcW w:type="dxa" w:w="927"/>
          </w:tcPr>
          <w:p>
            <w:pPr>
              <w:spacing w:after="0"/>
            </w:pPr>
            <w:r/>
            <w:r>
              <w:rPr>
                <w:sz w:val="13"/>
              </w:rPr>
              <w:t>POST</w:t>
            </w:r>
          </w:p>
        </w:tc>
        <w:tc>
          <w:tcPr>
            <w:tcW w:type="dxa" w:w="4276"/>
          </w:tcPr>
          <w:p>
            <w:pPr>
              <w:spacing w:after="0"/>
            </w:pPr>
            <w:r/>
            <w:r>
              <w:rPr>
                <w:sz w:val="13"/>
              </w:rPr>
              <w:t>/api/v1/hr/payrolls/{id}/pay</w:t>
            </w:r>
          </w:p>
        </w:tc>
        <w:tc>
          <w:tcPr>
            <w:tcW w:type="dxa" w:w="4561"/>
          </w:tcPr>
          <w:p>
            <w:pPr>
              <w:spacing w:after="0"/>
            </w:pPr>
            <w:r/>
            <w:r>
              <w:rPr>
                <w:sz w:val="13"/>
              </w:rPr>
              <w:t>Disburse / pay a payroll (approved -&gt; paid)</w:t>
            </w:r>
          </w:p>
        </w:tc>
        <w:tc>
          <w:tcPr>
            <w:tcW w:type="dxa" w:w="855"/>
          </w:tcPr>
          <w:p>
            <w:pPr>
              <w:spacing w:after="0"/>
            </w:pPr>
            <w:r/>
            <w:r>
              <w:rPr>
                <w:sz w:val="13"/>
              </w:rPr>
              <w:t>bearer</w:t>
            </w:r>
          </w:p>
        </w:tc>
        <w:tc>
          <w:tcPr>
            <w:tcW w:type="dxa" w:w="3492"/>
          </w:tcPr>
          <w:p>
            <w:pPr>
              <w:spacing w:after="0"/>
            </w:pPr>
            <w:r/>
            <w:r>
              <w:rPr>
                <w:sz w:val="13"/>
              </w:rPr>
              <w:t>hr.payrolls.pay</w:t>
            </w:r>
          </w:p>
        </w:tc>
      </w:tr>
      <w:tr>
        <w:trPr>
          <w:cantSplit/>
        </w:trPr>
        <w:tc>
          <w:tcPr>
            <w:tcW w:type="dxa" w:w="927"/>
          </w:tcPr>
          <w:p>
            <w:pPr>
              <w:spacing w:after="0"/>
            </w:pPr>
            <w:r/>
            <w:r>
              <w:rPr>
                <w:sz w:val="13"/>
              </w:rPr>
              <w:t>GET</w:t>
            </w:r>
          </w:p>
        </w:tc>
        <w:tc>
          <w:tcPr>
            <w:tcW w:type="dxa" w:w="4276"/>
          </w:tcPr>
          <w:p>
            <w:pPr>
              <w:spacing w:after="0"/>
            </w:pPr>
            <w:r/>
            <w:r>
              <w:rPr>
                <w:sz w:val="13"/>
              </w:rPr>
              <w:t>/api/v1/hr/performances</w:t>
            </w:r>
          </w:p>
        </w:tc>
        <w:tc>
          <w:tcPr>
            <w:tcW w:type="dxa" w:w="4561"/>
          </w:tcPr>
          <w:p>
            <w:pPr>
              <w:spacing w:after="0"/>
            </w:pPr>
            <w:r/>
            <w:r>
              <w:rPr>
                <w:sz w:val="13"/>
              </w:rPr>
              <w:t>List performance reviews</w:t>
            </w:r>
          </w:p>
        </w:tc>
        <w:tc>
          <w:tcPr>
            <w:tcW w:type="dxa" w:w="855"/>
          </w:tcPr>
          <w:p>
            <w:pPr>
              <w:spacing w:after="0"/>
            </w:pPr>
            <w:r/>
            <w:r>
              <w:rPr>
                <w:sz w:val="13"/>
              </w:rPr>
              <w:t>bearer</w:t>
            </w:r>
          </w:p>
        </w:tc>
        <w:tc>
          <w:tcPr>
            <w:tcW w:type="dxa" w:w="3492"/>
          </w:tcPr>
          <w:p>
            <w:pPr>
              <w:spacing w:after="0"/>
            </w:pPr>
            <w:r/>
            <w:r>
              <w:rPr>
                <w:sz w:val="13"/>
              </w:rPr>
              <w:t>hr.performances.view</w:t>
            </w:r>
          </w:p>
        </w:tc>
      </w:tr>
      <w:tr>
        <w:trPr>
          <w:cantSplit/>
        </w:trPr>
        <w:tc>
          <w:tcPr>
            <w:tcW w:type="dxa" w:w="927"/>
          </w:tcPr>
          <w:p>
            <w:pPr>
              <w:spacing w:after="0"/>
            </w:pPr>
            <w:r/>
            <w:r>
              <w:rPr>
                <w:sz w:val="13"/>
              </w:rPr>
              <w:t>POST</w:t>
            </w:r>
          </w:p>
        </w:tc>
        <w:tc>
          <w:tcPr>
            <w:tcW w:type="dxa" w:w="4276"/>
          </w:tcPr>
          <w:p>
            <w:pPr>
              <w:spacing w:after="0"/>
            </w:pPr>
            <w:r/>
            <w:r>
              <w:rPr>
                <w:sz w:val="13"/>
              </w:rPr>
              <w:t>/api/v1/hr/performances</w:t>
            </w:r>
          </w:p>
        </w:tc>
        <w:tc>
          <w:tcPr>
            <w:tcW w:type="dxa" w:w="4561"/>
          </w:tcPr>
          <w:p>
            <w:pPr>
              <w:spacing w:after="0"/>
            </w:pPr>
            <w:r/>
            <w:r>
              <w:rPr>
                <w:sz w:val="13"/>
              </w:rPr>
              <w:t>Record a performance review</w:t>
            </w:r>
          </w:p>
        </w:tc>
        <w:tc>
          <w:tcPr>
            <w:tcW w:type="dxa" w:w="855"/>
          </w:tcPr>
          <w:p>
            <w:pPr>
              <w:spacing w:after="0"/>
            </w:pPr>
            <w:r/>
            <w:r>
              <w:rPr>
                <w:sz w:val="13"/>
              </w:rPr>
              <w:t>bearer</w:t>
            </w:r>
          </w:p>
        </w:tc>
        <w:tc>
          <w:tcPr>
            <w:tcW w:type="dxa" w:w="3492"/>
          </w:tcPr>
          <w:p>
            <w:pPr>
              <w:spacing w:after="0"/>
            </w:pPr>
            <w:r/>
            <w:r>
              <w:rPr>
                <w:sz w:val="13"/>
              </w:rPr>
              <w:t>hr.performances.create</w:t>
            </w:r>
          </w:p>
        </w:tc>
      </w:tr>
      <w:tr>
        <w:trPr>
          <w:cantSplit/>
        </w:trPr>
        <w:tc>
          <w:tcPr>
            <w:tcW w:type="dxa" w:w="927"/>
          </w:tcPr>
          <w:p>
            <w:pPr>
              <w:spacing w:after="0"/>
            </w:pPr>
            <w:r/>
            <w:r>
              <w:rPr>
                <w:sz w:val="13"/>
              </w:rPr>
              <w:t>DELETE</w:t>
            </w:r>
          </w:p>
        </w:tc>
        <w:tc>
          <w:tcPr>
            <w:tcW w:type="dxa" w:w="4276"/>
          </w:tcPr>
          <w:p>
            <w:pPr>
              <w:spacing w:after="0"/>
            </w:pPr>
            <w:r/>
            <w:r>
              <w:rPr>
                <w:sz w:val="13"/>
              </w:rPr>
              <w:t>/api/v1/hr/performances/{id}</w:t>
            </w:r>
          </w:p>
        </w:tc>
        <w:tc>
          <w:tcPr>
            <w:tcW w:type="dxa" w:w="4561"/>
          </w:tcPr>
          <w:p>
            <w:pPr>
              <w:spacing w:after="0"/>
            </w:pPr>
            <w:r/>
            <w:r>
              <w:rPr>
                <w:sz w:val="13"/>
              </w:rPr>
              <w:t>Delete performance review</w:t>
            </w:r>
          </w:p>
        </w:tc>
        <w:tc>
          <w:tcPr>
            <w:tcW w:type="dxa" w:w="855"/>
          </w:tcPr>
          <w:p>
            <w:pPr>
              <w:spacing w:after="0"/>
            </w:pPr>
            <w:r/>
            <w:r>
              <w:rPr>
                <w:sz w:val="13"/>
              </w:rPr>
              <w:t>bearer</w:t>
            </w:r>
          </w:p>
        </w:tc>
        <w:tc>
          <w:tcPr>
            <w:tcW w:type="dxa" w:w="3492"/>
          </w:tcPr>
          <w:p>
            <w:pPr>
              <w:spacing w:after="0"/>
            </w:pPr>
            <w:r/>
            <w:r>
              <w:rPr>
                <w:sz w:val="13"/>
              </w:rPr>
              <w:t>hr.performances.delete</w:t>
            </w:r>
          </w:p>
        </w:tc>
      </w:tr>
      <w:tr>
        <w:trPr>
          <w:cantSplit/>
        </w:trPr>
        <w:tc>
          <w:tcPr>
            <w:tcW w:type="dxa" w:w="927"/>
          </w:tcPr>
          <w:p>
            <w:pPr>
              <w:spacing w:after="0"/>
            </w:pPr>
            <w:r/>
            <w:r>
              <w:rPr>
                <w:sz w:val="13"/>
              </w:rPr>
              <w:t>GET</w:t>
            </w:r>
          </w:p>
        </w:tc>
        <w:tc>
          <w:tcPr>
            <w:tcW w:type="dxa" w:w="4276"/>
          </w:tcPr>
          <w:p>
            <w:pPr>
              <w:spacing w:after="0"/>
            </w:pPr>
            <w:r/>
            <w:r>
              <w:rPr>
                <w:sz w:val="13"/>
              </w:rPr>
              <w:t>/api/v1/hr/performances/{id}</w:t>
            </w:r>
          </w:p>
        </w:tc>
        <w:tc>
          <w:tcPr>
            <w:tcW w:type="dxa" w:w="4561"/>
          </w:tcPr>
          <w:p>
            <w:pPr>
              <w:spacing w:after="0"/>
            </w:pPr>
            <w:r/>
            <w:r>
              <w:rPr>
                <w:sz w:val="13"/>
              </w:rPr>
              <w:t>Get performance review by ID</w:t>
            </w:r>
          </w:p>
        </w:tc>
        <w:tc>
          <w:tcPr>
            <w:tcW w:type="dxa" w:w="855"/>
          </w:tcPr>
          <w:p>
            <w:pPr>
              <w:spacing w:after="0"/>
            </w:pPr>
            <w:r/>
            <w:r>
              <w:rPr>
                <w:sz w:val="13"/>
              </w:rPr>
              <w:t>bearer</w:t>
            </w:r>
          </w:p>
        </w:tc>
        <w:tc>
          <w:tcPr>
            <w:tcW w:type="dxa" w:w="3492"/>
          </w:tcPr>
          <w:p>
            <w:pPr>
              <w:spacing w:after="0"/>
            </w:pPr>
            <w:r/>
            <w:r>
              <w:rPr>
                <w:sz w:val="13"/>
              </w:rPr>
              <w:t>hr.performances.view</w:t>
            </w:r>
          </w:p>
        </w:tc>
      </w:tr>
      <w:tr>
        <w:trPr>
          <w:cantSplit/>
        </w:trPr>
        <w:tc>
          <w:tcPr>
            <w:tcW w:type="dxa" w:w="927"/>
          </w:tcPr>
          <w:p>
            <w:pPr>
              <w:spacing w:after="0"/>
            </w:pPr>
            <w:r/>
            <w:r>
              <w:rPr>
                <w:sz w:val="13"/>
              </w:rPr>
              <w:t>PUT</w:t>
            </w:r>
          </w:p>
        </w:tc>
        <w:tc>
          <w:tcPr>
            <w:tcW w:type="dxa" w:w="4276"/>
          </w:tcPr>
          <w:p>
            <w:pPr>
              <w:spacing w:after="0"/>
            </w:pPr>
            <w:r/>
            <w:r>
              <w:rPr>
                <w:sz w:val="13"/>
              </w:rPr>
              <w:t>/api/v1/hr/performances/{id}</w:t>
            </w:r>
          </w:p>
        </w:tc>
        <w:tc>
          <w:tcPr>
            <w:tcW w:type="dxa" w:w="4561"/>
          </w:tcPr>
          <w:p>
            <w:pPr>
              <w:spacing w:after="0"/>
            </w:pPr>
            <w:r/>
            <w:r>
              <w:rPr>
                <w:sz w:val="13"/>
              </w:rPr>
              <w:t>Update performance review</w:t>
            </w:r>
          </w:p>
        </w:tc>
        <w:tc>
          <w:tcPr>
            <w:tcW w:type="dxa" w:w="855"/>
          </w:tcPr>
          <w:p>
            <w:pPr>
              <w:spacing w:after="0"/>
            </w:pPr>
            <w:r/>
            <w:r>
              <w:rPr>
                <w:sz w:val="13"/>
              </w:rPr>
              <w:t>bearer</w:t>
            </w:r>
          </w:p>
        </w:tc>
        <w:tc>
          <w:tcPr>
            <w:tcW w:type="dxa" w:w="3492"/>
          </w:tcPr>
          <w:p>
            <w:pPr>
              <w:spacing w:after="0"/>
            </w:pPr>
            <w:r/>
            <w:r>
              <w:rPr>
                <w:sz w:val="13"/>
              </w:rPr>
              <w:t>hr.performances.update</w:t>
            </w:r>
          </w:p>
        </w:tc>
      </w:tr>
    </w:tbl>
    <w:p>
      <w:bookmarkStart w:id="1243" w:name="_Toc1243"/>
      <w:pPr>
        <w:pStyle w:val="Heading3"/>
      </w:pPr>
      <w:r>
        <w:t>inventory — 13 operations</w:t>
      </w:r>
      <w:bookmarkEnd w:id="1243"/>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/api/v1/inventory/movements</w:t>
            </w:r>
          </w:p>
        </w:tc>
        <w:tc>
          <w:tcPr>
            <w:tcW w:type="dxa" w:w="4561"/>
          </w:tcPr>
          <w:p>
            <w:pPr>
              <w:spacing w:after="0"/>
            </w:pPr>
            <w:r/>
            <w:r>
              <w:rPr>
                <w:sz w:val="13"/>
              </w:rPr>
              <w:t>List stock movements (ledger)</w:t>
            </w:r>
          </w:p>
        </w:tc>
        <w:tc>
          <w:tcPr>
            <w:tcW w:type="dxa" w:w="855"/>
          </w:tcPr>
          <w:p>
            <w:pPr>
              <w:spacing w:after="0"/>
            </w:pPr>
            <w:r/>
            <w:r>
              <w:rPr>
                <w:sz w:val="13"/>
              </w:rPr>
              <w:t>bearer</w:t>
            </w:r>
          </w:p>
        </w:tc>
        <w:tc>
          <w:tcPr>
            <w:tcW w:type="dxa" w:w="3492"/>
          </w:tcPr>
          <w:p>
            <w:pPr>
              <w:spacing w:after="0"/>
            </w:pPr>
            <w:r/>
            <w:r>
              <w:rPr>
                <w:sz w:val="13"/>
              </w:rPr>
              <w:t>inventory.movements.view</w:t>
            </w:r>
          </w:p>
        </w:tc>
      </w:tr>
      <w:tr>
        <w:trPr>
          <w:cantSplit/>
        </w:trPr>
        <w:tc>
          <w:tcPr>
            <w:tcW w:type="dxa" w:w="927"/>
          </w:tcPr>
          <w:p>
            <w:pPr>
              <w:spacing w:after="0"/>
            </w:pPr>
            <w:r/>
            <w:r>
              <w:rPr>
                <w:sz w:val="13"/>
              </w:rPr>
              <w:t>GET</w:t>
            </w:r>
          </w:p>
        </w:tc>
        <w:tc>
          <w:tcPr>
            <w:tcW w:type="dxa" w:w="4276"/>
          </w:tcPr>
          <w:p>
            <w:pPr>
              <w:spacing w:after="0"/>
            </w:pPr>
            <w:r/>
            <w:r>
              <w:rPr>
                <w:sz w:val="13"/>
              </w:rPr>
              <w:t>/api/v1/inventory/opnames</w:t>
            </w:r>
          </w:p>
        </w:tc>
        <w:tc>
          <w:tcPr>
            <w:tcW w:type="dxa" w:w="4561"/>
          </w:tcPr>
          <w:p>
            <w:pPr>
              <w:spacing w:after="0"/>
            </w:pPr>
            <w:r/>
            <w:r>
              <w:rPr>
                <w:sz w:val="13"/>
              </w:rPr>
              <w:t>List stock opnames</w:t>
            </w:r>
          </w:p>
        </w:tc>
        <w:tc>
          <w:tcPr>
            <w:tcW w:type="dxa" w:w="855"/>
          </w:tcPr>
          <w:p>
            <w:pPr>
              <w:spacing w:after="0"/>
            </w:pPr>
            <w:r/>
            <w:r>
              <w:rPr>
                <w:sz w:val="13"/>
              </w:rPr>
              <w:t>bearer</w:t>
            </w:r>
          </w:p>
        </w:tc>
        <w:tc>
          <w:tcPr>
            <w:tcW w:type="dxa" w:w="3492"/>
          </w:tcPr>
          <w:p>
            <w:pPr>
              <w:spacing w:after="0"/>
            </w:pPr>
            <w:r/>
            <w:r>
              <w:rPr>
                <w:sz w:val="13"/>
              </w:rPr>
              <w:t>inventory.opnames.view</w:t>
            </w:r>
          </w:p>
        </w:tc>
      </w:tr>
      <w:tr>
        <w:trPr>
          <w:cantSplit/>
        </w:trPr>
        <w:tc>
          <w:tcPr>
            <w:tcW w:type="dxa" w:w="927"/>
          </w:tcPr>
          <w:p>
            <w:pPr>
              <w:spacing w:after="0"/>
            </w:pPr>
            <w:r/>
            <w:r>
              <w:rPr>
                <w:sz w:val="13"/>
              </w:rPr>
              <w:t>POST</w:t>
            </w:r>
          </w:p>
        </w:tc>
        <w:tc>
          <w:tcPr>
            <w:tcW w:type="dxa" w:w="4276"/>
          </w:tcPr>
          <w:p>
            <w:pPr>
              <w:spacing w:after="0"/>
            </w:pPr>
            <w:r/>
            <w:r>
              <w:rPr>
                <w:sz w:val="13"/>
              </w:rPr>
              <w:t>/api/v1/inventory/opnames</w:t>
            </w:r>
          </w:p>
        </w:tc>
        <w:tc>
          <w:tcPr>
            <w:tcW w:type="dxa" w:w="4561"/>
          </w:tcPr>
          <w:p>
            <w:pPr>
              <w:spacing w:after="0"/>
            </w:pPr>
            <w:r/>
            <w:r>
              <w:rPr>
                <w:sz w:val="13"/>
              </w:rPr>
              <w:t>Create a stock opname (snapshot)</w:t>
            </w:r>
          </w:p>
        </w:tc>
        <w:tc>
          <w:tcPr>
            <w:tcW w:type="dxa" w:w="855"/>
          </w:tcPr>
          <w:p>
            <w:pPr>
              <w:spacing w:after="0"/>
            </w:pPr>
            <w:r/>
            <w:r>
              <w:rPr>
                <w:sz w:val="13"/>
              </w:rPr>
              <w:t>bearer</w:t>
            </w:r>
          </w:p>
        </w:tc>
        <w:tc>
          <w:tcPr>
            <w:tcW w:type="dxa" w:w="3492"/>
          </w:tcPr>
          <w:p>
            <w:pPr>
              <w:spacing w:after="0"/>
            </w:pPr>
            <w:r/>
            <w:r>
              <w:rPr>
                <w:sz w:val="13"/>
              </w:rPr>
              <w:t>inventory.opnames.create</w:t>
            </w:r>
          </w:p>
        </w:tc>
      </w:tr>
      <w:tr>
        <w:trPr>
          <w:cantSplit/>
        </w:trPr>
        <w:tc>
          <w:tcPr>
            <w:tcW w:type="dxa" w:w="927"/>
          </w:tcPr>
          <w:p>
            <w:pPr>
              <w:spacing w:after="0"/>
            </w:pPr>
            <w:r/>
            <w:r>
              <w:rPr>
                <w:sz w:val="13"/>
              </w:rPr>
              <w:t>GET</w:t>
            </w:r>
          </w:p>
        </w:tc>
        <w:tc>
          <w:tcPr>
            <w:tcW w:type="dxa" w:w="4276"/>
          </w:tcPr>
          <w:p>
            <w:pPr>
              <w:spacing w:after="0"/>
            </w:pPr>
            <w:r/>
            <w:r>
              <w:rPr>
                <w:sz w:val="13"/>
              </w:rPr>
              <w:t>/api/v1/inventory/opnames/{id}</w:t>
            </w:r>
          </w:p>
        </w:tc>
        <w:tc>
          <w:tcPr>
            <w:tcW w:type="dxa" w:w="4561"/>
          </w:tcPr>
          <w:p>
            <w:pPr>
              <w:spacing w:after="0"/>
            </w:pPr>
            <w:r/>
            <w:r>
              <w:rPr>
                <w:sz w:val="13"/>
              </w:rPr>
              <w:t>Get a stock opname with items</w:t>
            </w:r>
          </w:p>
        </w:tc>
        <w:tc>
          <w:tcPr>
            <w:tcW w:type="dxa" w:w="855"/>
          </w:tcPr>
          <w:p>
            <w:pPr>
              <w:spacing w:after="0"/>
            </w:pPr>
            <w:r/>
            <w:r>
              <w:rPr>
                <w:sz w:val="13"/>
              </w:rPr>
              <w:t>bearer</w:t>
            </w:r>
          </w:p>
        </w:tc>
        <w:tc>
          <w:tcPr>
            <w:tcW w:type="dxa" w:w="3492"/>
          </w:tcPr>
          <w:p>
            <w:pPr>
              <w:spacing w:after="0"/>
            </w:pPr>
            <w:r/>
            <w:r>
              <w:rPr>
                <w:sz w:val="13"/>
              </w:rPr>
              <w:t>inventory.opnames.view</w:t>
            </w:r>
          </w:p>
        </w:tc>
      </w:tr>
      <w:tr>
        <w:trPr>
          <w:cantSplit/>
        </w:trPr>
        <w:tc>
          <w:tcPr>
            <w:tcW w:type="dxa" w:w="927"/>
          </w:tcPr>
          <w:p>
            <w:pPr>
              <w:spacing w:after="0"/>
            </w:pPr>
            <w:r/>
            <w:r>
              <w:rPr>
                <w:sz w:val="13"/>
              </w:rPr>
              <w:t>PUT</w:t>
            </w:r>
          </w:p>
        </w:tc>
        <w:tc>
          <w:tcPr>
            <w:tcW w:type="dxa" w:w="4276"/>
          </w:tcPr>
          <w:p>
            <w:pPr>
              <w:spacing w:after="0"/>
            </w:pPr>
            <w:r/>
            <w:r>
              <w:rPr>
                <w:sz w:val="13"/>
              </w:rPr>
              <w:t>/api/v1/inventory/opnames/{id}</w:t>
            </w:r>
          </w:p>
        </w:tc>
        <w:tc>
          <w:tcPr>
            <w:tcW w:type="dxa" w:w="4561"/>
          </w:tcPr>
          <w:p>
            <w:pPr>
              <w:spacing w:after="0"/>
            </w:pPr>
            <w:r/>
            <w:r>
              <w:rPr>
                <w:sz w:val="13"/>
              </w:rPr>
              <w:t>Update physical quantities for a stock opname</w:t>
            </w:r>
          </w:p>
        </w:tc>
        <w:tc>
          <w:tcPr>
            <w:tcW w:type="dxa" w:w="855"/>
          </w:tcPr>
          <w:p>
            <w:pPr>
              <w:spacing w:after="0"/>
            </w:pPr>
            <w:r/>
            <w:r>
              <w:rPr>
                <w:sz w:val="13"/>
              </w:rPr>
              <w:t>bearer</w:t>
            </w:r>
          </w:p>
        </w:tc>
        <w:tc>
          <w:tcPr>
            <w:tcW w:type="dxa" w:w="3492"/>
          </w:tcPr>
          <w:p>
            <w:pPr>
              <w:spacing w:after="0"/>
            </w:pPr>
            <w:r/>
            <w:r>
              <w:rPr>
                <w:sz w:val="13"/>
              </w:rPr>
              <w:t>inventory.opnames.update</w:t>
            </w:r>
          </w:p>
        </w:tc>
      </w:tr>
      <w:tr>
        <w:trPr>
          <w:cantSplit/>
        </w:trPr>
        <w:tc>
          <w:tcPr>
            <w:tcW w:type="dxa" w:w="927"/>
          </w:tcPr>
          <w:p>
            <w:pPr>
              <w:spacing w:after="0"/>
            </w:pPr>
            <w:r/>
            <w:r>
              <w:rPr>
                <w:sz w:val="13"/>
              </w:rPr>
              <w:t>POST</w:t>
            </w:r>
          </w:p>
        </w:tc>
        <w:tc>
          <w:tcPr>
            <w:tcW w:type="dxa" w:w="4276"/>
          </w:tcPr>
          <w:p>
            <w:pPr>
              <w:spacing w:after="0"/>
            </w:pPr>
            <w:r/>
            <w:r>
              <w:rPr>
                <w:sz w:val="13"/>
              </w:rPr>
              <w:t>/api/v1/inventory/opnames/{id}/finalize</w:t>
            </w:r>
          </w:p>
        </w:tc>
        <w:tc>
          <w:tcPr>
            <w:tcW w:type="dxa" w:w="4561"/>
          </w:tcPr>
          <w:p>
            <w:pPr>
              <w:spacing w:after="0"/>
            </w:pPr>
            <w:r/>
            <w:r>
              <w:rPr>
                <w:sz w:val="13"/>
              </w:rPr>
              <w:t>Finalize an in-progress opname</w:t>
            </w:r>
          </w:p>
        </w:tc>
        <w:tc>
          <w:tcPr>
            <w:tcW w:type="dxa" w:w="855"/>
          </w:tcPr>
          <w:p>
            <w:pPr>
              <w:spacing w:after="0"/>
            </w:pPr>
            <w:r/>
            <w:r>
              <w:rPr>
                <w:sz w:val="13"/>
              </w:rPr>
              <w:t>bearer</w:t>
            </w:r>
          </w:p>
        </w:tc>
        <w:tc>
          <w:tcPr>
            <w:tcW w:type="dxa" w:w="3492"/>
          </w:tcPr>
          <w:p>
            <w:pPr>
              <w:spacing w:after="0"/>
            </w:pPr>
            <w:r/>
            <w:r>
              <w:rPr>
                <w:sz w:val="13"/>
              </w:rPr>
              <w:t>inventory.opnames.finalize</w:t>
            </w:r>
          </w:p>
        </w:tc>
      </w:tr>
      <w:tr>
        <w:trPr>
          <w:cantSplit/>
        </w:trPr>
        <w:tc>
          <w:tcPr>
            <w:tcW w:type="dxa" w:w="927"/>
          </w:tcPr>
          <w:p>
            <w:pPr>
              <w:spacing w:after="0"/>
            </w:pPr>
            <w:r/>
            <w:r>
              <w:rPr>
                <w:sz w:val="13"/>
              </w:rPr>
              <w:t>GET</w:t>
            </w:r>
          </w:p>
        </w:tc>
        <w:tc>
          <w:tcPr>
            <w:tcW w:type="dxa" w:w="4276"/>
          </w:tcPr>
          <w:p>
            <w:pPr>
              <w:spacing w:after="0"/>
            </w:pPr>
            <w:r/>
            <w:r>
              <w:rPr>
                <w:sz w:val="13"/>
              </w:rPr>
              <w:t>/api/v1/inventory/stock</w:t>
            </w:r>
          </w:p>
        </w:tc>
        <w:tc>
          <w:tcPr>
            <w:tcW w:type="dxa" w:w="4561"/>
          </w:tcPr>
          <w:p>
            <w:pPr>
              <w:spacing w:after="0"/>
            </w:pPr>
            <w:r/>
            <w:r>
              <w:rPr>
                <w:sz w:val="13"/>
              </w:rPr>
              <w:t>List stock, aggregated by product</w:t>
            </w:r>
          </w:p>
        </w:tc>
        <w:tc>
          <w:tcPr>
            <w:tcW w:type="dxa" w:w="855"/>
          </w:tcPr>
          <w:p>
            <w:pPr>
              <w:spacing w:after="0"/>
            </w:pPr>
            <w:r/>
            <w:r>
              <w:rPr>
                <w:sz w:val="13"/>
              </w:rPr>
              <w:t>bearer</w:t>
            </w:r>
          </w:p>
        </w:tc>
        <w:tc>
          <w:tcPr>
            <w:tcW w:type="dxa" w:w="3492"/>
          </w:tcPr>
          <w:p>
            <w:pPr>
              <w:spacing w:after="0"/>
            </w:pPr>
            <w:r/>
            <w:r>
              <w:rPr>
                <w:sz w:val="13"/>
              </w:rPr>
              <w:t>inventory.stock.view | sales.pos.create</w:t>
            </w:r>
          </w:p>
        </w:tc>
      </w:tr>
      <w:tr>
        <w:trPr>
          <w:cantSplit/>
        </w:trPr>
        <w:tc>
          <w:tcPr>
            <w:tcW w:type="dxa" w:w="927"/>
          </w:tcPr>
          <w:p>
            <w:pPr>
              <w:spacing w:after="0"/>
            </w:pPr>
            <w:r/>
            <w:r>
              <w:rPr>
                <w:sz w:val="13"/>
              </w:rPr>
              <w:t>POST</w:t>
            </w:r>
          </w:p>
        </w:tc>
        <w:tc>
          <w:tcPr>
            <w:tcW w:type="dxa" w:w="4276"/>
          </w:tcPr>
          <w:p>
            <w:pPr>
              <w:spacing w:after="0"/>
            </w:pPr>
            <w:r/>
            <w:r>
              <w:rPr>
                <w:sz w:val="13"/>
              </w:rPr>
              <w:t>/api/v1/inventory/stock-in</w:t>
            </w:r>
          </w:p>
        </w:tc>
        <w:tc>
          <w:tcPr>
            <w:tcW w:type="dxa" w:w="4561"/>
          </w:tcPr>
          <w:p>
            <w:pPr>
              <w:spacing w:after="0"/>
            </w:pPr>
            <w:r/>
            <w:r>
              <w:rPr>
                <w:sz w:val="13"/>
              </w:rPr>
              <w:t>Manual stock-in</w:t>
            </w:r>
          </w:p>
        </w:tc>
        <w:tc>
          <w:tcPr>
            <w:tcW w:type="dxa" w:w="855"/>
          </w:tcPr>
          <w:p>
            <w:pPr>
              <w:spacing w:after="0"/>
            </w:pPr>
            <w:r/>
            <w:r>
              <w:rPr>
                <w:sz w:val="13"/>
              </w:rPr>
              <w:t>bearer</w:t>
            </w:r>
          </w:p>
        </w:tc>
        <w:tc>
          <w:tcPr>
            <w:tcW w:type="dxa" w:w="3492"/>
          </w:tcPr>
          <w:p>
            <w:pPr>
              <w:spacing w:after="0"/>
            </w:pPr>
            <w:r/>
            <w:r>
              <w:rPr>
                <w:sz w:val="13"/>
              </w:rPr>
              <w:t>inventory.stock-in.create</w:t>
            </w:r>
          </w:p>
        </w:tc>
      </w:tr>
      <w:tr>
        <w:trPr>
          <w:cantSplit/>
        </w:trPr>
        <w:tc>
          <w:tcPr>
            <w:tcW w:type="dxa" w:w="927"/>
          </w:tcPr>
          <w:p>
            <w:pPr>
              <w:spacing w:after="0"/>
            </w:pPr>
            <w:r/>
            <w:r>
              <w:rPr>
                <w:sz w:val="13"/>
              </w:rPr>
              <w:t>POST</w:t>
            </w:r>
          </w:p>
        </w:tc>
        <w:tc>
          <w:tcPr>
            <w:tcW w:type="dxa" w:w="4276"/>
          </w:tcPr>
          <w:p>
            <w:pPr>
              <w:spacing w:after="0"/>
            </w:pPr>
            <w:r/>
            <w:r>
              <w:rPr>
                <w:sz w:val="13"/>
              </w:rPr>
              <w:t>/api/v1/inventory/stock-out</w:t>
            </w:r>
          </w:p>
        </w:tc>
        <w:tc>
          <w:tcPr>
            <w:tcW w:type="dxa" w:w="4561"/>
          </w:tcPr>
          <w:p>
            <w:pPr>
              <w:spacing w:after="0"/>
            </w:pPr>
            <w:r/>
            <w:r>
              <w:rPr>
                <w:sz w:val="13"/>
              </w:rPr>
              <w:t>Manual stock-out (checks availability)</w:t>
            </w:r>
          </w:p>
        </w:tc>
        <w:tc>
          <w:tcPr>
            <w:tcW w:type="dxa" w:w="855"/>
          </w:tcPr>
          <w:p>
            <w:pPr>
              <w:spacing w:after="0"/>
            </w:pPr>
            <w:r/>
            <w:r>
              <w:rPr>
                <w:sz w:val="13"/>
              </w:rPr>
              <w:t>bearer</w:t>
            </w:r>
          </w:p>
        </w:tc>
        <w:tc>
          <w:tcPr>
            <w:tcW w:type="dxa" w:w="3492"/>
          </w:tcPr>
          <w:p>
            <w:pPr>
              <w:spacing w:after="0"/>
            </w:pPr>
            <w:r/>
            <w:r>
              <w:rPr>
                <w:sz w:val="13"/>
              </w:rPr>
              <w:t>inventory.stock-out.create</w:t>
            </w:r>
          </w:p>
        </w:tc>
      </w:tr>
      <w:tr>
        <w:trPr>
          <w:cantSplit/>
        </w:trPr>
        <w:tc>
          <w:tcPr>
            <w:tcW w:type="dxa" w:w="927"/>
          </w:tcPr>
          <w:p>
            <w:pPr>
              <w:spacing w:after="0"/>
            </w:pPr>
            <w:r/>
            <w:r>
              <w:rPr>
                <w:sz w:val="13"/>
              </w:rPr>
              <w:t>GET</w:t>
            </w:r>
          </w:p>
        </w:tc>
        <w:tc>
          <w:tcPr>
            <w:tcW w:type="dxa" w:w="4276"/>
          </w:tcPr>
          <w:p>
            <w:pPr>
              <w:spacing w:after="0"/>
            </w:pPr>
            <w:r/>
            <w:r>
              <w:rPr>
                <w:sz w:val="13"/>
              </w:rPr>
              <w:t>/api/v1/inventory/transfers</w:t>
            </w:r>
          </w:p>
        </w:tc>
        <w:tc>
          <w:tcPr>
            <w:tcW w:type="dxa" w:w="4561"/>
          </w:tcPr>
          <w:p>
            <w:pPr>
              <w:spacing w:after="0"/>
            </w:pPr>
            <w:r/>
            <w:r>
              <w:rPr>
                <w:sz w:val="13"/>
              </w:rPr>
              <w:t>List stock transfers</w:t>
            </w:r>
          </w:p>
        </w:tc>
        <w:tc>
          <w:tcPr>
            <w:tcW w:type="dxa" w:w="855"/>
          </w:tcPr>
          <w:p>
            <w:pPr>
              <w:spacing w:after="0"/>
            </w:pPr>
            <w:r/>
            <w:r>
              <w:rPr>
                <w:sz w:val="13"/>
              </w:rPr>
              <w:t>bearer</w:t>
            </w:r>
          </w:p>
        </w:tc>
        <w:tc>
          <w:tcPr>
            <w:tcW w:type="dxa" w:w="3492"/>
          </w:tcPr>
          <w:p>
            <w:pPr>
              <w:spacing w:after="0"/>
            </w:pPr>
            <w:r/>
            <w:r>
              <w:rPr>
                <w:sz w:val="13"/>
              </w:rPr>
              <w:t>inventory.transfers.view</w:t>
            </w:r>
          </w:p>
        </w:tc>
      </w:tr>
      <w:tr>
        <w:trPr>
          <w:cantSplit/>
        </w:trPr>
        <w:tc>
          <w:tcPr>
            <w:tcW w:type="dxa" w:w="927"/>
          </w:tcPr>
          <w:p>
            <w:pPr>
              <w:spacing w:after="0"/>
            </w:pPr>
            <w:r/>
            <w:r>
              <w:rPr>
                <w:sz w:val="13"/>
              </w:rPr>
              <w:t>POST</w:t>
            </w:r>
          </w:p>
        </w:tc>
        <w:tc>
          <w:tcPr>
            <w:tcW w:type="dxa" w:w="4276"/>
          </w:tcPr>
          <w:p>
            <w:pPr>
              <w:spacing w:after="0"/>
            </w:pPr>
            <w:r/>
            <w:r>
              <w:rPr>
                <w:sz w:val="13"/>
              </w:rPr>
              <w:t>/api/v1/inventory/transfers</w:t>
            </w:r>
          </w:p>
        </w:tc>
        <w:tc>
          <w:tcPr>
            <w:tcW w:type="dxa" w:w="4561"/>
          </w:tcPr>
          <w:p>
            <w:pPr>
              <w:spacing w:after="0"/>
            </w:pPr>
            <w:r/>
            <w:r>
              <w:rPr>
                <w:sz w:val="13"/>
              </w:rPr>
              <w:t>Create a stock transfer (draft only)</w:t>
            </w:r>
          </w:p>
        </w:tc>
        <w:tc>
          <w:tcPr>
            <w:tcW w:type="dxa" w:w="855"/>
          </w:tcPr>
          <w:p>
            <w:pPr>
              <w:spacing w:after="0"/>
            </w:pPr>
            <w:r/>
            <w:r>
              <w:rPr>
                <w:sz w:val="13"/>
              </w:rPr>
              <w:t>bearer</w:t>
            </w:r>
          </w:p>
        </w:tc>
        <w:tc>
          <w:tcPr>
            <w:tcW w:type="dxa" w:w="3492"/>
          </w:tcPr>
          <w:p>
            <w:pPr>
              <w:spacing w:after="0"/>
            </w:pPr>
            <w:r/>
            <w:r>
              <w:rPr>
                <w:sz w:val="13"/>
              </w:rPr>
              <w:t>inventory.transfers.create</w:t>
            </w:r>
          </w:p>
        </w:tc>
      </w:tr>
      <w:tr>
        <w:trPr>
          <w:cantSplit/>
        </w:trPr>
        <w:tc>
          <w:tcPr>
            <w:tcW w:type="dxa" w:w="927"/>
          </w:tcPr>
          <w:p>
            <w:pPr>
              <w:spacing w:after="0"/>
            </w:pPr>
            <w:r/>
            <w:r>
              <w:rPr>
                <w:sz w:val="13"/>
              </w:rPr>
              <w:t>GET</w:t>
            </w:r>
          </w:p>
        </w:tc>
        <w:tc>
          <w:tcPr>
            <w:tcW w:type="dxa" w:w="4276"/>
          </w:tcPr>
          <w:p>
            <w:pPr>
              <w:spacing w:after="0"/>
            </w:pPr>
            <w:r/>
            <w:r>
              <w:rPr>
                <w:sz w:val="13"/>
              </w:rPr>
              <w:t>/api/v1/inventory/transfers/{id}</w:t>
            </w:r>
          </w:p>
        </w:tc>
        <w:tc>
          <w:tcPr>
            <w:tcW w:type="dxa" w:w="4561"/>
          </w:tcPr>
          <w:p>
            <w:pPr>
              <w:spacing w:after="0"/>
            </w:pPr>
            <w:r/>
            <w:r>
              <w:rPr>
                <w:sz w:val="13"/>
              </w:rPr>
              <w:t>Get a stock transfer</w:t>
            </w:r>
          </w:p>
        </w:tc>
        <w:tc>
          <w:tcPr>
            <w:tcW w:type="dxa" w:w="855"/>
          </w:tcPr>
          <w:p>
            <w:pPr>
              <w:spacing w:after="0"/>
            </w:pPr>
            <w:r/>
            <w:r>
              <w:rPr>
                <w:sz w:val="13"/>
              </w:rPr>
              <w:t>bearer</w:t>
            </w:r>
          </w:p>
        </w:tc>
        <w:tc>
          <w:tcPr>
            <w:tcW w:type="dxa" w:w="3492"/>
          </w:tcPr>
          <w:p>
            <w:pPr>
              <w:spacing w:after="0"/>
            </w:pPr>
            <w:r/>
            <w:r>
              <w:rPr>
                <w:sz w:val="13"/>
              </w:rPr>
              <w:t>inventory.transfers.view</w:t>
            </w:r>
          </w:p>
        </w:tc>
      </w:tr>
      <w:tr>
        <w:trPr>
          <w:cantSplit/>
        </w:trPr>
        <w:tc>
          <w:tcPr>
            <w:tcW w:type="dxa" w:w="927"/>
          </w:tcPr>
          <w:p>
            <w:pPr>
              <w:spacing w:after="0"/>
            </w:pPr>
            <w:r/>
            <w:r>
              <w:rPr>
                <w:sz w:val="13"/>
              </w:rPr>
              <w:t>POST</w:t>
            </w:r>
          </w:p>
        </w:tc>
        <w:tc>
          <w:tcPr>
            <w:tcW w:type="dxa" w:w="4276"/>
          </w:tcPr>
          <w:p>
            <w:pPr>
              <w:spacing w:after="0"/>
            </w:pPr>
            <w:r/>
            <w:r>
              <w:rPr>
                <w:sz w:val="13"/>
              </w:rPr>
              <w:t>/api/v1/inventory/transfers/{id}/approve</w:t>
            </w:r>
          </w:p>
        </w:tc>
        <w:tc>
          <w:tcPr>
            <w:tcW w:type="dxa" w:w="4561"/>
          </w:tcPr>
          <w:p>
            <w:pPr>
              <w:spacing w:after="0"/>
            </w:pPr>
            <w:r/>
            <w:r>
              <w:rPr>
                <w:sz w:val="13"/>
              </w:rPr>
              <w:t>Approve a stock transfer and execute stock movements</w:t>
            </w:r>
          </w:p>
        </w:tc>
        <w:tc>
          <w:tcPr>
            <w:tcW w:type="dxa" w:w="855"/>
          </w:tcPr>
          <w:p>
            <w:pPr>
              <w:spacing w:after="0"/>
            </w:pPr>
            <w:r/>
            <w:r>
              <w:rPr>
                <w:sz w:val="13"/>
              </w:rPr>
              <w:t>bearer</w:t>
            </w:r>
          </w:p>
        </w:tc>
        <w:tc>
          <w:tcPr>
            <w:tcW w:type="dxa" w:w="3492"/>
          </w:tcPr>
          <w:p>
            <w:pPr>
              <w:spacing w:after="0"/>
            </w:pPr>
            <w:r/>
            <w:r>
              <w:rPr>
                <w:sz w:val="13"/>
              </w:rPr>
              <w:t>inventory.transfers.create</w:t>
            </w:r>
          </w:p>
        </w:tc>
      </w:tr>
    </w:tbl>
    <w:p>
      <w:bookmarkStart w:id="1244" w:name="_Toc1244"/>
      <w:pPr>
        <w:pStyle w:val="Heading3"/>
      </w:pPr>
      <w:r>
        <w:t>invoices — 15 operations</w:t>
      </w:r>
      <w:bookmarkEnd w:id="1244"/>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/api/v1/invoices</w:t>
            </w:r>
          </w:p>
        </w:tc>
        <w:tc>
          <w:tcPr>
            <w:tcW w:type="dxa" w:w="4561"/>
          </w:tcPr>
          <w:p>
            <w:pPr>
              <w:spacing w:after="0"/>
            </w:pPr>
            <w:r/>
            <w:r>
              <w:rPr>
                <w:sz w:val="13"/>
              </w:rPr>
              <w:t>List invoices</w:t>
            </w:r>
          </w:p>
        </w:tc>
        <w:tc>
          <w:tcPr>
            <w:tcW w:type="dxa" w:w="855"/>
          </w:tcPr>
          <w:p>
            <w:pPr>
              <w:spacing w:after="0"/>
            </w:pPr>
            <w:r/>
            <w:r>
              <w:rPr>
                <w:sz w:val="13"/>
              </w:rPr>
              <w:t>bearer</w:t>
            </w:r>
          </w:p>
        </w:tc>
        <w:tc>
          <w:tcPr>
            <w:tcW w:type="dxa" w:w="3492"/>
          </w:tcPr>
          <w:p>
            <w:pPr>
              <w:spacing w:after="0"/>
            </w:pPr>
            <w:r/>
            <w:r>
              <w:rPr>
                <w:sz w:val="13"/>
              </w:rPr>
              <w:t>fakturisasi.invoices.view</w:t>
            </w:r>
          </w:p>
        </w:tc>
      </w:tr>
      <w:tr>
        <w:trPr>
          <w:cantSplit/>
        </w:trPr>
        <w:tc>
          <w:tcPr>
            <w:tcW w:type="dxa" w:w="927"/>
          </w:tcPr>
          <w:p>
            <w:pPr>
              <w:spacing w:after="0"/>
            </w:pPr>
            <w:r/>
            <w:r>
              <w:rPr>
                <w:sz w:val="13"/>
              </w:rPr>
              <w:t>POST</w:t>
            </w:r>
          </w:p>
        </w:tc>
        <w:tc>
          <w:tcPr>
            <w:tcW w:type="dxa" w:w="4276"/>
          </w:tcPr>
          <w:p>
            <w:pPr>
              <w:spacing w:after="0"/>
            </w:pPr>
            <w:r/>
            <w:r>
              <w:rPr>
                <w:sz w:val="13"/>
              </w:rPr>
              <w:t>/api/v1/invoices</w:t>
            </w:r>
          </w:p>
        </w:tc>
        <w:tc>
          <w:tcPr>
            <w:tcW w:type="dxa" w:w="4561"/>
          </w:tcPr>
          <w:p>
            <w:pPr>
              <w:spacing w:after="0"/>
            </w:pPr>
            <w:r/>
            <w:r>
              <w:rPr>
                <w:sz w:val="13"/>
              </w:rPr>
              <w:t>Create an invoice from a confirmed/delivered sales order</w:t>
            </w:r>
          </w:p>
        </w:tc>
        <w:tc>
          <w:tcPr>
            <w:tcW w:type="dxa" w:w="855"/>
          </w:tcPr>
          <w:p>
            <w:pPr>
              <w:spacing w:after="0"/>
            </w:pPr>
            <w:r/>
            <w:r>
              <w:rPr>
                <w:sz w:val="13"/>
              </w:rPr>
              <w:t>bearer</w:t>
            </w:r>
          </w:p>
        </w:tc>
        <w:tc>
          <w:tcPr>
            <w:tcW w:type="dxa" w:w="3492"/>
          </w:tcPr>
          <w:p>
            <w:pPr>
              <w:spacing w:after="0"/>
            </w:pPr>
            <w:r/>
            <w:r>
              <w:rPr>
                <w:sz w:val="13"/>
              </w:rPr>
              <w:t>fakturisasi.invoices.create</w:t>
            </w:r>
          </w:p>
        </w:tc>
      </w:tr>
      <w:tr>
        <w:trPr>
          <w:cantSplit/>
        </w:trPr>
        <w:tc>
          <w:tcPr>
            <w:tcW w:type="dxa" w:w="927"/>
          </w:tcPr>
          <w:p>
            <w:pPr>
              <w:spacing w:after="0"/>
            </w:pPr>
            <w:r/>
            <w:r>
              <w:rPr>
                <w:sz w:val="13"/>
              </w:rPr>
              <w:t>GET</w:t>
            </w:r>
          </w:p>
        </w:tc>
        <w:tc>
          <w:tcPr>
            <w:tcW w:type="dxa" w:w="4276"/>
          </w:tcPr>
          <w:p>
            <w:pPr>
              <w:spacing w:after="0"/>
            </w:pPr>
            <w:r/>
            <w:r>
              <w:rPr>
                <w:sz w:val="13"/>
              </w:rPr>
              <w:t>/api/v1/invoices/me</w:t>
            </w:r>
          </w:p>
        </w:tc>
        <w:tc>
          <w:tcPr>
            <w:tcW w:type="dxa" w:w="4561"/>
          </w:tcPr>
          <w:p>
            <w:pPr>
              <w:spacing w:after="0"/>
            </w:pPr>
            <w:r/>
            <w:r>
              <w:rPr>
                <w:sz w:val="13"/>
              </w:rPr>
              <w:t>List the authenticated buyer's own invoices (B2B surface)</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/api/v1/invoices/me/{id}/print</w:t>
            </w:r>
          </w:p>
        </w:tc>
        <w:tc>
          <w:tcPr>
            <w:tcW w:type="dxa" w:w="4561"/>
          </w:tcPr>
          <w:p>
            <w:pPr>
              <w:spacing w:after="0"/>
            </w:pPr>
            <w:r/>
            <w:r>
              <w:rPr>
                <w:sz w:val="13"/>
              </w:rPr>
              <w:t>Print owned invoice document</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/api/v1/invoices/receivables</w:t>
            </w:r>
          </w:p>
        </w:tc>
        <w:tc>
          <w:tcPr>
            <w:tcW w:type="dxa" w:w="4561"/>
          </w:tcPr>
          <w:p>
            <w:pPr>
              <w:spacing w:after="0"/>
            </w:pPr>
            <w:r/>
            <w:r>
              <w:rPr>
                <w:sz w:val="13"/>
              </w:rPr>
              <w:t>List receivables (unpaid/partial/overdue invoices)</w:t>
            </w:r>
          </w:p>
        </w:tc>
        <w:tc>
          <w:tcPr>
            <w:tcW w:type="dxa" w:w="855"/>
          </w:tcPr>
          <w:p>
            <w:pPr>
              <w:spacing w:after="0"/>
            </w:pPr>
            <w:r/>
            <w:r>
              <w:rPr>
                <w:sz w:val="13"/>
              </w:rPr>
              <w:t>bearer</w:t>
            </w:r>
          </w:p>
        </w:tc>
        <w:tc>
          <w:tcPr>
            <w:tcW w:type="dxa" w:w="3492"/>
          </w:tcPr>
          <w:p>
            <w:pPr>
              <w:spacing w:after="0"/>
            </w:pPr>
            <w:r/>
            <w:r>
              <w:rPr>
                <w:sz w:val="13"/>
              </w:rPr>
              <w:t>fakturisasi.invoices.view</w:t>
            </w:r>
          </w:p>
        </w:tc>
      </w:tr>
      <w:tr>
        <w:trPr>
          <w:cantSplit/>
        </w:trPr>
        <w:tc>
          <w:tcPr>
            <w:tcW w:type="dxa" w:w="927"/>
          </w:tcPr>
          <w:p>
            <w:pPr>
              <w:spacing w:after="0"/>
            </w:pPr>
            <w:r/>
            <w:r>
              <w:rPr>
                <w:sz w:val="13"/>
              </w:rPr>
              <w:t>GET</w:t>
            </w:r>
          </w:p>
        </w:tc>
        <w:tc>
          <w:tcPr>
            <w:tcW w:type="dxa" w:w="4276"/>
          </w:tcPr>
          <w:p>
            <w:pPr>
              <w:spacing w:after="0"/>
            </w:pPr>
            <w:r/>
            <w:r>
              <w:rPr>
                <w:sz w:val="13"/>
              </w:rPr>
              <w:t>/api/v1/invoices/receivables/me</w:t>
            </w:r>
          </w:p>
        </w:tc>
        <w:tc>
          <w:tcPr>
            <w:tcW w:type="dxa" w:w="4561"/>
          </w:tcPr>
          <w:p>
            <w:pPr>
              <w:spacing w:after="0"/>
            </w:pPr>
            <w:r/>
            <w:r>
              <w:rPr>
                <w:sz w:val="13"/>
              </w:rPr>
              <w:t>List the authenticated buyer's own receivables (B2B surface)</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DELETE</w:t>
            </w:r>
          </w:p>
        </w:tc>
        <w:tc>
          <w:tcPr>
            <w:tcW w:type="dxa" w:w="4276"/>
          </w:tcPr>
          <w:p>
            <w:pPr>
              <w:spacing w:after="0"/>
            </w:pPr>
            <w:r/>
            <w:r>
              <w:rPr>
                <w:sz w:val="13"/>
              </w:rPr>
              <w:t>/api/v1/invoices/{id}</w:t>
            </w:r>
          </w:p>
        </w:tc>
        <w:tc>
          <w:tcPr>
            <w:tcW w:type="dxa" w:w="4561"/>
          </w:tcPr>
          <w:p>
            <w:pPr>
              <w:spacing w:after="0"/>
            </w:pPr>
            <w:r/>
            <w:r>
              <w:rPr>
                <w:sz w:val="13"/>
              </w:rPr>
              <w:t>Delete an invoice</w:t>
            </w:r>
          </w:p>
        </w:tc>
        <w:tc>
          <w:tcPr>
            <w:tcW w:type="dxa" w:w="855"/>
          </w:tcPr>
          <w:p>
            <w:pPr>
              <w:spacing w:after="0"/>
            </w:pPr>
            <w:r/>
            <w:r>
              <w:rPr>
                <w:sz w:val="13"/>
              </w:rPr>
              <w:t>bearer</w:t>
            </w:r>
          </w:p>
        </w:tc>
        <w:tc>
          <w:tcPr>
            <w:tcW w:type="dxa" w:w="3492"/>
          </w:tcPr>
          <w:p>
            <w:pPr>
              <w:spacing w:after="0"/>
            </w:pPr>
            <w:r/>
            <w:r>
              <w:rPr>
                <w:sz w:val="13"/>
              </w:rPr>
              <w:t>fakturisasi.invoices.delete</w:t>
            </w:r>
          </w:p>
        </w:tc>
      </w:tr>
      <w:tr>
        <w:trPr>
          <w:cantSplit/>
        </w:trPr>
        <w:tc>
          <w:tcPr>
            <w:tcW w:type="dxa" w:w="927"/>
          </w:tcPr>
          <w:p>
            <w:pPr>
              <w:spacing w:after="0"/>
            </w:pPr>
            <w:r/>
            <w:r>
              <w:rPr>
                <w:sz w:val="13"/>
              </w:rPr>
              <w:t>GET</w:t>
            </w:r>
          </w:p>
        </w:tc>
        <w:tc>
          <w:tcPr>
            <w:tcW w:type="dxa" w:w="4276"/>
          </w:tcPr>
          <w:p>
            <w:pPr>
              <w:spacing w:after="0"/>
            </w:pPr>
            <w:r/>
            <w:r>
              <w:rPr>
                <w:sz w:val="13"/>
              </w:rPr>
              <w:t>/api/v1/invoices/{id}</w:t>
            </w:r>
          </w:p>
        </w:tc>
        <w:tc>
          <w:tcPr>
            <w:tcW w:type="dxa" w:w="4561"/>
          </w:tcPr>
          <w:p>
            <w:pPr>
              <w:spacing w:after="0"/>
            </w:pPr>
            <w:r/>
            <w:r>
              <w:rPr>
                <w:sz w:val="13"/>
              </w:rPr>
              <w:t>Get an invoice</w:t>
            </w:r>
          </w:p>
        </w:tc>
        <w:tc>
          <w:tcPr>
            <w:tcW w:type="dxa" w:w="855"/>
          </w:tcPr>
          <w:p>
            <w:pPr>
              <w:spacing w:after="0"/>
            </w:pPr>
            <w:r/>
            <w:r>
              <w:rPr>
                <w:sz w:val="13"/>
              </w:rPr>
              <w:t>bearer</w:t>
            </w:r>
          </w:p>
        </w:tc>
        <w:tc>
          <w:tcPr>
            <w:tcW w:type="dxa" w:w="3492"/>
          </w:tcPr>
          <w:p>
            <w:pPr>
              <w:spacing w:after="0"/>
            </w:pPr>
            <w:r/>
            <w:r>
              <w:rPr>
                <w:sz w:val="13"/>
              </w:rPr>
              <w:t>fakturisasi.invoices.view</w:t>
            </w:r>
          </w:p>
        </w:tc>
      </w:tr>
      <w:tr>
        <w:trPr>
          <w:cantSplit/>
        </w:trPr>
        <w:tc>
          <w:tcPr>
            <w:tcW w:type="dxa" w:w="927"/>
          </w:tcPr>
          <w:p>
            <w:pPr>
              <w:spacing w:after="0"/>
            </w:pPr>
            <w:r/>
            <w:r>
              <w:rPr>
                <w:sz w:val="13"/>
              </w:rPr>
              <w:t>POST</w:t>
            </w:r>
          </w:p>
        </w:tc>
        <w:tc>
          <w:tcPr>
            <w:tcW w:type="dxa" w:w="4276"/>
          </w:tcPr>
          <w:p>
            <w:pPr>
              <w:spacing w:after="0"/>
            </w:pPr>
            <w:r/>
            <w:r>
              <w:rPr>
                <w:sz w:val="13"/>
              </w:rPr>
              <w:t>/api/v1/invoices/{id}/pay</w:t>
            </w:r>
          </w:p>
        </w:tc>
        <w:tc>
          <w:tcPr>
            <w:tcW w:type="dxa" w:w="4561"/>
          </w:tcPr>
          <w:p>
            <w:pPr>
              <w:spacing w:after="0"/>
            </w:pPr>
            <w:r/>
            <w:r>
              <w:rPr>
                <w:sz w:val="13"/>
              </w:rPr>
              <w:t>Pay an invoice</w:t>
            </w:r>
          </w:p>
        </w:tc>
        <w:tc>
          <w:tcPr>
            <w:tcW w:type="dxa" w:w="855"/>
          </w:tcPr>
          <w:p>
            <w:pPr>
              <w:spacing w:after="0"/>
            </w:pPr>
            <w:r/>
            <w:r>
              <w:rPr>
                <w:sz w:val="13"/>
              </w:rPr>
              <w:t>bearer</w:t>
            </w:r>
          </w:p>
        </w:tc>
        <w:tc>
          <w:tcPr>
            <w:tcW w:type="dxa" w:w="3492"/>
          </w:tcPr>
          <w:p>
            <w:pPr>
              <w:spacing w:after="0"/>
            </w:pPr>
            <w:r/>
            <w:r>
              <w:rPr>
                <w:sz w:val="13"/>
              </w:rPr>
              <w:t>fakturisasi.invoices.pay</w:t>
            </w:r>
          </w:p>
        </w:tc>
      </w:tr>
      <w:tr>
        <w:trPr>
          <w:cantSplit/>
        </w:trPr>
        <w:tc>
          <w:tcPr>
            <w:tcW w:type="dxa" w:w="927"/>
          </w:tcPr>
          <w:p>
            <w:pPr>
              <w:spacing w:after="0"/>
            </w:pPr>
            <w:r/>
            <w:r>
              <w:rPr>
                <w:sz w:val="13"/>
              </w:rPr>
              <w:t>GET</w:t>
            </w:r>
          </w:p>
        </w:tc>
        <w:tc>
          <w:tcPr>
            <w:tcW w:type="dxa" w:w="4276"/>
          </w:tcPr>
          <w:p>
            <w:pPr>
              <w:spacing w:after="0"/>
            </w:pPr>
            <w:r/>
            <w:r>
              <w:rPr>
                <w:sz w:val="13"/>
              </w:rPr>
              <w:t>/api/v1/invoices/{id}/print</w:t>
            </w:r>
          </w:p>
        </w:tc>
        <w:tc>
          <w:tcPr>
            <w:tcW w:type="dxa" w:w="4561"/>
          </w:tcPr>
          <w:p>
            <w:pPr>
              <w:spacing w:after="0"/>
            </w:pPr>
            <w:r/>
            <w:r>
              <w:rPr>
                <w:sz w:val="13"/>
              </w:rPr>
              <w:t>Print invoice document</w:t>
            </w:r>
          </w:p>
        </w:tc>
        <w:tc>
          <w:tcPr>
            <w:tcW w:type="dxa" w:w="855"/>
          </w:tcPr>
          <w:p>
            <w:pPr>
              <w:spacing w:after="0"/>
            </w:pPr>
            <w:r/>
            <w:r>
              <w:rPr>
                <w:sz w:val="13"/>
              </w:rPr>
              <w:t>bearer</w:t>
            </w:r>
          </w:p>
        </w:tc>
        <w:tc>
          <w:tcPr>
            <w:tcW w:type="dxa" w:w="3492"/>
          </w:tcPr>
          <w:p>
            <w:pPr>
              <w:spacing w:after="0"/>
            </w:pPr>
            <w:r/>
            <w:r>
              <w:rPr>
                <w:sz w:val="13"/>
              </w:rPr>
              <w:t>fakturisasi.invoices.view</w:t>
            </w:r>
          </w:p>
        </w:tc>
      </w:tr>
      <w:tr>
        <w:trPr>
          <w:cantSplit/>
        </w:trPr>
        <w:tc>
          <w:tcPr>
            <w:tcW w:type="dxa" w:w="927"/>
          </w:tcPr>
          <w:p>
            <w:pPr>
              <w:spacing w:after="0"/>
            </w:pPr>
            <w:r/>
            <w:r>
              <w:rPr>
                <w:sz w:val="13"/>
              </w:rPr>
              <w:t>GET</w:t>
            </w:r>
          </w:p>
        </w:tc>
        <w:tc>
          <w:tcPr>
            <w:tcW w:type="dxa" w:w="4276"/>
          </w:tcPr>
          <w:p>
            <w:pPr>
              <w:spacing w:after="0"/>
            </w:pPr>
            <w:r/>
            <w:r>
              <w:rPr>
                <w:sz w:val="13"/>
              </w:rPr>
              <w:t>/api/v1/payments</w:t>
            </w:r>
          </w:p>
        </w:tc>
        <w:tc>
          <w:tcPr>
            <w:tcW w:type="dxa" w:w="4561"/>
          </w:tcPr>
          <w:p>
            <w:pPr>
              <w:spacing w:after="0"/>
            </w:pPr>
            <w:r/>
            <w:r>
              <w:rPr>
                <w:sz w:val="13"/>
              </w:rPr>
              <w:t>List payments</w:t>
            </w:r>
          </w:p>
        </w:tc>
        <w:tc>
          <w:tcPr>
            <w:tcW w:type="dxa" w:w="855"/>
          </w:tcPr>
          <w:p>
            <w:pPr>
              <w:spacing w:after="0"/>
            </w:pPr>
            <w:r/>
            <w:r>
              <w:rPr>
                <w:sz w:val="13"/>
              </w:rPr>
              <w:t>bearer</w:t>
            </w:r>
          </w:p>
        </w:tc>
        <w:tc>
          <w:tcPr>
            <w:tcW w:type="dxa" w:w="3492"/>
          </w:tcPr>
          <w:p>
            <w:pPr>
              <w:spacing w:after="0"/>
            </w:pPr>
            <w:r/>
            <w:r>
              <w:rPr>
                <w:sz w:val="13"/>
              </w:rPr>
              <w:t>fakturisasi.payments.view</w:t>
            </w:r>
          </w:p>
        </w:tc>
      </w:tr>
      <w:tr>
        <w:trPr>
          <w:cantSplit/>
        </w:trPr>
        <w:tc>
          <w:tcPr>
            <w:tcW w:type="dxa" w:w="927"/>
          </w:tcPr>
          <w:p>
            <w:pPr>
              <w:spacing w:after="0"/>
            </w:pPr>
            <w:r/>
            <w:r>
              <w:rPr>
                <w:sz w:val="13"/>
              </w:rPr>
              <w:t>GET</w:t>
            </w:r>
          </w:p>
        </w:tc>
        <w:tc>
          <w:tcPr>
            <w:tcW w:type="dxa" w:w="4276"/>
          </w:tcPr>
          <w:p>
            <w:pPr>
              <w:spacing w:after="0"/>
            </w:pPr>
            <w:r/>
            <w:r>
              <w:rPr>
                <w:sz w:val="13"/>
              </w:rPr>
              <w:t>/api/v1/payments/me</w:t>
            </w:r>
          </w:p>
        </w:tc>
        <w:tc>
          <w:tcPr>
            <w:tcW w:type="dxa" w:w="4561"/>
          </w:tcPr>
          <w:p>
            <w:pPr>
              <w:spacing w:after="0"/>
            </w:pPr>
            <w:r/>
            <w:r>
              <w:rPr>
                <w:sz w:val="13"/>
              </w:rPr>
              <w:t>List the authenticated buyer's own payments (B2B surface)</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/api/v1/payments/{id}/partial</w:t>
            </w:r>
          </w:p>
        </w:tc>
        <w:tc>
          <w:tcPr>
            <w:tcW w:type="dxa" w:w="4561"/>
          </w:tcPr>
          <w:p>
            <w:pPr>
              <w:spacing w:after="0"/>
            </w:pPr>
            <w:r/>
            <w:r>
              <w:rPr>
                <w:sz w:val="13"/>
              </w:rPr>
              <w:t>Record an additional (partial) payment against the same payable</w:t>
            </w:r>
          </w:p>
        </w:tc>
        <w:tc>
          <w:tcPr>
            <w:tcW w:type="dxa" w:w="855"/>
          </w:tcPr>
          <w:p>
            <w:pPr>
              <w:spacing w:after="0"/>
            </w:pPr>
            <w:r/>
            <w:r>
              <w:rPr>
                <w:sz w:val="13"/>
              </w:rPr>
              <w:t>bearer</w:t>
            </w:r>
          </w:p>
        </w:tc>
        <w:tc>
          <w:tcPr>
            <w:tcW w:type="dxa" w:w="3492"/>
          </w:tcPr>
          <w:p>
            <w:pPr>
              <w:spacing w:after="0"/>
            </w:pPr>
            <w:r/>
            <w:r>
              <w:rPr>
                <w:sz w:val="13"/>
              </w:rPr>
              <w:t>fakturisasi.invoices.pay</w:t>
            </w:r>
          </w:p>
        </w:tc>
      </w:tr>
      <w:tr>
        <w:trPr>
          <w:cantSplit/>
        </w:trPr>
        <w:tc>
          <w:tcPr>
            <w:tcW w:type="dxa" w:w="927"/>
          </w:tcPr>
          <w:p>
            <w:pPr>
              <w:spacing w:after="0"/>
            </w:pPr>
            <w:r/>
            <w:r>
              <w:rPr>
                <w:sz w:val="13"/>
              </w:rPr>
              <w:t>POST</w:t>
            </w:r>
          </w:p>
        </w:tc>
        <w:tc>
          <w:tcPr>
            <w:tcW w:type="dxa" w:w="4276"/>
          </w:tcPr>
          <w:p>
            <w:pPr>
              <w:spacing w:after="0"/>
            </w:pPr>
            <w:r/>
            <w:r>
              <w:rPr>
                <w:sz w:val="13"/>
              </w:rPr>
              <w:t>/api/v1/payments/{id}/proof</w:t>
            </w:r>
          </w:p>
        </w:tc>
        <w:tc>
          <w:tcPr>
            <w:tcW w:type="dxa" w:w="4561"/>
          </w:tcPr>
          <w:p>
            <w:pPr>
              <w:spacing w:after="0"/>
            </w:pPr>
            <w:r/>
            <w:r>
              <w:rPr>
                <w:sz w:val="13"/>
              </w:rPr>
              <w:t>Upload a payment proof image (multipart/form-data)</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/api/v1/payments/{id}/verify</w:t>
            </w:r>
          </w:p>
        </w:tc>
        <w:tc>
          <w:tcPr>
            <w:tcW w:type="dxa" w:w="4561"/>
          </w:tcPr>
          <w:p>
            <w:pPr>
              <w:spacing w:after="0"/>
            </w:pPr>
            <w:r/>
            <w:r>
              <w:rPr>
                <w:sz w:val="13"/>
              </w:rPr>
              <w:t>Verify (approve/reject) a payment</w:t>
            </w:r>
          </w:p>
        </w:tc>
        <w:tc>
          <w:tcPr>
            <w:tcW w:type="dxa" w:w="855"/>
          </w:tcPr>
          <w:p>
            <w:pPr>
              <w:spacing w:after="0"/>
            </w:pPr>
            <w:r/>
            <w:r>
              <w:rPr>
                <w:sz w:val="13"/>
              </w:rPr>
              <w:t>bearer</w:t>
            </w:r>
          </w:p>
        </w:tc>
        <w:tc>
          <w:tcPr>
            <w:tcW w:type="dxa" w:w="3492"/>
          </w:tcPr>
          <w:p>
            <w:pPr>
              <w:spacing w:after="0"/>
            </w:pPr>
            <w:r/>
            <w:r>
              <w:rPr>
                <w:sz w:val="13"/>
              </w:rPr>
              <w:t>fakturisasi.payments.verify</w:t>
            </w:r>
          </w:p>
        </w:tc>
      </w:tr>
    </w:tbl>
    <w:p>
      <w:bookmarkStart w:id="1245" w:name="_Toc1245"/>
      <w:pPr>
        <w:pStyle w:val="Heading3"/>
      </w:pPr>
      <w:r>
        <w:t>memberships — 16 operations</w:t>
      </w:r>
      <w:bookmarkEnd w:id="1245"/>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/api/v1/members</w:t>
            </w:r>
          </w:p>
        </w:tc>
        <w:tc>
          <w:tcPr>
            <w:tcW w:type="dxa" w:w="4561"/>
          </w:tcPr>
          <w:p>
            <w:pPr>
              <w:spacing w:after="0"/>
            </w:pPr>
            <w:r/>
            <w:r>
              <w:rPr>
                <w:sz w:val="13"/>
              </w:rPr>
              <w:t>List memberships (stub)</w:t>
            </w:r>
          </w:p>
        </w:tc>
        <w:tc>
          <w:tcPr>
            <w:tcW w:type="dxa" w:w="855"/>
          </w:tcPr>
          <w:p>
            <w:pPr>
              <w:spacing w:after="0"/>
            </w:pPr>
            <w:r/>
            <w:r>
              <w:rPr>
                <w:sz w:val="13"/>
              </w:rPr>
              <w:t>bearer</w:t>
            </w:r>
          </w:p>
        </w:tc>
        <w:tc>
          <w:tcPr>
            <w:tcW w:type="dxa" w:w="3492"/>
          </w:tcPr>
          <w:p>
            <w:pPr>
              <w:spacing w:after="0"/>
            </w:pPr>
            <w:r/>
            <w:r>
              <w:rPr>
                <w:sz w:val="13"/>
              </w:rPr>
              <w:t>masterdata.memberships.lookup</w:t>
            </w:r>
          </w:p>
        </w:tc>
      </w:tr>
      <w:tr>
        <w:trPr>
          <w:cantSplit/>
        </w:trPr>
        <w:tc>
          <w:tcPr>
            <w:tcW w:type="dxa" w:w="927"/>
          </w:tcPr>
          <w:p>
            <w:pPr>
              <w:spacing w:after="0"/>
            </w:pPr>
            <w:r/>
            <w:r>
              <w:rPr>
                <w:sz w:val="13"/>
              </w:rPr>
              <w:t>GET</w:t>
            </w:r>
          </w:p>
        </w:tc>
        <w:tc>
          <w:tcPr>
            <w:tcW w:type="dxa" w:w="4276"/>
          </w:tcPr>
          <w:p>
            <w:pPr>
              <w:spacing w:after="0"/>
            </w:pPr>
            <w:r/>
            <w:r>
              <w:rPr>
                <w:sz w:val="13"/>
              </w:rPr>
              <w:t>/api/v1/members/{id}</w:t>
            </w:r>
          </w:p>
        </w:tc>
        <w:tc>
          <w:tcPr>
            <w:tcW w:type="dxa" w:w="4561"/>
          </w:tcPr>
          <w:p>
            <w:pPr>
              <w:spacing w:after="0"/>
            </w:pPr>
            <w:r/>
            <w:r>
              <w:rPr>
                <w:sz w:val="13"/>
              </w:rPr>
              <w:t>Get member (stub)</w:t>
            </w:r>
          </w:p>
        </w:tc>
        <w:tc>
          <w:tcPr>
            <w:tcW w:type="dxa" w:w="855"/>
          </w:tcPr>
          <w:p>
            <w:pPr>
              <w:spacing w:after="0"/>
            </w:pPr>
            <w:r/>
            <w:r>
              <w:rPr>
                <w:sz w:val="13"/>
              </w:rPr>
              <w:t>bearer</w:t>
            </w:r>
          </w:p>
        </w:tc>
        <w:tc>
          <w:tcPr>
            <w:tcW w:type="dxa" w:w="3492"/>
          </w:tcPr>
          <w:p>
            <w:pPr>
              <w:spacing w:after="0"/>
            </w:pPr>
            <w:r/>
            <w:r>
              <w:rPr>
                <w:sz w:val="13"/>
              </w:rPr>
              <w:t>masterdata.memberships.lookup</w:t>
            </w:r>
          </w:p>
        </w:tc>
      </w:tr>
      <w:tr>
        <w:trPr>
          <w:cantSplit/>
        </w:trPr>
        <w:tc>
          <w:tcPr>
            <w:tcW w:type="dxa" w:w="927"/>
          </w:tcPr>
          <w:p>
            <w:pPr>
              <w:spacing w:after="0"/>
            </w:pPr>
            <w:r/>
            <w:r>
              <w:rPr>
                <w:sz w:val="13"/>
              </w:rPr>
              <w:t>GET</w:t>
            </w:r>
          </w:p>
        </w:tc>
        <w:tc>
          <w:tcPr>
            <w:tcW w:type="dxa" w:w="4276"/>
          </w:tcPr>
          <w:p>
            <w:pPr>
              <w:spacing w:after="0"/>
            </w:pPr>
            <w:r/>
            <w:r>
              <w:rPr>
                <w:sz w:val="13"/>
              </w:rPr>
              <w:t>/api/v1/memberships</w:t>
            </w:r>
          </w:p>
        </w:tc>
        <w:tc>
          <w:tcPr>
            <w:tcW w:type="dxa" w:w="4561"/>
          </w:tcPr>
          <w:p>
            <w:pPr>
              <w:spacing w:after="0"/>
            </w:pPr>
            <w:r/>
            <w:r>
              <w:rPr>
                <w:sz w:val="13"/>
              </w:rPr>
              <w:t>List memberships</w:t>
            </w:r>
          </w:p>
        </w:tc>
        <w:tc>
          <w:tcPr>
            <w:tcW w:type="dxa" w:w="855"/>
          </w:tcPr>
          <w:p>
            <w:pPr>
              <w:spacing w:after="0"/>
            </w:pPr>
            <w:r/>
            <w:r>
              <w:rPr>
                <w:sz w:val="13"/>
              </w:rPr>
              <w:t>bearer</w:t>
            </w:r>
          </w:p>
        </w:tc>
        <w:tc>
          <w:tcPr>
            <w:tcW w:type="dxa" w:w="3492"/>
          </w:tcPr>
          <w:p>
            <w:pPr>
              <w:spacing w:after="0"/>
            </w:pPr>
            <w:r/>
            <w:r>
              <w:rPr>
                <w:sz w:val="13"/>
              </w:rPr>
              <w:t>masterdata.memberships.lookup</w:t>
            </w:r>
          </w:p>
        </w:tc>
      </w:tr>
      <w:tr>
        <w:trPr>
          <w:cantSplit/>
        </w:trPr>
        <w:tc>
          <w:tcPr>
            <w:tcW w:type="dxa" w:w="927"/>
          </w:tcPr>
          <w:p>
            <w:pPr>
              <w:spacing w:after="0"/>
            </w:pPr>
            <w:r/>
            <w:r>
              <w:rPr>
                <w:sz w:val="13"/>
              </w:rPr>
              <w:t>POST</w:t>
            </w:r>
          </w:p>
        </w:tc>
        <w:tc>
          <w:tcPr>
            <w:tcW w:type="dxa" w:w="4276"/>
          </w:tcPr>
          <w:p>
            <w:pPr>
              <w:spacing w:after="0"/>
            </w:pPr>
            <w:r/>
            <w:r>
              <w:rPr>
                <w:sz w:val="13"/>
              </w:rPr>
              <w:t>/api/v1/memberships</w:t>
            </w:r>
          </w:p>
        </w:tc>
        <w:tc>
          <w:tcPr>
            <w:tcW w:type="dxa" w:w="4561"/>
          </w:tcPr>
          <w:p>
            <w:pPr>
              <w:spacing w:after="0"/>
            </w:pPr>
            <w:r/>
            <w:r>
              <w:rPr>
                <w:sz w:val="13"/>
              </w:rPr>
              <w:t>Register an existing customer as a member</w:t>
            </w:r>
          </w:p>
        </w:tc>
        <w:tc>
          <w:tcPr>
            <w:tcW w:type="dxa" w:w="855"/>
          </w:tcPr>
          <w:p>
            <w:pPr>
              <w:spacing w:after="0"/>
            </w:pPr>
            <w:r/>
            <w:r>
              <w:rPr>
                <w:sz w:val="13"/>
              </w:rPr>
              <w:t>bearer</w:t>
            </w:r>
          </w:p>
        </w:tc>
        <w:tc>
          <w:tcPr>
            <w:tcW w:type="dxa" w:w="3492"/>
          </w:tcPr>
          <w:p>
            <w:pPr>
              <w:spacing w:after="0"/>
            </w:pPr>
            <w:r/>
            <w:r>
              <w:rPr>
                <w:sz w:val="13"/>
              </w:rPr>
              <w:t>masterdata.memberships.create</w:t>
            </w:r>
          </w:p>
        </w:tc>
      </w:tr>
      <w:tr>
        <w:trPr>
          <w:cantSplit/>
        </w:trPr>
        <w:tc>
          <w:tcPr>
            <w:tcW w:type="dxa" w:w="927"/>
          </w:tcPr>
          <w:p>
            <w:pPr>
              <w:spacing w:after="0"/>
            </w:pPr>
            <w:r/>
            <w:r>
              <w:rPr>
                <w:sz w:val="13"/>
              </w:rPr>
              <w:t>GET</w:t>
            </w:r>
          </w:p>
        </w:tc>
        <w:tc>
          <w:tcPr>
            <w:tcW w:type="dxa" w:w="4276"/>
          </w:tcPr>
          <w:p>
            <w:pPr>
              <w:spacing w:after="0"/>
            </w:pPr>
            <w:r/>
            <w:r>
              <w:rPr>
                <w:sz w:val="13"/>
              </w:rPr>
              <w:t>/api/v1/memberships/by-customer/{customerId}</w:t>
            </w:r>
          </w:p>
        </w:tc>
        <w:tc>
          <w:tcPr>
            <w:tcW w:type="dxa" w:w="4561"/>
          </w:tcPr>
          <w:p>
            <w:pPr>
              <w:spacing w:after="0"/>
            </w:pPr>
            <w:r/>
            <w:r>
              <w:rPr>
                <w:sz w:val="13"/>
              </w:rPr>
              <w:t>Membership by customer</w:t>
            </w:r>
          </w:p>
        </w:tc>
        <w:tc>
          <w:tcPr>
            <w:tcW w:type="dxa" w:w="855"/>
          </w:tcPr>
          <w:p>
            <w:pPr>
              <w:spacing w:after="0"/>
            </w:pPr>
            <w:r/>
            <w:r>
              <w:rPr>
                <w:sz w:val="13"/>
              </w:rPr>
              <w:t>bearer</w:t>
            </w:r>
          </w:p>
        </w:tc>
        <w:tc>
          <w:tcPr>
            <w:tcW w:type="dxa" w:w="3492"/>
          </w:tcPr>
          <w:p>
            <w:pPr>
              <w:spacing w:after="0"/>
            </w:pPr>
            <w:r/>
            <w:r>
              <w:rPr>
                <w:sz w:val="13"/>
              </w:rPr>
              <w:t>masterdata.memberships.lookup</w:t>
            </w:r>
          </w:p>
        </w:tc>
      </w:tr>
      <w:tr>
        <w:trPr>
          <w:cantSplit/>
        </w:trPr>
        <w:tc>
          <w:tcPr>
            <w:tcW w:type="dxa" w:w="927"/>
          </w:tcPr>
          <w:p>
            <w:pPr>
              <w:spacing w:after="0"/>
            </w:pPr>
            <w:r/>
            <w:r>
              <w:rPr>
                <w:sz w:val="13"/>
              </w:rPr>
              <w:t>GET</w:t>
            </w:r>
          </w:p>
        </w:tc>
        <w:tc>
          <w:tcPr>
            <w:tcW w:type="dxa" w:w="4276"/>
          </w:tcPr>
          <w:p>
            <w:pPr>
              <w:spacing w:after="0"/>
            </w:pPr>
            <w:r/>
            <w:r>
              <w:rPr>
                <w:sz w:val="13"/>
              </w:rPr>
              <w:t>/api/v1/memberships/by-number/{number}</w:t>
            </w:r>
          </w:p>
        </w:tc>
        <w:tc>
          <w:tcPr>
            <w:tcW w:type="dxa" w:w="4561"/>
          </w:tcPr>
          <w:p>
            <w:pPr>
              <w:spacing w:after="0"/>
            </w:pPr>
            <w:r/>
            <w:r>
              <w:rPr>
                <w:sz w:val="13"/>
              </w:rPr>
              <w:t>Membership by member number</w:t>
            </w:r>
          </w:p>
        </w:tc>
        <w:tc>
          <w:tcPr>
            <w:tcW w:type="dxa" w:w="855"/>
          </w:tcPr>
          <w:p>
            <w:pPr>
              <w:spacing w:after="0"/>
            </w:pPr>
            <w:r/>
            <w:r>
              <w:rPr>
                <w:sz w:val="13"/>
              </w:rPr>
              <w:t>bearer</w:t>
            </w:r>
          </w:p>
        </w:tc>
        <w:tc>
          <w:tcPr>
            <w:tcW w:type="dxa" w:w="3492"/>
          </w:tcPr>
          <w:p>
            <w:pPr>
              <w:spacing w:after="0"/>
            </w:pPr>
            <w:r/>
            <w:r>
              <w:rPr>
                <w:sz w:val="13"/>
              </w:rPr>
              <w:t>masterdata.memberships.lookup</w:t>
            </w:r>
          </w:p>
        </w:tc>
      </w:tr>
      <w:tr>
        <w:trPr>
          <w:cantSplit/>
        </w:trPr>
        <w:tc>
          <w:tcPr>
            <w:tcW w:type="dxa" w:w="927"/>
          </w:tcPr>
          <w:p>
            <w:pPr>
              <w:spacing w:after="0"/>
            </w:pPr>
            <w:r/>
            <w:r>
              <w:rPr>
                <w:sz w:val="13"/>
              </w:rPr>
              <w:t>GET</w:t>
            </w:r>
          </w:p>
        </w:tc>
        <w:tc>
          <w:tcPr>
            <w:tcW w:type="dxa" w:w="4276"/>
          </w:tcPr>
          <w:p>
            <w:pPr>
              <w:spacing w:after="0"/>
            </w:pPr>
            <w:r/>
            <w:r>
              <w:rPr>
                <w:sz w:val="13"/>
              </w:rPr>
              <w:t>/api/v1/memberships/me</w:t>
            </w:r>
          </w:p>
        </w:tc>
        <w:tc>
          <w:tcPr>
            <w:tcW w:type="dxa" w:w="4561"/>
          </w:tcPr>
          <w:p>
            <w:pPr>
              <w:spacing w:after="0"/>
            </w:pPr>
            <w:r/>
            <w:r>
              <w:rPr>
                <w:sz w:val="13"/>
              </w:rPr>
              <w:t>Current user's membership (User -&gt; Customer -&gt; Membership)</w:t>
            </w:r>
          </w:p>
        </w:tc>
        <w:tc>
          <w:tcPr>
            <w:tcW w:type="dxa" w:w="855"/>
          </w:tcPr>
          <w:p>
            <w:pPr>
              <w:spacing w:after="0"/>
            </w:pPr>
            <w:r/>
            <w:r>
              <w:rPr>
                <w:sz w:val="13"/>
              </w:rPr>
              <w:t>bearer</w:t>
            </w:r>
          </w:p>
        </w:tc>
        <w:tc>
          <w:tcPr>
            <w:tcW w:type="dxa" w:w="3492"/>
          </w:tcPr>
          <w:p>
            <w:pPr>
              <w:spacing w:after="0"/>
            </w:pPr>
            <w:r/>
            <w:r>
              <w:rPr>
                <w:sz w:val="13"/>
              </w:rPr>
              <w:t>masterdata.memberships.read</w:t>
            </w:r>
          </w:p>
        </w:tc>
      </w:tr>
      <w:tr>
        <w:trPr>
          <w:cantSplit/>
        </w:trPr>
        <w:tc>
          <w:tcPr>
            <w:tcW w:type="dxa" w:w="927"/>
          </w:tcPr>
          <w:p>
            <w:pPr>
              <w:spacing w:after="0"/>
            </w:pPr>
            <w:r/>
            <w:r>
              <w:rPr>
                <w:sz w:val="13"/>
              </w:rPr>
              <w:t>GET</w:t>
            </w:r>
          </w:p>
        </w:tc>
        <w:tc>
          <w:tcPr>
            <w:tcW w:type="dxa" w:w="4276"/>
          </w:tcPr>
          <w:p>
            <w:pPr>
              <w:spacing w:after="0"/>
            </w:pPr>
            <w:r/>
            <w:r>
              <w:rPr>
                <w:sz w:val="13"/>
              </w:rPr>
              <w:t>/api/v1/memberships/tiers</w:t>
            </w:r>
          </w:p>
        </w:tc>
        <w:tc>
          <w:tcPr>
            <w:tcW w:type="dxa" w:w="4561"/>
          </w:tcPr>
          <w:p>
            <w:pPr>
              <w:spacing w:after="0"/>
            </w:pPr>
            <w:r/>
            <w:r>
              <w:rPr>
                <w:sz w:val="13"/>
              </w:rPr>
              <w:t>List database-backed tier configurations (STEP 0, §13.1)</w:t>
            </w:r>
          </w:p>
        </w:tc>
        <w:tc>
          <w:tcPr>
            <w:tcW w:type="dxa" w:w="855"/>
          </w:tcPr>
          <w:p>
            <w:pPr>
              <w:spacing w:after="0"/>
            </w:pPr>
            <w:r/>
            <w:r>
              <w:rPr>
                <w:sz w:val="13"/>
              </w:rPr>
              <w:t>bearer</w:t>
            </w:r>
          </w:p>
        </w:tc>
        <w:tc>
          <w:tcPr>
            <w:tcW w:type="dxa" w:w="3492"/>
          </w:tcPr>
          <w:p>
            <w:pPr>
              <w:spacing w:after="0"/>
            </w:pPr>
            <w:r/>
            <w:r>
              <w:rPr>
                <w:sz w:val="13"/>
              </w:rPr>
              <w:t>masterdata.memberships.read</w:t>
            </w:r>
          </w:p>
        </w:tc>
      </w:tr>
      <w:tr>
        <w:trPr>
          <w:cantSplit/>
        </w:trPr>
        <w:tc>
          <w:tcPr>
            <w:tcW w:type="dxa" w:w="927"/>
          </w:tcPr>
          <w:p>
            <w:pPr>
              <w:spacing w:after="0"/>
            </w:pPr>
            <w:r/>
            <w:r>
              <w:rPr>
                <w:sz w:val="13"/>
              </w:rPr>
              <w:t>POST</w:t>
            </w:r>
          </w:p>
        </w:tc>
        <w:tc>
          <w:tcPr>
            <w:tcW w:type="dxa" w:w="4276"/>
          </w:tcPr>
          <w:p>
            <w:pPr>
              <w:spacing w:after="0"/>
            </w:pPr>
            <w:r/>
            <w:r>
              <w:rPr>
                <w:sz w:val="13"/>
              </w:rPr>
              <w:t>/api/v1/memberships/tiers</w:t>
            </w:r>
          </w:p>
        </w:tc>
        <w:tc>
          <w:tcPr>
            <w:tcW w:type="dxa" w:w="4561"/>
          </w:tcPr>
          <w:p>
            <w:pPr>
              <w:spacing w:after="0"/>
            </w:pPr>
            <w:r/>
            <w:r>
              <w:rPr>
                <w:sz w:val="13"/>
              </w:rPr>
              <w:t>Create a tier configuration (audited)</w:t>
            </w:r>
          </w:p>
        </w:tc>
        <w:tc>
          <w:tcPr>
            <w:tcW w:type="dxa" w:w="855"/>
          </w:tcPr>
          <w:p>
            <w:pPr>
              <w:spacing w:after="0"/>
            </w:pPr>
            <w:r/>
            <w:r>
              <w:rPr>
                <w:sz w:val="13"/>
              </w:rPr>
              <w:t>bearer</w:t>
            </w:r>
          </w:p>
        </w:tc>
        <w:tc>
          <w:tcPr>
            <w:tcW w:type="dxa" w:w="3492"/>
          </w:tcPr>
          <w:p>
            <w:pPr>
              <w:spacing w:after="0"/>
            </w:pPr>
            <w:r/>
            <w:r>
              <w:rPr>
                <w:sz w:val="13"/>
              </w:rPr>
              <w:t>masterdata.memberships.tiers.manage</w:t>
            </w:r>
          </w:p>
        </w:tc>
      </w:tr>
      <w:tr>
        <w:trPr>
          <w:cantSplit/>
        </w:trPr>
        <w:tc>
          <w:tcPr>
            <w:tcW w:type="dxa" w:w="927"/>
          </w:tcPr>
          <w:p>
            <w:pPr>
              <w:spacing w:after="0"/>
            </w:pPr>
            <w:r/>
            <w:r>
              <w:rPr>
                <w:sz w:val="13"/>
              </w:rPr>
              <w:t>GET</w:t>
            </w:r>
          </w:p>
        </w:tc>
        <w:tc>
          <w:tcPr>
            <w:tcW w:type="dxa" w:w="4276"/>
          </w:tcPr>
          <w:p>
            <w:pPr>
              <w:spacing w:after="0"/>
            </w:pPr>
            <w:r/>
            <w:r>
              <w:rPr>
                <w:sz w:val="13"/>
              </w:rPr>
              <w:t>/api/v1/memberships/tiers/{id}</w:t>
            </w:r>
          </w:p>
        </w:tc>
        <w:tc>
          <w:tcPr>
            <w:tcW w:type="dxa" w:w="4561"/>
          </w:tcPr>
          <w:p>
            <w:pPr>
              <w:spacing w:after="0"/>
            </w:pPr>
            <w:r/>
            <w:r>
              <w:rPr>
                <w:sz w:val="13"/>
              </w:rPr>
              <w:t>Get membership tier by id</w:t>
            </w:r>
          </w:p>
        </w:tc>
        <w:tc>
          <w:tcPr>
            <w:tcW w:type="dxa" w:w="855"/>
          </w:tcPr>
          <w:p>
            <w:pPr>
              <w:spacing w:after="0"/>
            </w:pPr>
            <w:r/>
            <w:r>
              <w:rPr>
                <w:sz w:val="13"/>
              </w:rPr>
              <w:t>bearer</w:t>
            </w:r>
          </w:p>
        </w:tc>
        <w:tc>
          <w:tcPr>
            <w:tcW w:type="dxa" w:w="3492"/>
          </w:tcPr>
          <w:p>
            <w:pPr>
              <w:spacing w:after="0"/>
            </w:pPr>
            <w:r/>
            <w:r>
              <w:rPr>
                <w:sz w:val="13"/>
              </w:rPr>
              <w:t>masterdata.memberships.read</w:t>
            </w:r>
          </w:p>
        </w:tc>
      </w:tr>
      <w:tr>
        <w:trPr>
          <w:cantSplit/>
        </w:trPr>
        <w:tc>
          <w:tcPr>
            <w:tcW w:type="dxa" w:w="927"/>
          </w:tcPr>
          <w:p>
            <w:pPr>
              <w:spacing w:after="0"/>
            </w:pPr>
            <w:r/>
            <w:r>
              <w:rPr>
                <w:sz w:val="13"/>
              </w:rPr>
              <w:t>PUT</w:t>
            </w:r>
          </w:p>
        </w:tc>
        <w:tc>
          <w:tcPr>
            <w:tcW w:type="dxa" w:w="4276"/>
          </w:tcPr>
          <w:p>
            <w:pPr>
              <w:spacing w:after="0"/>
            </w:pPr>
            <w:r/>
            <w:r>
              <w:rPr>
                <w:sz w:val="13"/>
              </w:rPr>
              <w:t>/api/v1/memberships/tiers/{id}</w:t>
            </w:r>
          </w:p>
        </w:tc>
        <w:tc>
          <w:tcPr>
            <w:tcW w:type="dxa" w:w="4561"/>
          </w:tcPr>
          <w:p>
            <w:pPr>
              <w:spacing w:after="0"/>
            </w:pPr>
            <w:r/>
            <w:r>
              <w:rPr>
                <w:sz w:val="13"/>
              </w:rPr>
              <w:t>Update a tier configuration (audited, from/to recorded)</w:t>
            </w:r>
          </w:p>
        </w:tc>
        <w:tc>
          <w:tcPr>
            <w:tcW w:type="dxa" w:w="855"/>
          </w:tcPr>
          <w:p>
            <w:pPr>
              <w:spacing w:after="0"/>
            </w:pPr>
            <w:r/>
            <w:r>
              <w:rPr>
                <w:sz w:val="13"/>
              </w:rPr>
              <w:t>bearer</w:t>
            </w:r>
          </w:p>
        </w:tc>
        <w:tc>
          <w:tcPr>
            <w:tcW w:type="dxa" w:w="3492"/>
          </w:tcPr>
          <w:p>
            <w:pPr>
              <w:spacing w:after="0"/>
            </w:pPr>
            <w:r/>
            <w:r>
              <w:rPr>
                <w:sz w:val="13"/>
              </w:rPr>
              <w:t>masterdata.memberships.tiers.manage</w:t>
            </w:r>
          </w:p>
        </w:tc>
      </w:tr>
      <w:tr>
        <w:trPr>
          <w:cantSplit/>
        </w:trPr>
        <w:tc>
          <w:tcPr>
            <w:tcW w:type="dxa" w:w="927"/>
          </w:tcPr>
          <w:p>
            <w:pPr>
              <w:spacing w:after="0"/>
            </w:pPr>
            <w:r/>
            <w:r>
              <w:rPr>
                <w:sz w:val="13"/>
              </w:rPr>
              <w:t>GET</w:t>
            </w:r>
          </w:p>
        </w:tc>
        <w:tc>
          <w:tcPr>
            <w:tcW w:type="dxa" w:w="4276"/>
          </w:tcPr>
          <w:p>
            <w:pPr>
              <w:spacing w:after="0"/>
            </w:pPr>
            <w:r/>
            <w:r>
              <w:rPr>
                <w:sz w:val="13"/>
              </w:rPr>
              <w:t>/api/v1/memberships/tiers/{id}/config-history</w:t>
            </w:r>
          </w:p>
        </w:tc>
        <w:tc>
          <w:tcPr>
            <w:tcW w:type="dxa" w:w="4561"/>
          </w:tcPr>
          <w:p>
            <w:pPr>
              <w:spacing w:after="0"/>
            </w:pPr>
            <w:r/>
            <w:r>
              <w:rPr>
                <w:sz w:val="13"/>
              </w:rPr>
              <w:t>Tier configuration audit trail (what a tier is worth, and who changed it). Distinct from /memberships/{id}/tier-history, which is the per-member tier assignment trail.</w:t>
            </w:r>
          </w:p>
        </w:tc>
        <w:tc>
          <w:tcPr>
            <w:tcW w:type="dxa" w:w="855"/>
          </w:tcPr>
          <w:p>
            <w:pPr>
              <w:spacing w:after="0"/>
            </w:pPr>
            <w:r/>
            <w:r>
              <w:rPr>
                <w:sz w:val="13"/>
              </w:rPr>
              <w:t>bearer</w:t>
            </w:r>
          </w:p>
        </w:tc>
        <w:tc>
          <w:tcPr>
            <w:tcW w:type="dxa" w:w="3492"/>
          </w:tcPr>
          <w:p>
            <w:pPr>
              <w:spacing w:after="0"/>
            </w:pPr>
            <w:r/>
            <w:r>
              <w:rPr>
                <w:sz w:val="13"/>
              </w:rPr>
              <w:t>masterdata.memberships.read</w:t>
            </w:r>
          </w:p>
        </w:tc>
      </w:tr>
      <w:tr>
        <w:trPr>
          <w:cantSplit/>
        </w:trPr>
        <w:tc>
          <w:tcPr>
            <w:tcW w:type="dxa" w:w="927"/>
          </w:tcPr>
          <w:p>
            <w:pPr>
              <w:spacing w:after="0"/>
            </w:pPr>
            <w:r/>
            <w:r>
              <w:rPr>
                <w:sz w:val="13"/>
              </w:rPr>
              <w:t>GET</w:t>
            </w:r>
          </w:p>
        </w:tc>
        <w:tc>
          <w:tcPr>
            <w:tcW w:type="dxa" w:w="4276"/>
          </w:tcPr>
          <w:p>
            <w:pPr>
              <w:spacing w:after="0"/>
            </w:pPr>
            <w:r/>
            <w:r>
              <w:rPr>
                <w:sz w:val="13"/>
              </w:rPr>
              <w:t>/api/v1/memberships/{id}</w:t>
            </w:r>
          </w:p>
        </w:tc>
        <w:tc>
          <w:tcPr>
            <w:tcW w:type="dxa" w:w="4561"/>
          </w:tcPr>
          <w:p>
            <w:pPr>
              <w:spacing w:after="0"/>
            </w:pPr>
            <w:r/>
            <w:r>
              <w:rPr>
                <w:sz w:val="13"/>
              </w:rPr>
              <w:t>Get membership</w:t>
            </w:r>
          </w:p>
        </w:tc>
        <w:tc>
          <w:tcPr>
            <w:tcW w:type="dxa" w:w="855"/>
          </w:tcPr>
          <w:p>
            <w:pPr>
              <w:spacing w:after="0"/>
            </w:pPr>
            <w:r/>
            <w:r>
              <w:rPr>
                <w:sz w:val="13"/>
              </w:rPr>
              <w:t>bearer</w:t>
            </w:r>
          </w:p>
        </w:tc>
        <w:tc>
          <w:tcPr>
            <w:tcW w:type="dxa" w:w="3492"/>
          </w:tcPr>
          <w:p>
            <w:pPr>
              <w:spacing w:after="0"/>
            </w:pPr>
            <w:r/>
            <w:r>
              <w:rPr>
                <w:sz w:val="13"/>
              </w:rPr>
              <w:t>masterdata.memberships.lookup</w:t>
            </w:r>
          </w:p>
        </w:tc>
      </w:tr>
      <w:tr>
        <w:trPr>
          <w:cantSplit/>
        </w:trPr>
        <w:tc>
          <w:tcPr>
            <w:tcW w:type="dxa" w:w="927"/>
          </w:tcPr>
          <w:p>
            <w:pPr>
              <w:spacing w:after="0"/>
            </w:pPr>
            <w:r/>
            <w:r>
              <w:rPr>
                <w:sz w:val="13"/>
              </w:rPr>
              <w:t>PUT</w:t>
            </w:r>
          </w:p>
        </w:tc>
        <w:tc>
          <w:tcPr>
            <w:tcW w:type="dxa" w:w="4276"/>
          </w:tcPr>
          <w:p>
            <w:pPr>
              <w:spacing w:after="0"/>
            </w:pPr>
            <w:r/>
            <w:r>
              <w:rPr>
                <w:sz w:val="13"/>
              </w:rPr>
              <w:t>/api/v1/memberships/{id}</w:t>
            </w:r>
          </w:p>
        </w:tc>
        <w:tc>
          <w:tcPr>
            <w:tcW w:type="dxa" w:w="4561"/>
          </w:tcPr>
          <w:p>
            <w:pPr>
              <w:spacing w:after="0"/>
            </w:pPr>
            <w:r/>
            <w:r>
              <w:rPr>
                <w:sz w:val="13"/>
              </w:rPr>
              <w:t>Update membership tier/status</w:t>
            </w:r>
          </w:p>
        </w:tc>
        <w:tc>
          <w:tcPr>
            <w:tcW w:type="dxa" w:w="855"/>
          </w:tcPr>
          <w:p>
            <w:pPr>
              <w:spacing w:after="0"/>
            </w:pPr>
            <w:r/>
            <w:r>
              <w:rPr>
                <w:sz w:val="13"/>
              </w:rPr>
              <w:t>bearer</w:t>
            </w:r>
          </w:p>
        </w:tc>
        <w:tc>
          <w:tcPr>
            <w:tcW w:type="dxa" w:w="3492"/>
          </w:tcPr>
          <w:p>
            <w:pPr>
              <w:spacing w:after="0"/>
            </w:pPr>
            <w:r/>
            <w:r>
              <w:rPr>
                <w:sz w:val="13"/>
              </w:rPr>
              <w:t>masterdata.memberships.manage</w:t>
            </w:r>
          </w:p>
        </w:tc>
      </w:tr>
      <w:tr>
        <w:trPr>
          <w:cantSplit/>
        </w:trPr>
        <w:tc>
          <w:tcPr>
            <w:tcW w:type="dxa" w:w="927"/>
          </w:tcPr>
          <w:p>
            <w:pPr>
              <w:spacing w:after="0"/>
            </w:pPr>
            <w:r/>
            <w:r>
              <w:rPr>
                <w:sz w:val="13"/>
              </w:rPr>
              <w:t>POST</w:t>
            </w:r>
          </w:p>
        </w:tc>
        <w:tc>
          <w:tcPr>
            <w:tcW w:type="dxa" w:w="4276"/>
          </w:tcPr>
          <w:p>
            <w:pPr>
              <w:spacing w:after="0"/>
            </w:pPr>
            <w:r/>
            <w:r>
              <w:rPr>
                <w:sz w:val="13"/>
              </w:rPr>
              <w:t>/api/v1/memberships/{id}/accrue</w:t>
            </w:r>
          </w:p>
        </w:tc>
        <w:tc>
          <w:tcPr>
            <w:tcW w:type="dxa" w:w="4561"/>
          </w:tcPr>
          <w:p>
            <w:pPr>
              <w:spacing w:after="0"/>
            </w:pPr>
            <w:r/>
            <w:r>
              <w:rPr>
                <w:sz w:val="13"/>
              </w:rPr>
              <w:t>Accrue points for spend and auto-promote tier (§20 default)</w:t>
            </w:r>
          </w:p>
        </w:tc>
        <w:tc>
          <w:tcPr>
            <w:tcW w:type="dxa" w:w="855"/>
          </w:tcPr>
          <w:p>
            <w:pPr>
              <w:spacing w:after="0"/>
            </w:pPr>
            <w:r/>
            <w:r>
              <w:rPr>
                <w:sz w:val="13"/>
              </w:rPr>
              <w:t>bearer</w:t>
            </w:r>
          </w:p>
        </w:tc>
        <w:tc>
          <w:tcPr>
            <w:tcW w:type="dxa" w:w="3492"/>
          </w:tcPr>
          <w:p>
            <w:pPr>
              <w:spacing w:after="0"/>
            </w:pPr>
            <w:r/>
            <w:r>
              <w:rPr>
                <w:sz w:val="13"/>
              </w:rPr>
              <w:t>masterdata.memberships.manage</w:t>
            </w:r>
          </w:p>
        </w:tc>
      </w:tr>
      <w:tr>
        <w:trPr>
          <w:cantSplit/>
        </w:trPr>
        <w:tc>
          <w:tcPr>
            <w:tcW w:type="dxa" w:w="927"/>
          </w:tcPr>
          <w:p>
            <w:pPr>
              <w:spacing w:after="0"/>
            </w:pPr>
            <w:r/>
            <w:r>
              <w:rPr>
                <w:sz w:val="13"/>
              </w:rPr>
              <w:t>GET</w:t>
            </w:r>
          </w:p>
        </w:tc>
        <w:tc>
          <w:tcPr>
            <w:tcW w:type="dxa" w:w="4276"/>
          </w:tcPr>
          <w:p>
            <w:pPr>
              <w:spacing w:after="0"/>
            </w:pPr>
            <w:r/>
            <w:r>
              <w:rPr>
                <w:sz w:val="13"/>
              </w:rPr>
              <w:t>/api/v1/memberships/{id}/tier-history</w:t>
            </w:r>
          </w:p>
        </w:tc>
        <w:tc>
          <w:tcPr>
            <w:tcW w:type="dxa" w:w="4561"/>
          </w:tcPr>
          <w:p>
            <w:pPr>
              <w:spacing w:after="0"/>
            </w:pPr>
            <w:r/>
            <w:r>
              <w:rPr>
                <w:sz w:val="13"/>
              </w:rPr>
              <w:t>Membership tier audit history (append-only)</w:t>
            </w:r>
          </w:p>
        </w:tc>
        <w:tc>
          <w:tcPr>
            <w:tcW w:type="dxa" w:w="855"/>
          </w:tcPr>
          <w:p>
            <w:pPr>
              <w:spacing w:after="0"/>
            </w:pPr>
            <w:r/>
            <w:r>
              <w:rPr>
                <w:sz w:val="13"/>
              </w:rPr>
              <w:t>bearer</w:t>
            </w:r>
          </w:p>
        </w:tc>
        <w:tc>
          <w:tcPr>
            <w:tcW w:type="dxa" w:w="3492"/>
          </w:tcPr>
          <w:p>
            <w:pPr>
              <w:spacing w:after="0"/>
            </w:pPr>
            <w:r/>
            <w:r>
              <w:rPr>
                <w:sz w:val="13"/>
              </w:rPr>
              <w:t>masterdata.memberships.lookup</w:t>
            </w:r>
          </w:p>
        </w:tc>
      </w:tr>
    </w:tbl>
    <w:p>
      <w:bookmarkStart w:id="1246" w:name="_Toc1246"/>
      <w:pPr>
        <w:pStyle w:val="Heading3"/>
      </w:pPr>
      <w:r>
        <w:t>products — 27 operations</w:t>
      </w:r>
      <w:bookmarkEnd w:id="1246"/>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/api/v1/barcodes/lookup</w:t>
            </w:r>
          </w:p>
        </w:tc>
        <w:tc>
          <w:tcPr>
            <w:tcW w:type="dxa" w:w="4561"/>
          </w:tcPr>
          <w:p>
            <w:pPr>
              <w:spacing w:after="0"/>
            </w:pPr>
            <w:r/>
            <w:r>
              <w:rPr>
                <w:sz w:val="13"/>
              </w:rPr>
              <w:t>Resolve a scanned barcode to a product and configured unit</w:t>
            </w:r>
          </w:p>
        </w:tc>
        <w:tc>
          <w:tcPr>
            <w:tcW w:type="dxa" w:w="855"/>
          </w:tcPr>
          <w:p>
            <w:pPr>
              <w:spacing w:after="0"/>
            </w:pPr>
            <w:r/>
            <w:r>
              <w:rPr>
                <w:sz w:val="13"/>
              </w:rPr>
              <w:t>public</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/api/v1/brands</w:t>
            </w:r>
          </w:p>
        </w:tc>
        <w:tc>
          <w:tcPr>
            <w:tcW w:type="dxa" w:w="4561"/>
          </w:tcPr>
          <w:p>
            <w:pPr>
              <w:spacing w:after="0"/>
            </w:pPr>
            <w:r/>
            <w:r>
              <w:rPr>
                <w:sz w:val="13"/>
              </w:rPr>
              <w:t>List brands</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/api/v1/brands</w:t>
            </w:r>
          </w:p>
        </w:tc>
        <w:tc>
          <w:tcPr>
            <w:tcW w:type="dxa" w:w="4561"/>
          </w:tcPr>
          <w:p>
            <w:pPr>
              <w:spacing w:after="0"/>
            </w:pPr>
            <w:r/>
            <w:r>
              <w:rPr>
                <w:sz w:val="13"/>
              </w:rPr>
              <w:t>Create a brand</w:t>
            </w:r>
          </w:p>
        </w:tc>
        <w:tc>
          <w:tcPr>
            <w:tcW w:type="dxa" w:w="855"/>
          </w:tcPr>
          <w:p>
            <w:pPr>
              <w:spacing w:after="0"/>
            </w:pPr>
            <w:r/>
            <w:r>
              <w:rPr>
                <w:sz w:val="13"/>
              </w:rPr>
              <w:t>bearer</w:t>
            </w:r>
          </w:p>
        </w:tc>
        <w:tc>
          <w:tcPr>
            <w:tcW w:type="dxa" w:w="3492"/>
          </w:tcPr>
          <w:p>
            <w:pPr>
              <w:spacing w:after="0"/>
            </w:pPr>
            <w:r/>
            <w:r>
              <w:rPr>
                <w:sz w:val="13"/>
              </w:rPr>
              <w:t>masterdata.brands.create</w:t>
            </w:r>
          </w:p>
        </w:tc>
      </w:tr>
      <w:tr>
        <w:trPr>
          <w:cantSplit/>
        </w:trPr>
        <w:tc>
          <w:tcPr>
            <w:tcW w:type="dxa" w:w="927"/>
          </w:tcPr>
          <w:p>
            <w:pPr>
              <w:spacing w:after="0"/>
            </w:pPr>
            <w:r/>
            <w:r>
              <w:rPr>
                <w:sz w:val="13"/>
              </w:rPr>
              <w:t>DELETE</w:t>
            </w:r>
          </w:p>
        </w:tc>
        <w:tc>
          <w:tcPr>
            <w:tcW w:type="dxa" w:w="4276"/>
          </w:tcPr>
          <w:p>
            <w:pPr>
              <w:spacing w:after="0"/>
            </w:pPr>
            <w:r/>
            <w:r>
              <w:rPr>
                <w:sz w:val="13"/>
              </w:rPr>
              <w:t>/api/v1/brands/{id}</w:t>
            </w:r>
          </w:p>
        </w:tc>
        <w:tc>
          <w:tcPr>
            <w:tcW w:type="dxa" w:w="4561"/>
          </w:tcPr>
          <w:p>
            <w:pPr>
              <w:spacing w:after="0"/>
            </w:pPr>
            <w:r/>
            <w:r>
              <w:rPr>
                <w:sz w:val="13"/>
              </w:rPr>
              <w:t>Delete a brand</w:t>
            </w:r>
          </w:p>
        </w:tc>
        <w:tc>
          <w:tcPr>
            <w:tcW w:type="dxa" w:w="855"/>
          </w:tcPr>
          <w:p>
            <w:pPr>
              <w:spacing w:after="0"/>
            </w:pPr>
            <w:r/>
            <w:r>
              <w:rPr>
                <w:sz w:val="13"/>
              </w:rPr>
              <w:t>bearer</w:t>
            </w:r>
          </w:p>
        </w:tc>
        <w:tc>
          <w:tcPr>
            <w:tcW w:type="dxa" w:w="3492"/>
          </w:tcPr>
          <w:p>
            <w:pPr>
              <w:spacing w:after="0"/>
            </w:pPr>
            <w:r/>
            <w:r>
              <w:rPr>
                <w:sz w:val="13"/>
              </w:rPr>
              <w:t>masterdata.brands.delete</w:t>
            </w:r>
          </w:p>
        </w:tc>
      </w:tr>
      <w:tr>
        <w:trPr>
          <w:cantSplit/>
        </w:trPr>
        <w:tc>
          <w:tcPr>
            <w:tcW w:type="dxa" w:w="927"/>
          </w:tcPr>
          <w:p>
            <w:pPr>
              <w:spacing w:after="0"/>
            </w:pPr>
            <w:r/>
            <w:r>
              <w:rPr>
                <w:sz w:val="13"/>
              </w:rPr>
              <w:t>GET</w:t>
            </w:r>
          </w:p>
        </w:tc>
        <w:tc>
          <w:tcPr>
            <w:tcW w:type="dxa" w:w="4276"/>
          </w:tcPr>
          <w:p>
            <w:pPr>
              <w:spacing w:after="0"/>
            </w:pPr>
            <w:r/>
            <w:r>
              <w:rPr>
                <w:sz w:val="13"/>
              </w:rPr>
              <w:t>/api/v1/brands/{id}</w:t>
            </w:r>
          </w:p>
        </w:tc>
        <w:tc>
          <w:tcPr>
            <w:tcW w:type="dxa" w:w="4561"/>
          </w:tcPr>
          <w:p>
            <w:pPr>
              <w:spacing w:after="0"/>
            </w:pPr>
            <w:r/>
            <w:r>
              <w:rPr>
                <w:sz w:val="13"/>
              </w:rPr>
              <w:t>Get a brand</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PUT</w:t>
            </w:r>
          </w:p>
        </w:tc>
        <w:tc>
          <w:tcPr>
            <w:tcW w:type="dxa" w:w="4276"/>
          </w:tcPr>
          <w:p>
            <w:pPr>
              <w:spacing w:after="0"/>
            </w:pPr>
            <w:r/>
            <w:r>
              <w:rPr>
                <w:sz w:val="13"/>
              </w:rPr>
              <w:t>/api/v1/brands/{id}</w:t>
            </w:r>
          </w:p>
        </w:tc>
        <w:tc>
          <w:tcPr>
            <w:tcW w:type="dxa" w:w="4561"/>
          </w:tcPr>
          <w:p>
            <w:pPr>
              <w:spacing w:after="0"/>
            </w:pPr>
            <w:r/>
            <w:r>
              <w:rPr>
                <w:sz w:val="13"/>
              </w:rPr>
              <w:t>Update a brand</w:t>
            </w:r>
          </w:p>
        </w:tc>
        <w:tc>
          <w:tcPr>
            <w:tcW w:type="dxa" w:w="855"/>
          </w:tcPr>
          <w:p>
            <w:pPr>
              <w:spacing w:after="0"/>
            </w:pPr>
            <w:r/>
            <w:r>
              <w:rPr>
                <w:sz w:val="13"/>
              </w:rPr>
              <w:t>bearer</w:t>
            </w:r>
          </w:p>
        </w:tc>
        <w:tc>
          <w:tcPr>
            <w:tcW w:type="dxa" w:w="3492"/>
          </w:tcPr>
          <w:p>
            <w:pPr>
              <w:spacing w:after="0"/>
            </w:pPr>
            <w:r/>
            <w:r>
              <w:rPr>
                <w:sz w:val="13"/>
              </w:rPr>
              <w:t>masterdata.brands.update</w:t>
            </w:r>
          </w:p>
        </w:tc>
      </w:tr>
      <w:tr>
        <w:trPr>
          <w:cantSplit/>
        </w:trPr>
        <w:tc>
          <w:tcPr>
            <w:tcW w:type="dxa" w:w="927"/>
          </w:tcPr>
          <w:p>
            <w:pPr>
              <w:spacing w:after="0"/>
            </w:pPr>
            <w:r/>
            <w:r>
              <w:rPr>
                <w:sz w:val="13"/>
              </w:rPr>
              <w:t>GET</w:t>
            </w:r>
          </w:p>
        </w:tc>
        <w:tc>
          <w:tcPr>
            <w:tcW w:type="dxa" w:w="4276"/>
          </w:tcPr>
          <w:p>
            <w:pPr>
              <w:spacing w:after="0"/>
            </w:pPr>
            <w:r/>
            <w:r>
              <w:rPr>
                <w:sz w:val="13"/>
              </w:rPr>
              <w:t>/api/v1/categories</w:t>
            </w:r>
          </w:p>
        </w:tc>
        <w:tc>
          <w:tcPr>
            <w:tcW w:type="dxa" w:w="4561"/>
          </w:tcPr>
          <w:p>
            <w:pPr>
              <w:spacing w:after="0"/>
            </w:pPr>
            <w:r/>
            <w:r>
              <w:rPr>
                <w:sz w:val="13"/>
              </w:rPr>
              <w:t>List categories (static, no pagination)</w:t>
            </w:r>
          </w:p>
        </w:tc>
        <w:tc>
          <w:tcPr>
            <w:tcW w:type="dxa" w:w="855"/>
          </w:tcPr>
          <w:p>
            <w:pPr>
              <w:spacing w:after="0"/>
            </w:pPr>
            <w:r/>
            <w:r>
              <w:rPr>
                <w:sz w:val="13"/>
              </w:rPr>
              <w:t>public</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/api/v1/categories</w:t>
            </w:r>
          </w:p>
        </w:tc>
        <w:tc>
          <w:tcPr>
            <w:tcW w:type="dxa" w:w="4561"/>
          </w:tcPr>
          <w:p>
            <w:pPr>
              <w:spacing w:after="0"/>
            </w:pPr>
            <w:r/>
            <w:r>
              <w:rPr>
                <w:sz w:val="13"/>
              </w:rPr>
              <w:t>Create a category</w:t>
            </w:r>
          </w:p>
        </w:tc>
        <w:tc>
          <w:tcPr>
            <w:tcW w:type="dxa" w:w="855"/>
          </w:tcPr>
          <w:p>
            <w:pPr>
              <w:spacing w:after="0"/>
            </w:pPr>
            <w:r/>
            <w:r>
              <w:rPr>
                <w:sz w:val="13"/>
              </w:rPr>
              <w:t>bearer</w:t>
            </w:r>
          </w:p>
        </w:tc>
        <w:tc>
          <w:tcPr>
            <w:tcW w:type="dxa" w:w="3492"/>
          </w:tcPr>
          <w:p>
            <w:pPr>
              <w:spacing w:after="0"/>
            </w:pPr>
            <w:r/>
            <w:r>
              <w:rPr>
                <w:sz w:val="13"/>
              </w:rPr>
              <w:t>masterdata.categories.create</w:t>
            </w:r>
          </w:p>
        </w:tc>
      </w:tr>
      <w:tr>
        <w:trPr>
          <w:cantSplit/>
        </w:trPr>
        <w:tc>
          <w:tcPr>
            <w:tcW w:type="dxa" w:w="927"/>
          </w:tcPr>
          <w:p>
            <w:pPr>
              <w:spacing w:after="0"/>
            </w:pPr>
            <w:r/>
            <w:r>
              <w:rPr>
                <w:sz w:val="13"/>
              </w:rPr>
              <w:t>DELETE</w:t>
            </w:r>
          </w:p>
        </w:tc>
        <w:tc>
          <w:tcPr>
            <w:tcW w:type="dxa" w:w="4276"/>
          </w:tcPr>
          <w:p>
            <w:pPr>
              <w:spacing w:after="0"/>
            </w:pPr>
            <w:r/>
            <w:r>
              <w:rPr>
                <w:sz w:val="13"/>
              </w:rPr>
              <w:t>/api/v1/categories/{id}</w:t>
            </w:r>
          </w:p>
        </w:tc>
        <w:tc>
          <w:tcPr>
            <w:tcW w:type="dxa" w:w="4561"/>
          </w:tcPr>
          <w:p>
            <w:pPr>
              <w:spacing w:after="0"/>
            </w:pPr>
            <w:r/>
            <w:r>
              <w:rPr>
                <w:sz w:val="13"/>
              </w:rPr>
              <w:t>Delete a category</w:t>
            </w:r>
          </w:p>
        </w:tc>
        <w:tc>
          <w:tcPr>
            <w:tcW w:type="dxa" w:w="855"/>
          </w:tcPr>
          <w:p>
            <w:pPr>
              <w:spacing w:after="0"/>
            </w:pPr>
            <w:r/>
            <w:r>
              <w:rPr>
                <w:sz w:val="13"/>
              </w:rPr>
              <w:t>bearer</w:t>
            </w:r>
          </w:p>
        </w:tc>
        <w:tc>
          <w:tcPr>
            <w:tcW w:type="dxa" w:w="3492"/>
          </w:tcPr>
          <w:p>
            <w:pPr>
              <w:spacing w:after="0"/>
            </w:pPr>
            <w:r/>
            <w:r>
              <w:rPr>
                <w:sz w:val="13"/>
              </w:rPr>
              <w:t>masterdata.categories.delete</w:t>
            </w:r>
          </w:p>
        </w:tc>
      </w:tr>
      <w:tr>
        <w:trPr>
          <w:cantSplit/>
        </w:trPr>
        <w:tc>
          <w:tcPr>
            <w:tcW w:type="dxa" w:w="927"/>
          </w:tcPr>
          <w:p>
            <w:pPr>
              <w:spacing w:after="0"/>
            </w:pPr>
            <w:r/>
            <w:r>
              <w:rPr>
                <w:sz w:val="13"/>
              </w:rPr>
              <w:t>GET</w:t>
            </w:r>
          </w:p>
        </w:tc>
        <w:tc>
          <w:tcPr>
            <w:tcW w:type="dxa" w:w="4276"/>
          </w:tcPr>
          <w:p>
            <w:pPr>
              <w:spacing w:after="0"/>
            </w:pPr>
            <w:r/>
            <w:r>
              <w:rPr>
                <w:sz w:val="13"/>
              </w:rPr>
              <w:t>/api/v1/categories/{id}</w:t>
            </w:r>
          </w:p>
        </w:tc>
        <w:tc>
          <w:tcPr>
            <w:tcW w:type="dxa" w:w="4561"/>
          </w:tcPr>
          <w:p>
            <w:pPr>
              <w:spacing w:after="0"/>
            </w:pPr>
            <w:r/>
            <w:r>
              <w:rPr>
                <w:sz w:val="13"/>
              </w:rPr>
              <w:t>Get a category</w:t>
            </w:r>
          </w:p>
        </w:tc>
        <w:tc>
          <w:tcPr>
            <w:tcW w:type="dxa" w:w="855"/>
          </w:tcPr>
          <w:p>
            <w:pPr>
              <w:spacing w:after="0"/>
            </w:pPr>
            <w:r/>
            <w:r>
              <w:rPr>
                <w:sz w:val="13"/>
              </w:rPr>
              <w:t>public</w:t>
            </w:r>
          </w:p>
        </w:tc>
        <w:tc>
          <w:tcPr>
            <w:tcW w:type="dxa" w:w="3492"/>
          </w:tcPr>
          <w:p>
            <w:pPr>
              <w:spacing w:after="0"/>
            </w:pPr>
            <w:r/>
            <w:r>
              <w:rPr>
                <w:sz w:val="13"/>
              </w:rPr>
              <w:t>none (auth only)</w:t>
            </w:r>
          </w:p>
        </w:tc>
      </w:tr>
      <w:tr>
        <w:trPr>
          <w:cantSplit/>
        </w:trPr>
        <w:tc>
          <w:tcPr>
            <w:tcW w:type="dxa" w:w="927"/>
          </w:tcPr>
          <w:p>
            <w:pPr>
              <w:spacing w:after="0"/>
            </w:pPr>
            <w:r/>
            <w:r>
              <w:rPr>
                <w:sz w:val="13"/>
              </w:rPr>
              <w:t>PUT</w:t>
            </w:r>
          </w:p>
        </w:tc>
        <w:tc>
          <w:tcPr>
            <w:tcW w:type="dxa" w:w="4276"/>
          </w:tcPr>
          <w:p>
            <w:pPr>
              <w:spacing w:after="0"/>
            </w:pPr>
            <w:r/>
            <w:r>
              <w:rPr>
                <w:sz w:val="13"/>
              </w:rPr>
              <w:t>/api/v1/categories/{id}</w:t>
            </w:r>
          </w:p>
        </w:tc>
        <w:tc>
          <w:tcPr>
            <w:tcW w:type="dxa" w:w="4561"/>
          </w:tcPr>
          <w:p>
            <w:pPr>
              <w:spacing w:after="0"/>
            </w:pPr>
            <w:r/>
            <w:r>
              <w:rPr>
                <w:sz w:val="13"/>
              </w:rPr>
              <w:t>Update a category</w:t>
            </w:r>
          </w:p>
        </w:tc>
        <w:tc>
          <w:tcPr>
            <w:tcW w:type="dxa" w:w="855"/>
          </w:tcPr>
          <w:p>
            <w:pPr>
              <w:spacing w:after="0"/>
            </w:pPr>
            <w:r/>
            <w:r>
              <w:rPr>
                <w:sz w:val="13"/>
              </w:rPr>
              <w:t>bearer</w:t>
            </w:r>
          </w:p>
        </w:tc>
        <w:tc>
          <w:tcPr>
            <w:tcW w:type="dxa" w:w="3492"/>
          </w:tcPr>
          <w:p>
            <w:pPr>
              <w:spacing w:after="0"/>
            </w:pPr>
            <w:r/>
            <w:r>
              <w:rPr>
                <w:sz w:val="13"/>
              </w:rPr>
              <w:t>masterdata.categories.update</w:t>
            </w:r>
          </w:p>
        </w:tc>
      </w:tr>
      <w:tr>
        <w:trPr>
          <w:cantSplit/>
        </w:trPr>
        <w:tc>
          <w:tcPr>
            <w:tcW w:type="dxa" w:w="927"/>
          </w:tcPr>
          <w:p>
            <w:pPr>
              <w:spacing w:after="0"/>
            </w:pPr>
            <w:r/>
            <w:r>
              <w:rPr>
                <w:sz w:val="13"/>
              </w:rPr>
              <w:t>GET</w:t>
            </w:r>
          </w:p>
        </w:tc>
        <w:tc>
          <w:tcPr>
            <w:tcW w:type="dxa" w:w="4276"/>
          </w:tcPr>
          <w:p>
            <w:pPr>
              <w:spacing w:after="0"/>
            </w:pPr>
            <w:r/>
            <w:r>
              <w:rPr>
                <w:sz w:val="13"/>
              </w:rPr>
              <w:t>/api/v1/products</w:t>
            </w:r>
          </w:p>
        </w:tc>
        <w:tc>
          <w:tcPr>
            <w:tcW w:type="dxa" w:w="4561"/>
          </w:tcPr>
          <w:p>
            <w:pPr>
              <w:spacing w:after="0"/>
            </w:pPr>
            <w:r/>
            <w:r>
              <w:rPr>
                <w:sz w:val="13"/>
              </w:rPr>
              <w:t>List products (paginated)</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/api/v1/products</w:t>
            </w:r>
          </w:p>
        </w:tc>
        <w:tc>
          <w:tcPr>
            <w:tcW w:type="dxa" w:w="4561"/>
          </w:tcPr>
          <w:p>
            <w:pPr>
              <w:spacing w:after="0"/>
            </w:pPr>
            <w:r/>
            <w:r>
              <w:rPr>
                <w:sz w:val="13"/>
              </w:rPr>
              <w:t>Create a product</w:t>
            </w:r>
          </w:p>
        </w:tc>
        <w:tc>
          <w:tcPr>
            <w:tcW w:type="dxa" w:w="855"/>
          </w:tcPr>
          <w:p>
            <w:pPr>
              <w:spacing w:after="0"/>
            </w:pPr>
            <w:r/>
            <w:r>
              <w:rPr>
                <w:sz w:val="13"/>
              </w:rPr>
              <w:t>bearer</w:t>
            </w:r>
          </w:p>
        </w:tc>
        <w:tc>
          <w:tcPr>
            <w:tcW w:type="dxa" w:w="3492"/>
          </w:tcPr>
          <w:p>
            <w:pPr>
              <w:spacing w:after="0"/>
            </w:pPr>
            <w:r/>
            <w:r>
              <w:rPr>
                <w:sz w:val="13"/>
              </w:rPr>
              <w:t>masterdata.products.create</w:t>
            </w:r>
          </w:p>
        </w:tc>
      </w:tr>
      <w:tr>
        <w:trPr>
          <w:cantSplit/>
        </w:trPr>
        <w:tc>
          <w:tcPr>
            <w:tcW w:type="dxa" w:w="927"/>
          </w:tcPr>
          <w:p>
            <w:pPr>
              <w:spacing w:after="0"/>
            </w:pPr>
            <w:r/>
            <w:r>
              <w:rPr>
                <w:sz w:val="13"/>
              </w:rPr>
              <w:t>DELETE</w:t>
            </w:r>
          </w:p>
        </w:tc>
        <w:tc>
          <w:tcPr>
            <w:tcW w:type="dxa" w:w="4276"/>
          </w:tcPr>
          <w:p>
            <w:pPr>
              <w:spacing w:after="0"/>
            </w:pPr>
            <w:r/>
            <w:r>
              <w:rPr>
                <w:sz w:val="13"/>
              </w:rPr>
              <w:t>/api/v1/products/{id}</w:t>
            </w:r>
          </w:p>
        </w:tc>
        <w:tc>
          <w:tcPr>
            <w:tcW w:type="dxa" w:w="4561"/>
          </w:tcPr>
          <w:p>
            <w:pPr>
              <w:spacing w:after="0"/>
            </w:pPr>
            <w:r/>
            <w:r>
              <w:rPr>
                <w:sz w:val="13"/>
              </w:rPr>
              <w:t>Soft-delete a product</w:t>
            </w:r>
          </w:p>
        </w:tc>
        <w:tc>
          <w:tcPr>
            <w:tcW w:type="dxa" w:w="855"/>
          </w:tcPr>
          <w:p>
            <w:pPr>
              <w:spacing w:after="0"/>
            </w:pPr>
            <w:r/>
            <w:r>
              <w:rPr>
                <w:sz w:val="13"/>
              </w:rPr>
              <w:t>bearer</w:t>
            </w:r>
          </w:p>
        </w:tc>
        <w:tc>
          <w:tcPr>
            <w:tcW w:type="dxa" w:w="3492"/>
          </w:tcPr>
          <w:p>
            <w:pPr>
              <w:spacing w:after="0"/>
            </w:pPr>
            <w:r/>
            <w:r>
              <w:rPr>
                <w:sz w:val="13"/>
              </w:rPr>
              <w:t>masterdata.products.delete</w:t>
            </w:r>
          </w:p>
        </w:tc>
      </w:tr>
      <w:tr>
        <w:trPr>
          <w:cantSplit/>
        </w:trPr>
        <w:tc>
          <w:tcPr>
            <w:tcW w:type="dxa" w:w="927"/>
          </w:tcPr>
          <w:p>
            <w:pPr>
              <w:spacing w:after="0"/>
            </w:pPr>
            <w:r/>
            <w:r>
              <w:rPr>
                <w:sz w:val="13"/>
              </w:rPr>
              <w:t>GET</w:t>
            </w:r>
          </w:p>
        </w:tc>
        <w:tc>
          <w:tcPr>
            <w:tcW w:type="dxa" w:w="4276"/>
          </w:tcPr>
          <w:p>
            <w:pPr>
              <w:spacing w:after="0"/>
            </w:pPr>
            <w:r/>
            <w:r>
              <w:rPr>
                <w:sz w:val="13"/>
              </w:rPr>
              <w:t>/api/v1/products/{id}</w:t>
            </w:r>
          </w:p>
        </w:tc>
        <w:tc>
          <w:tcPr>
            <w:tcW w:type="dxa" w:w="4561"/>
          </w:tcPr>
          <w:p>
            <w:pPr>
              <w:spacing w:after="0"/>
            </w:pPr>
            <w:r/>
            <w:r>
              <w:rPr>
                <w:sz w:val="13"/>
              </w:rPr>
              <w:t>Get a product</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PUT</w:t>
            </w:r>
          </w:p>
        </w:tc>
        <w:tc>
          <w:tcPr>
            <w:tcW w:type="dxa" w:w="4276"/>
          </w:tcPr>
          <w:p>
            <w:pPr>
              <w:spacing w:after="0"/>
            </w:pPr>
            <w:r/>
            <w:r>
              <w:rPr>
                <w:sz w:val="13"/>
              </w:rPr>
              <w:t>/api/v1/products/{id}</w:t>
            </w:r>
          </w:p>
        </w:tc>
        <w:tc>
          <w:tcPr>
            <w:tcW w:type="dxa" w:w="4561"/>
          </w:tcPr>
          <w:p>
            <w:pPr>
              <w:spacing w:after="0"/>
            </w:pPr>
            <w:r/>
            <w:r>
              <w:rPr>
                <w:sz w:val="13"/>
              </w:rPr>
              <w:t>Update a product</w:t>
            </w:r>
          </w:p>
        </w:tc>
        <w:tc>
          <w:tcPr>
            <w:tcW w:type="dxa" w:w="855"/>
          </w:tcPr>
          <w:p>
            <w:pPr>
              <w:spacing w:after="0"/>
            </w:pPr>
            <w:r/>
            <w:r>
              <w:rPr>
                <w:sz w:val="13"/>
              </w:rPr>
              <w:t>bearer</w:t>
            </w:r>
          </w:p>
        </w:tc>
        <w:tc>
          <w:tcPr>
            <w:tcW w:type="dxa" w:w="3492"/>
          </w:tcPr>
          <w:p>
            <w:pPr>
              <w:spacing w:after="0"/>
            </w:pPr>
            <w:r/>
            <w:r>
              <w:rPr>
                <w:sz w:val="13"/>
              </w:rPr>
              <w:t>masterdata.products.update</w:t>
            </w:r>
          </w:p>
        </w:tc>
      </w:tr>
      <w:tr>
        <w:trPr>
          <w:cantSplit/>
        </w:trPr>
        <w:tc>
          <w:tcPr>
            <w:tcW w:type="dxa" w:w="927"/>
          </w:tcPr>
          <w:p>
            <w:pPr>
              <w:spacing w:after="0"/>
            </w:pPr>
            <w:r/>
            <w:r>
              <w:rPr>
                <w:sz w:val="13"/>
              </w:rPr>
              <w:t>GET</w:t>
            </w:r>
          </w:p>
        </w:tc>
        <w:tc>
          <w:tcPr>
            <w:tcW w:type="dxa" w:w="4276"/>
          </w:tcPr>
          <w:p>
            <w:pPr>
              <w:spacing w:after="0"/>
            </w:pPr>
            <w:r/>
            <w:r>
              <w:rPr>
                <w:sz w:val="13"/>
              </w:rPr>
              <w:t>/api/v1/products/{id}/barcodes</w:t>
            </w:r>
          </w:p>
        </w:tc>
        <w:tc>
          <w:tcPr>
            <w:tcW w:type="dxa" w:w="4561"/>
          </w:tcPr>
          <w:p>
            <w:pPr>
              <w:spacing w:after="0"/>
            </w:pPr>
            <w:r/>
            <w:r>
              <w:rPr>
                <w:sz w:val="13"/>
              </w:rPr>
              <w:t>List product barcodes</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/api/v1/products/{id}/barcodes</w:t>
            </w:r>
          </w:p>
        </w:tc>
        <w:tc>
          <w:tcPr>
            <w:tcW w:type="dxa" w:w="4561"/>
          </w:tcPr>
          <w:p>
            <w:pPr>
              <w:spacing w:after="0"/>
            </w:pPr>
            <w:r/>
            <w:r>
              <w:rPr>
                <w:sz w:val="13"/>
              </w:rPr>
              <w:t>Add a product barcode</w:t>
            </w:r>
          </w:p>
        </w:tc>
        <w:tc>
          <w:tcPr>
            <w:tcW w:type="dxa" w:w="855"/>
          </w:tcPr>
          <w:p>
            <w:pPr>
              <w:spacing w:after="0"/>
            </w:pPr>
            <w:r/>
            <w:r>
              <w:rPr>
                <w:sz w:val="13"/>
              </w:rPr>
              <w:t>bearer</w:t>
            </w:r>
          </w:p>
        </w:tc>
        <w:tc>
          <w:tcPr>
            <w:tcW w:type="dxa" w:w="3492"/>
          </w:tcPr>
          <w:p>
            <w:pPr>
              <w:spacing w:after="0"/>
            </w:pPr>
            <w:r/>
            <w:r>
              <w:rPr>
                <w:sz w:val="13"/>
              </w:rPr>
              <w:t>masterdata.products.barcodes.create</w:t>
            </w:r>
          </w:p>
        </w:tc>
      </w:tr>
      <w:tr>
        <w:trPr>
          <w:cantSplit/>
        </w:trPr>
        <w:tc>
          <w:tcPr>
            <w:tcW w:type="dxa" w:w="927"/>
          </w:tcPr>
          <w:p>
            <w:pPr>
              <w:spacing w:after="0"/>
            </w:pPr>
            <w:r/>
            <w:r>
              <w:rPr>
                <w:sz w:val="13"/>
              </w:rPr>
              <w:t>DELETE</w:t>
            </w:r>
          </w:p>
        </w:tc>
        <w:tc>
          <w:tcPr>
            <w:tcW w:type="dxa" w:w="4276"/>
          </w:tcPr>
          <w:p>
            <w:pPr>
              <w:spacing w:after="0"/>
            </w:pPr>
            <w:r/>
            <w:r>
              <w:rPr>
                <w:sz w:val="13"/>
              </w:rPr>
              <w:t>/api/v1/products/{id}/barcodes/{barcodeID}</w:t>
            </w:r>
          </w:p>
        </w:tc>
        <w:tc>
          <w:tcPr>
            <w:tcW w:type="dxa" w:w="4561"/>
          </w:tcPr>
          <w:p>
            <w:pPr>
              <w:spacing w:after="0"/>
            </w:pPr>
            <w:r/>
            <w:r>
              <w:rPr>
                <w:sz w:val="13"/>
              </w:rPr>
              <w:t>Remove a product barcode</w:t>
            </w:r>
          </w:p>
        </w:tc>
        <w:tc>
          <w:tcPr>
            <w:tcW w:type="dxa" w:w="855"/>
          </w:tcPr>
          <w:p>
            <w:pPr>
              <w:spacing w:after="0"/>
            </w:pPr>
            <w:r/>
            <w:r>
              <w:rPr>
                <w:sz w:val="13"/>
              </w:rPr>
              <w:t>bearer</w:t>
            </w:r>
          </w:p>
        </w:tc>
        <w:tc>
          <w:tcPr>
            <w:tcW w:type="dxa" w:w="3492"/>
          </w:tcPr>
          <w:p>
            <w:pPr>
              <w:spacing w:after="0"/>
            </w:pPr>
            <w:r/>
            <w:r>
              <w:rPr>
                <w:sz w:val="13"/>
              </w:rPr>
              <w:t>masterdata.products.barcodes.delete</w:t>
            </w:r>
          </w:p>
        </w:tc>
      </w:tr>
      <w:tr>
        <w:trPr>
          <w:cantSplit/>
        </w:trPr>
        <w:tc>
          <w:tcPr>
            <w:tcW w:type="dxa" w:w="927"/>
          </w:tcPr>
          <w:p>
            <w:pPr>
              <w:spacing w:after="0"/>
            </w:pPr>
            <w:r/>
            <w:r>
              <w:rPr>
                <w:sz w:val="13"/>
              </w:rPr>
              <w:t>GET</w:t>
            </w:r>
          </w:p>
        </w:tc>
        <w:tc>
          <w:tcPr>
            <w:tcW w:type="dxa" w:w="4276"/>
          </w:tcPr>
          <w:p>
            <w:pPr>
              <w:spacing w:after="0"/>
            </w:pPr>
            <w:r/>
            <w:r>
              <w:rPr>
                <w:sz w:val="13"/>
              </w:rPr>
              <w:t>/api/v1/products/{id}/units</w:t>
            </w:r>
          </w:p>
        </w:tc>
        <w:tc>
          <w:tcPr>
            <w:tcW w:type="dxa" w:w="4561"/>
          </w:tcPr>
          <w:p>
            <w:pPr>
              <w:spacing w:after="0"/>
            </w:pPr>
            <w:r/>
            <w:r>
              <w:rPr>
                <w:sz w:val="13"/>
              </w:rPr>
              <w:t>List configured selling units of a product</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/api/v1/products/{id}/units</w:t>
            </w:r>
          </w:p>
        </w:tc>
        <w:tc>
          <w:tcPr>
            <w:tcW w:type="dxa" w:w="4561"/>
          </w:tcPr>
          <w:p>
            <w:pPr>
              <w:spacing w:after="0"/>
            </w:pPr>
            <w:r/>
            <w:r>
              <w:rPr>
                <w:sz w:val="13"/>
              </w:rPr>
              <w:t>Configure a selling unit for a product</w:t>
            </w:r>
          </w:p>
        </w:tc>
        <w:tc>
          <w:tcPr>
            <w:tcW w:type="dxa" w:w="855"/>
          </w:tcPr>
          <w:p>
            <w:pPr>
              <w:spacing w:after="0"/>
            </w:pPr>
            <w:r/>
            <w:r>
              <w:rPr>
                <w:sz w:val="13"/>
              </w:rPr>
              <w:t>bearer</w:t>
            </w:r>
          </w:p>
        </w:tc>
        <w:tc>
          <w:tcPr>
            <w:tcW w:type="dxa" w:w="3492"/>
          </w:tcPr>
          <w:p>
            <w:pPr>
              <w:spacing w:after="0"/>
            </w:pPr>
            <w:r/>
            <w:r>
              <w:rPr>
                <w:sz w:val="13"/>
              </w:rPr>
              <w:t>masterdata.products.units.create</w:t>
            </w:r>
          </w:p>
        </w:tc>
      </w:tr>
      <w:tr>
        <w:trPr>
          <w:cantSplit/>
        </w:trPr>
        <w:tc>
          <w:tcPr>
            <w:tcW w:type="dxa" w:w="927"/>
          </w:tcPr>
          <w:p>
            <w:pPr>
              <w:spacing w:after="0"/>
            </w:pPr>
            <w:r/>
            <w:r>
              <w:rPr>
                <w:sz w:val="13"/>
              </w:rPr>
              <w:t>DELETE</w:t>
            </w:r>
          </w:p>
        </w:tc>
        <w:tc>
          <w:tcPr>
            <w:tcW w:type="dxa" w:w="4276"/>
          </w:tcPr>
          <w:p>
            <w:pPr>
              <w:spacing w:after="0"/>
            </w:pPr>
            <w:r/>
            <w:r>
              <w:rPr>
                <w:sz w:val="13"/>
              </w:rPr>
              <w:t>/api/v1/products/{id}/units/{unitConfigID}</w:t>
            </w:r>
          </w:p>
        </w:tc>
        <w:tc>
          <w:tcPr>
            <w:tcW w:type="dxa" w:w="4561"/>
          </w:tcPr>
          <w:p>
            <w:pPr>
              <w:spacing w:after="0"/>
            </w:pPr>
            <w:r/>
            <w:r>
              <w:rPr>
                <w:sz w:val="13"/>
              </w:rPr>
              <w:t>Remove a configured selling unit</w:t>
            </w:r>
          </w:p>
        </w:tc>
        <w:tc>
          <w:tcPr>
            <w:tcW w:type="dxa" w:w="855"/>
          </w:tcPr>
          <w:p>
            <w:pPr>
              <w:spacing w:after="0"/>
            </w:pPr>
            <w:r/>
            <w:r>
              <w:rPr>
                <w:sz w:val="13"/>
              </w:rPr>
              <w:t>bearer</w:t>
            </w:r>
          </w:p>
        </w:tc>
        <w:tc>
          <w:tcPr>
            <w:tcW w:type="dxa" w:w="3492"/>
          </w:tcPr>
          <w:p>
            <w:pPr>
              <w:spacing w:after="0"/>
            </w:pPr>
            <w:r/>
            <w:r>
              <w:rPr>
                <w:sz w:val="13"/>
              </w:rPr>
              <w:t>masterdata.products.units.delete</w:t>
            </w:r>
          </w:p>
        </w:tc>
      </w:tr>
      <w:tr>
        <w:trPr>
          <w:cantSplit/>
        </w:trPr>
        <w:tc>
          <w:tcPr>
            <w:tcW w:type="dxa" w:w="927"/>
          </w:tcPr>
          <w:p>
            <w:pPr>
              <w:spacing w:after="0"/>
            </w:pPr>
            <w:r/>
            <w:r>
              <w:rPr>
                <w:sz w:val="13"/>
              </w:rPr>
              <w:t>PUT</w:t>
            </w:r>
          </w:p>
        </w:tc>
        <w:tc>
          <w:tcPr>
            <w:tcW w:type="dxa" w:w="4276"/>
          </w:tcPr>
          <w:p>
            <w:pPr>
              <w:spacing w:after="0"/>
            </w:pPr>
            <w:r/>
            <w:r>
              <w:rPr>
                <w:sz w:val="13"/>
              </w:rPr>
              <w:t>/api/v1/products/{id}/units/{unitConfigID}</w:t>
            </w:r>
          </w:p>
        </w:tc>
        <w:tc>
          <w:tcPr>
            <w:tcW w:type="dxa" w:w="4561"/>
          </w:tcPr>
          <w:p>
            <w:pPr>
              <w:spacing w:after="0"/>
            </w:pPr>
            <w:r/>
            <w:r>
              <w:rPr>
                <w:sz w:val="13"/>
              </w:rPr>
              <w:t>Update a configured selling unit</w:t>
            </w:r>
          </w:p>
        </w:tc>
        <w:tc>
          <w:tcPr>
            <w:tcW w:type="dxa" w:w="855"/>
          </w:tcPr>
          <w:p>
            <w:pPr>
              <w:spacing w:after="0"/>
            </w:pPr>
            <w:r/>
            <w:r>
              <w:rPr>
                <w:sz w:val="13"/>
              </w:rPr>
              <w:t>bearer</w:t>
            </w:r>
          </w:p>
        </w:tc>
        <w:tc>
          <w:tcPr>
            <w:tcW w:type="dxa" w:w="3492"/>
          </w:tcPr>
          <w:p>
            <w:pPr>
              <w:spacing w:after="0"/>
            </w:pPr>
            <w:r/>
            <w:r>
              <w:rPr>
                <w:sz w:val="13"/>
              </w:rPr>
              <w:t>masterdata.products.units.update</w:t>
            </w:r>
          </w:p>
        </w:tc>
      </w:tr>
      <w:tr>
        <w:trPr>
          <w:cantSplit/>
        </w:trPr>
        <w:tc>
          <w:tcPr>
            <w:tcW w:type="dxa" w:w="927"/>
          </w:tcPr>
          <w:p>
            <w:pPr>
              <w:spacing w:after="0"/>
            </w:pPr>
            <w:r/>
            <w:r>
              <w:rPr>
                <w:sz w:val="13"/>
              </w:rPr>
              <w:t>GET</w:t>
            </w:r>
          </w:p>
        </w:tc>
        <w:tc>
          <w:tcPr>
            <w:tcW w:type="dxa" w:w="4276"/>
          </w:tcPr>
          <w:p>
            <w:pPr>
              <w:spacing w:after="0"/>
            </w:pPr>
            <w:r/>
            <w:r>
              <w:rPr>
                <w:sz w:val="13"/>
              </w:rPr>
              <w:t>/api/v1/units</w:t>
            </w:r>
          </w:p>
        </w:tc>
        <w:tc>
          <w:tcPr>
            <w:tcW w:type="dxa" w:w="4561"/>
          </w:tcPr>
          <w:p>
            <w:pPr>
              <w:spacing w:after="0"/>
            </w:pPr>
            <w:r/>
            <w:r>
              <w:rPr>
                <w:sz w:val="13"/>
              </w:rPr>
              <w:t>List units (static, no pagination)</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/api/v1/units</w:t>
            </w:r>
          </w:p>
        </w:tc>
        <w:tc>
          <w:tcPr>
            <w:tcW w:type="dxa" w:w="4561"/>
          </w:tcPr>
          <w:p>
            <w:pPr>
              <w:spacing w:after="0"/>
            </w:pPr>
            <w:r/>
            <w:r>
              <w:rPr>
                <w:sz w:val="13"/>
              </w:rPr>
              <w:t>Create a unit</w:t>
            </w:r>
          </w:p>
        </w:tc>
        <w:tc>
          <w:tcPr>
            <w:tcW w:type="dxa" w:w="855"/>
          </w:tcPr>
          <w:p>
            <w:pPr>
              <w:spacing w:after="0"/>
            </w:pPr>
            <w:r/>
            <w:r>
              <w:rPr>
                <w:sz w:val="13"/>
              </w:rPr>
              <w:t>bearer</w:t>
            </w:r>
          </w:p>
        </w:tc>
        <w:tc>
          <w:tcPr>
            <w:tcW w:type="dxa" w:w="3492"/>
          </w:tcPr>
          <w:p>
            <w:pPr>
              <w:spacing w:after="0"/>
            </w:pPr>
            <w:r/>
            <w:r>
              <w:rPr>
                <w:sz w:val="13"/>
              </w:rPr>
              <w:t>masterdata.units.create</w:t>
            </w:r>
          </w:p>
        </w:tc>
      </w:tr>
      <w:tr>
        <w:trPr>
          <w:cantSplit/>
        </w:trPr>
        <w:tc>
          <w:tcPr>
            <w:tcW w:type="dxa" w:w="927"/>
          </w:tcPr>
          <w:p>
            <w:pPr>
              <w:spacing w:after="0"/>
            </w:pPr>
            <w:r/>
            <w:r>
              <w:rPr>
                <w:sz w:val="13"/>
              </w:rPr>
              <w:t>DELETE</w:t>
            </w:r>
          </w:p>
        </w:tc>
        <w:tc>
          <w:tcPr>
            <w:tcW w:type="dxa" w:w="4276"/>
          </w:tcPr>
          <w:p>
            <w:pPr>
              <w:spacing w:after="0"/>
            </w:pPr>
            <w:r/>
            <w:r>
              <w:rPr>
                <w:sz w:val="13"/>
              </w:rPr>
              <w:t>/api/v1/units/{id}</w:t>
            </w:r>
          </w:p>
        </w:tc>
        <w:tc>
          <w:tcPr>
            <w:tcW w:type="dxa" w:w="4561"/>
          </w:tcPr>
          <w:p>
            <w:pPr>
              <w:spacing w:after="0"/>
            </w:pPr>
            <w:r/>
            <w:r>
              <w:rPr>
                <w:sz w:val="13"/>
              </w:rPr>
              <w:t>Delete a unit</w:t>
            </w:r>
          </w:p>
        </w:tc>
        <w:tc>
          <w:tcPr>
            <w:tcW w:type="dxa" w:w="855"/>
          </w:tcPr>
          <w:p>
            <w:pPr>
              <w:spacing w:after="0"/>
            </w:pPr>
            <w:r/>
            <w:r>
              <w:rPr>
                <w:sz w:val="13"/>
              </w:rPr>
              <w:t>bearer</w:t>
            </w:r>
          </w:p>
        </w:tc>
        <w:tc>
          <w:tcPr>
            <w:tcW w:type="dxa" w:w="3492"/>
          </w:tcPr>
          <w:p>
            <w:pPr>
              <w:spacing w:after="0"/>
            </w:pPr>
            <w:r/>
            <w:r>
              <w:rPr>
                <w:sz w:val="13"/>
              </w:rPr>
              <w:t>masterdata.units.delete</w:t>
            </w:r>
          </w:p>
        </w:tc>
      </w:tr>
      <w:tr>
        <w:trPr>
          <w:cantSplit/>
        </w:trPr>
        <w:tc>
          <w:tcPr>
            <w:tcW w:type="dxa" w:w="927"/>
          </w:tcPr>
          <w:p>
            <w:pPr>
              <w:spacing w:after="0"/>
            </w:pPr>
            <w:r/>
            <w:r>
              <w:rPr>
                <w:sz w:val="13"/>
              </w:rPr>
              <w:t>PUT</w:t>
            </w:r>
          </w:p>
        </w:tc>
        <w:tc>
          <w:tcPr>
            <w:tcW w:type="dxa" w:w="4276"/>
          </w:tcPr>
          <w:p>
            <w:pPr>
              <w:spacing w:after="0"/>
            </w:pPr>
            <w:r/>
            <w:r>
              <w:rPr>
                <w:sz w:val="13"/>
              </w:rPr>
              <w:t>/api/v1/units/{id}</w:t>
            </w:r>
          </w:p>
        </w:tc>
        <w:tc>
          <w:tcPr>
            <w:tcW w:type="dxa" w:w="4561"/>
          </w:tcPr>
          <w:p>
            <w:pPr>
              <w:spacing w:after="0"/>
            </w:pPr>
            <w:r/>
            <w:r>
              <w:rPr>
                <w:sz w:val="13"/>
              </w:rPr>
              <w:t>Update a unit</w:t>
            </w:r>
          </w:p>
        </w:tc>
        <w:tc>
          <w:tcPr>
            <w:tcW w:type="dxa" w:w="855"/>
          </w:tcPr>
          <w:p>
            <w:pPr>
              <w:spacing w:after="0"/>
            </w:pPr>
            <w:r/>
            <w:r>
              <w:rPr>
                <w:sz w:val="13"/>
              </w:rPr>
              <w:t>bearer</w:t>
            </w:r>
          </w:p>
        </w:tc>
        <w:tc>
          <w:tcPr>
            <w:tcW w:type="dxa" w:w="3492"/>
          </w:tcPr>
          <w:p>
            <w:pPr>
              <w:spacing w:after="0"/>
            </w:pPr>
            <w:r/>
            <w:r>
              <w:rPr>
                <w:sz w:val="13"/>
              </w:rPr>
              <w:t>masterdata.units.update</w:t>
            </w:r>
          </w:p>
        </w:tc>
      </w:tr>
    </w:tbl>
    <w:p>
      <w:bookmarkStart w:id="1247" w:name="_Toc1247"/>
      <w:pPr>
        <w:pStyle w:val="Heading3"/>
      </w:pPr>
      <w:r>
        <w:t>purchasing — 20 operations</w:t>
      </w:r>
      <w:bookmarkEnd w:id="1247"/>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/api/v1/goods-receipts</w:t>
            </w:r>
          </w:p>
        </w:tc>
        <w:tc>
          <w:tcPr>
            <w:tcW w:type="dxa" w:w="4561"/>
          </w:tcPr>
          <w:p>
            <w:pPr>
              <w:spacing w:after="0"/>
            </w:pPr>
            <w:r/>
            <w:r>
              <w:rPr>
                <w:sz w:val="13"/>
              </w:rPr>
              <w:t>List goods receipts</w:t>
            </w:r>
          </w:p>
        </w:tc>
        <w:tc>
          <w:tcPr>
            <w:tcW w:type="dxa" w:w="855"/>
          </w:tcPr>
          <w:p>
            <w:pPr>
              <w:spacing w:after="0"/>
            </w:pPr>
            <w:r/>
            <w:r>
              <w:rPr>
                <w:sz w:val="13"/>
              </w:rPr>
              <w:t>bearer</w:t>
            </w:r>
          </w:p>
        </w:tc>
        <w:tc>
          <w:tcPr>
            <w:tcW w:type="dxa" w:w="3492"/>
          </w:tcPr>
          <w:p>
            <w:pPr>
              <w:spacing w:after="0"/>
            </w:pPr>
            <w:r/>
            <w:r>
              <w:rPr>
                <w:sz w:val="13"/>
              </w:rPr>
              <w:t>purchasing.goods-receipts.view</w:t>
            </w:r>
          </w:p>
        </w:tc>
      </w:tr>
      <w:tr>
        <w:trPr>
          <w:cantSplit/>
        </w:trPr>
        <w:tc>
          <w:tcPr>
            <w:tcW w:type="dxa" w:w="927"/>
          </w:tcPr>
          <w:p>
            <w:pPr>
              <w:spacing w:after="0"/>
            </w:pPr>
            <w:r/>
            <w:r>
              <w:rPr>
                <w:sz w:val="13"/>
              </w:rPr>
              <w:t>POST</w:t>
            </w:r>
          </w:p>
        </w:tc>
        <w:tc>
          <w:tcPr>
            <w:tcW w:type="dxa" w:w="4276"/>
          </w:tcPr>
          <w:p>
            <w:pPr>
              <w:spacing w:after="0"/>
            </w:pPr>
            <w:r/>
            <w:r>
              <w:rPr>
                <w:sz w:val="13"/>
              </w:rPr>
              <w:t>/api/v1/goods-receipts</w:t>
            </w:r>
          </w:p>
        </w:tc>
        <w:tc>
          <w:tcPr>
            <w:tcW w:type="dxa" w:w="4561"/>
          </w:tcPr>
          <w:p>
            <w:pPr>
              <w:spacing w:after="0"/>
            </w:pPr>
            <w:r/>
            <w:r>
              <w:rPr>
                <w:sz w:val="13"/>
              </w:rPr>
              <w:t>Create a goods receipt (increments stock, updates PO status)</w:t>
            </w:r>
          </w:p>
        </w:tc>
        <w:tc>
          <w:tcPr>
            <w:tcW w:type="dxa" w:w="855"/>
          </w:tcPr>
          <w:p>
            <w:pPr>
              <w:spacing w:after="0"/>
            </w:pPr>
            <w:r/>
            <w:r>
              <w:rPr>
                <w:sz w:val="13"/>
              </w:rPr>
              <w:t>bearer</w:t>
            </w:r>
          </w:p>
        </w:tc>
        <w:tc>
          <w:tcPr>
            <w:tcW w:type="dxa" w:w="3492"/>
          </w:tcPr>
          <w:p>
            <w:pPr>
              <w:spacing w:after="0"/>
            </w:pPr>
            <w:r/>
            <w:r>
              <w:rPr>
                <w:sz w:val="13"/>
              </w:rPr>
              <w:t>purchasing.goods-receipts.create</w:t>
            </w:r>
          </w:p>
        </w:tc>
      </w:tr>
      <w:tr>
        <w:trPr>
          <w:cantSplit/>
        </w:trPr>
        <w:tc>
          <w:tcPr>
            <w:tcW w:type="dxa" w:w="927"/>
          </w:tcPr>
          <w:p>
            <w:pPr>
              <w:spacing w:after="0"/>
            </w:pPr>
            <w:r/>
            <w:r>
              <w:rPr>
                <w:sz w:val="13"/>
              </w:rPr>
              <w:t>GET</w:t>
            </w:r>
          </w:p>
        </w:tc>
        <w:tc>
          <w:tcPr>
            <w:tcW w:type="dxa" w:w="4276"/>
          </w:tcPr>
          <w:p>
            <w:pPr>
              <w:spacing w:after="0"/>
            </w:pPr>
            <w:r/>
            <w:r>
              <w:rPr>
                <w:sz w:val="13"/>
              </w:rPr>
              <w:t>/api/v1/goods-receipts/{id}</w:t>
            </w:r>
          </w:p>
        </w:tc>
        <w:tc>
          <w:tcPr>
            <w:tcW w:type="dxa" w:w="4561"/>
          </w:tcPr>
          <w:p>
            <w:pPr>
              <w:spacing w:after="0"/>
            </w:pPr>
            <w:r/>
            <w:r>
              <w:rPr>
                <w:sz w:val="13"/>
              </w:rPr>
              <w:t>Get a goods receipt with items</w:t>
            </w:r>
          </w:p>
        </w:tc>
        <w:tc>
          <w:tcPr>
            <w:tcW w:type="dxa" w:w="855"/>
          </w:tcPr>
          <w:p>
            <w:pPr>
              <w:spacing w:after="0"/>
            </w:pPr>
            <w:r/>
            <w:r>
              <w:rPr>
                <w:sz w:val="13"/>
              </w:rPr>
              <w:t>bearer</w:t>
            </w:r>
          </w:p>
        </w:tc>
        <w:tc>
          <w:tcPr>
            <w:tcW w:type="dxa" w:w="3492"/>
          </w:tcPr>
          <w:p>
            <w:pPr>
              <w:spacing w:after="0"/>
            </w:pPr>
            <w:r/>
            <w:r>
              <w:rPr>
                <w:sz w:val="13"/>
              </w:rPr>
              <w:t>purchasing.goods-receipts.view</w:t>
            </w:r>
          </w:p>
        </w:tc>
      </w:tr>
      <w:tr>
        <w:trPr>
          <w:cantSplit/>
        </w:trPr>
        <w:tc>
          <w:tcPr>
            <w:tcW w:type="dxa" w:w="927"/>
          </w:tcPr>
          <w:p>
            <w:pPr>
              <w:spacing w:after="0"/>
            </w:pPr>
            <w:r/>
            <w:r>
              <w:rPr>
                <w:sz w:val="13"/>
              </w:rPr>
              <w:t>GET</w:t>
            </w:r>
          </w:p>
        </w:tc>
        <w:tc>
          <w:tcPr>
            <w:tcW w:type="dxa" w:w="4276"/>
          </w:tcPr>
          <w:p>
            <w:pPr>
              <w:spacing w:after="0"/>
            </w:pPr>
            <w:r/>
            <w:r>
              <w:rPr>
                <w:sz w:val="13"/>
              </w:rPr>
              <w:t>/api/v1/purchase-orders</w:t>
            </w:r>
          </w:p>
        </w:tc>
        <w:tc>
          <w:tcPr>
            <w:tcW w:type="dxa" w:w="4561"/>
          </w:tcPr>
          <w:p>
            <w:pPr>
              <w:spacing w:after="0"/>
            </w:pPr>
            <w:r/>
            <w:r>
              <w:rPr>
                <w:sz w:val="13"/>
              </w:rPr>
              <w:t>List purchase orders</w:t>
            </w:r>
          </w:p>
        </w:tc>
        <w:tc>
          <w:tcPr>
            <w:tcW w:type="dxa" w:w="855"/>
          </w:tcPr>
          <w:p>
            <w:pPr>
              <w:spacing w:after="0"/>
            </w:pPr>
            <w:r/>
            <w:r>
              <w:rPr>
                <w:sz w:val="13"/>
              </w:rPr>
              <w:t>bearer</w:t>
            </w:r>
          </w:p>
        </w:tc>
        <w:tc>
          <w:tcPr>
            <w:tcW w:type="dxa" w:w="3492"/>
          </w:tcPr>
          <w:p>
            <w:pPr>
              <w:spacing w:after="0"/>
            </w:pPr>
            <w:r/>
            <w:r>
              <w:rPr>
                <w:sz w:val="13"/>
              </w:rPr>
              <w:t>purchasing.purchase-orders.view</w:t>
            </w:r>
          </w:p>
        </w:tc>
      </w:tr>
      <w:tr>
        <w:trPr>
          <w:cantSplit/>
        </w:trPr>
        <w:tc>
          <w:tcPr>
            <w:tcW w:type="dxa" w:w="927"/>
          </w:tcPr>
          <w:p>
            <w:pPr>
              <w:spacing w:after="0"/>
            </w:pPr>
            <w:r/>
            <w:r>
              <w:rPr>
                <w:sz w:val="13"/>
              </w:rPr>
              <w:t>POST</w:t>
            </w:r>
          </w:p>
        </w:tc>
        <w:tc>
          <w:tcPr>
            <w:tcW w:type="dxa" w:w="4276"/>
          </w:tcPr>
          <w:p>
            <w:pPr>
              <w:spacing w:after="0"/>
            </w:pPr>
            <w:r/>
            <w:r>
              <w:rPr>
                <w:sz w:val="13"/>
              </w:rPr>
              <w:t>/api/v1/purchase-orders</w:t>
            </w:r>
          </w:p>
        </w:tc>
        <w:tc>
          <w:tcPr>
            <w:tcW w:type="dxa" w:w="4561"/>
          </w:tcPr>
          <w:p>
            <w:pPr>
              <w:spacing w:after="0"/>
            </w:pPr>
            <w:r/>
            <w:r>
              <w:rPr>
                <w:sz w:val="13"/>
              </w:rPr>
              <w:t>Create a purchase order</w:t>
            </w:r>
          </w:p>
        </w:tc>
        <w:tc>
          <w:tcPr>
            <w:tcW w:type="dxa" w:w="855"/>
          </w:tcPr>
          <w:p>
            <w:pPr>
              <w:spacing w:after="0"/>
            </w:pPr>
            <w:r/>
            <w:r>
              <w:rPr>
                <w:sz w:val="13"/>
              </w:rPr>
              <w:t>bearer</w:t>
            </w:r>
          </w:p>
        </w:tc>
        <w:tc>
          <w:tcPr>
            <w:tcW w:type="dxa" w:w="3492"/>
          </w:tcPr>
          <w:p>
            <w:pPr>
              <w:spacing w:after="0"/>
            </w:pPr>
            <w:r/>
            <w:r>
              <w:rPr>
                <w:sz w:val="13"/>
              </w:rPr>
              <w:t>purchasing.purchase-orders.create</w:t>
            </w:r>
          </w:p>
        </w:tc>
      </w:tr>
      <w:tr>
        <w:trPr>
          <w:cantSplit/>
        </w:trPr>
        <w:tc>
          <w:tcPr>
            <w:tcW w:type="dxa" w:w="927"/>
          </w:tcPr>
          <w:p>
            <w:pPr>
              <w:spacing w:after="0"/>
            </w:pPr>
            <w:r/>
            <w:r>
              <w:rPr>
                <w:sz w:val="13"/>
              </w:rPr>
              <w:t>GET</w:t>
            </w:r>
          </w:p>
        </w:tc>
        <w:tc>
          <w:tcPr>
            <w:tcW w:type="dxa" w:w="4276"/>
          </w:tcPr>
          <w:p>
            <w:pPr>
              <w:spacing w:after="0"/>
            </w:pPr>
            <w:r/>
            <w:r>
              <w:rPr>
                <w:sz w:val="13"/>
              </w:rPr>
              <w:t>/api/v1/purchase-orders/debts</w:t>
            </w:r>
          </w:p>
        </w:tc>
        <w:tc>
          <w:tcPr>
            <w:tcW w:type="dxa" w:w="4561"/>
          </w:tcPr>
          <w:p>
            <w:pPr>
              <w:spacing w:after="0"/>
            </w:pPr>
            <w:r/>
            <w:r>
              <w:rPr>
                <w:sz w:val="13"/>
              </w:rPr>
              <w:t>List supplier debts (POs with remaining balance)</w:t>
            </w:r>
          </w:p>
        </w:tc>
        <w:tc>
          <w:tcPr>
            <w:tcW w:type="dxa" w:w="855"/>
          </w:tcPr>
          <w:p>
            <w:pPr>
              <w:spacing w:after="0"/>
            </w:pPr>
            <w:r/>
            <w:r>
              <w:rPr>
                <w:sz w:val="13"/>
              </w:rPr>
              <w:t>bearer</w:t>
            </w:r>
          </w:p>
        </w:tc>
        <w:tc>
          <w:tcPr>
            <w:tcW w:type="dxa" w:w="3492"/>
          </w:tcPr>
          <w:p>
            <w:pPr>
              <w:spacing w:after="0"/>
            </w:pPr>
            <w:r/>
            <w:r>
              <w:rPr>
                <w:sz w:val="13"/>
              </w:rPr>
              <w:t>purchasing.purchase-orders.view</w:t>
            </w:r>
          </w:p>
        </w:tc>
      </w:tr>
      <w:tr>
        <w:trPr>
          <w:cantSplit/>
        </w:trPr>
        <w:tc>
          <w:tcPr>
            <w:tcW w:type="dxa" w:w="927"/>
          </w:tcPr>
          <w:p>
            <w:pPr>
              <w:spacing w:after="0"/>
            </w:pPr>
            <w:r/>
            <w:r>
              <w:rPr>
                <w:sz w:val="13"/>
              </w:rPr>
              <w:t>DELETE</w:t>
            </w:r>
          </w:p>
        </w:tc>
        <w:tc>
          <w:tcPr>
            <w:tcW w:type="dxa" w:w="4276"/>
          </w:tcPr>
          <w:p>
            <w:pPr>
              <w:spacing w:after="0"/>
            </w:pPr>
            <w:r/>
            <w:r>
              <w:rPr>
                <w:sz w:val="13"/>
              </w:rPr>
              <w:t>/api/v1/purchase-orders/{id}</w:t>
            </w:r>
          </w:p>
        </w:tc>
        <w:tc>
          <w:tcPr>
            <w:tcW w:type="dxa" w:w="4561"/>
          </w:tcPr>
          <w:p>
            <w:pPr>
              <w:spacing w:after="0"/>
            </w:pPr>
            <w:r/>
            <w:r>
              <w:rPr>
                <w:sz w:val="13"/>
              </w:rPr>
              <w:t>Delete a draft purchase order</w:t>
            </w:r>
          </w:p>
        </w:tc>
        <w:tc>
          <w:tcPr>
            <w:tcW w:type="dxa" w:w="855"/>
          </w:tcPr>
          <w:p>
            <w:pPr>
              <w:spacing w:after="0"/>
            </w:pPr>
            <w:r/>
            <w:r>
              <w:rPr>
                <w:sz w:val="13"/>
              </w:rPr>
              <w:t>bearer</w:t>
            </w:r>
          </w:p>
        </w:tc>
        <w:tc>
          <w:tcPr>
            <w:tcW w:type="dxa" w:w="3492"/>
          </w:tcPr>
          <w:p>
            <w:pPr>
              <w:spacing w:after="0"/>
            </w:pPr>
            <w:r/>
            <w:r>
              <w:rPr>
                <w:sz w:val="13"/>
              </w:rPr>
              <w:t>purchasing.purchase-orders.delete</w:t>
            </w:r>
          </w:p>
        </w:tc>
      </w:tr>
      <w:tr>
        <w:trPr>
          <w:cantSplit/>
        </w:trPr>
        <w:tc>
          <w:tcPr>
            <w:tcW w:type="dxa" w:w="927"/>
          </w:tcPr>
          <w:p>
            <w:pPr>
              <w:spacing w:after="0"/>
            </w:pPr>
            <w:r/>
            <w:r>
              <w:rPr>
                <w:sz w:val="13"/>
              </w:rPr>
              <w:t>GET</w:t>
            </w:r>
          </w:p>
        </w:tc>
        <w:tc>
          <w:tcPr>
            <w:tcW w:type="dxa" w:w="4276"/>
          </w:tcPr>
          <w:p>
            <w:pPr>
              <w:spacing w:after="0"/>
            </w:pPr>
            <w:r/>
            <w:r>
              <w:rPr>
                <w:sz w:val="13"/>
              </w:rPr>
              <w:t>/api/v1/purchase-orders/{id}</w:t>
            </w:r>
          </w:p>
        </w:tc>
        <w:tc>
          <w:tcPr>
            <w:tcW w:type="dxa" w:w="4561"/>
          </w:tcPr>
          <w:p>
            <w:pPr>
              <w:spacing w:after="0"/>
            </w:pPr>
            <w:r/>
            <w:r>
              <w:rPr>
                <w:sz w:val="13"/>
              </w:rPr>
              <w:t>Get a purchase order with items</w:t>
            </w:r>
          </w:p>
        </w:tc>
        <w:tc>
          <w:tcPr>
            <w:tcW w:type="dxa" w:w="855"/>
          </w:tcPr>
          <w:p>
            <w:pPr>
              <w:spacing w:after="0"/>
            </w:pPr>
            <w:r/>
            <w:r>
              <w:rPr>
                <w:sz w:val="13"/>
              </w:rPr>
              <w:t>bearer</w:t>
            </w:r>
          </w:p>
        </w:tc>
        <w:tc>
          <w:tcPr>
            <w:tcW w:type="dxa" w:w="3492"/>
          </w:tcPr>
          <w:p>
            <w:pPr>
              <w:spacing w:after="0"/>
            </w:pPr>
            <w:r/>
            <w:r>
              <w:rPr>
                <w:sz w:val="13"/>
              </w:rPr>
              <w:t>purchasing.purchase-orders.view</w:t>
            </w:r>
          </w:p>
        </w:tc>
      </w:tr>
      <w:tr>
        <w:trPr>
          <w:cantSplit/>
        </w:trPr>
        <w:tc>
          <w:tcPr>
            <w:tcW w:type="dxa" w:w="927"/>
          </w:tcPr>
          <w:p>
            <w:pPr>
              <w:spacing w:after="0"/>
            </w:pPr>
            <w:r/>
            <w:r>
              <w:rPr>
                <w:sz w:val="13"/>
              </w:rPr>
              <w:t>PUT</w:t>
            </w:r>
          </w:p>
        </w:tc>
        <w:tc>
          <w:tcPr>
            <w:tcW w:type="dxa" w:w="4276"/>
          </w:tcPr>
          <w:p>
            <w:pPr>
              <w:spacing w:after="0"/>
            </w:pPr>
            <w:r/>
            <w:r>
              <w:rPr>
                <w:sz w:val="13"/>
              </w:rPr>
              <w:t>/api/v1/purchase-orders/{id}</w:t>
            </w:r>
          </w:p>
        </w:tc>
        <w:tc>
          <w:tcPr>
            <w:tcW w:type="dxa" w:w="4561"/>
          </w:tcPr>
          <w:p>
            <w:pPr>
              <w:spacing w:after="0"/>
            </w:pPr>
            <w:r/>
            <w:r>
              <w:rPr>
                <w:sz w:val="13"/>
              </w:rPr>
              <w:t>Update a draft purchase order</w:t>
            </w:r>
          </w:p>
        </w:tc>
        <w:tc>
          <w:tcPr>
            <w:tcW w:type="dxa" w:w="855"/>
          </w:tcPr>
          <w:p>
            <w:pPr>
              <w:spacing w:after="0"/>
            </w:pPr>
            <w:r/>
            <w:r>
              <w:rPr>
                <w:sz w:val="13"/>
              </w:rPr>
              <w:t>bearer</w:t>
            </w:r>
          </w:p>
        </w:tc>
        <w:tc>
          <w:tcPr>
            <w:tcW w:type="dxa" w:w="3492"/>
          </w:tcPr>
          <w:p>
            <w:pPr>
              <w:spacing w:after="0"/>
            </w:pPr>
            <w:r/>
            <w:r>
              <w:rPr>
                <w:sz w:val="13"/>
              </w:rPr>
              <w:t>purchasing.purchase-orders.update</w:t>
            </w:r>
          </w:p>
        </w:tc>
      </w:tr>
      <w:tr>
        <w:trPr>
          <w:cantSplit/>
        </w:trPr>
        <w:tc>
          <w:tcPr>
            <w:tcW w:type="dxa" w:w="927"/>
          </w:tcPr>
          <w:p>
            <w:pPr>
              <w:spacing w:after="0"/>
            </w:pPr>
            <w:r/>
            <w:r>
              <w:rPr>
                <w:sz w:val="13"/>
              </w:rPr>
              <w:t>POST</w:t>
            </w:r>
          </w:p>
        </w:tc>
        <w:tc>
          <w:tcPr>
            <w:tcW w:type="dxa" w:w="4276"/>
          </w:tcPr>
          <w:p>
            <w:pPr>
              <w:spacing w:after="0"/>
            </w:pPr>
            <w:r/>
            <w:r>
              <w:rPr>
                <w:sz w:val="13"/>
              </w:rPr>
              <w:t>/api/v1/purchase-orders/{id}/approve</w:t>
            </w:r>
          </w:p>
        </w:tc>
        <w:tc>
          <w:tcPr>
            <w:tcW w:type="dxa" w:w="4561"/>
          </w:tcPr>
          <w:p>
            <w:pPr>
              <w:spacing w:after="0"/>
            </w:pPr>
            <w:r/>
            <w:r>
              <w:rPr>
                <w:sz w:val="13"/>
              </w:rPr>
              <w:t>Approve a purchase order (draft -&gt; approved)</w:t>
            </w:r>
          </w:p>
        </w:tc>
        <w:tc>
          <w:tcPr>
            <w:tcW w:type="dxa" w:w="855"/>
          </w:tcPr>
          <w:p>
            <w:pPr>
              <w:spacing w:after="0"/>
            </w:pPr>
            <w:r/>
            <w:r>
              <w:rPr>
                <w:sz w:val="13"/>
              </w:rPr>
              <w:t>bearer</w:t>
            </w:r>
          </w:p>
        </w:tc>
        <w:tc>
          <w:tcPr>
            <w:tcW w:type="dxa" w:w="3492"/>
          </w:tcPr>
          <w:p>
            <w:pPr>
              <w:spacing w:after="0"/>
            </w:pPr>
            <w:r/>
            <w:r>
              <w:rPr>
                <w:sz w:val="13"/>
              </w:rPr>
              <w:t>purchasing.purchase-orders.approve</w:t>
            </w:r>
          </w:p>
        </w:tc>
      </w:tr>
      <w:tr>
        <w:trPr>
          <w:cantSplit/>
        </w:trPr>
        <w:tc>
          <w:tcPr>
            <w:tcW w:type="dxa" w:w="927"/>
          </w:tcPr>
          <w:p>
            <w:pPr>
              <w:spacing w:after="0"/>
            </w:pPr>
            <w:r/>
            <w:r>
              <w:rPr>
                <w:sz w:val="13"/>
              </w:rPr>
              <w:t>POST</w:t>
            </w:r>
          </w:p>
        </w:tc>
        <w:tc>
          <w:tcPr>
            <w:tcW w:type="dxa" w:w="4276"/>
          </w:tcPr>
          <w:p>
            <w:pPr>
              <w:spacing w:after="0"/>
            </w:pPr>
            <w:r/>
            <w:r>
              <w:rPr>
                <w:sz w:val="13"/>
              </w:rPr>
              <w:t>/api/v1/purchase-orders/{id}/cancel</w:t>
            </w:r>
          </w:p>
        </w:tc>
        <w:tc>
          <w:tcPr>
            <w:tcW w:type="dxa" w:w="4561"/>
          </w:tcPr>
          <w:p>
            <w:pPr>
              <w:spacing w:after="0"/>
            </w:pPr>
            <w:r/>
            <w:r>
              <w:rPr>
                <w:sz w:val="13"/>
              </w:rPr>
              <w:t>Cancel a purchase order</w:t>
            </w:r>
          </w:p>
        </w:tc>
        <w:tc>
          <w:tcPr>
            <w:tcW w:type="dxa" w:w="855"/>
          </w:tcPr>
          <w:p>
            <w:pPr>
              <w:spacing w:after="0"/>
            </w:pPr>
            <w:r/>
            <w:r>
              <w:rPr>
                <w:sz w:val="13"/>
              </w:rPr>
              <w:t>bearer</w:t>
            </w:r>
          </w:p>
        </w:tc>
        <w:tc>
          <w:tcPr>
            <w:tcW w:type="dxa" w:w="3492"/>
          </w:tcPr>
          <w:p>
            <w:pPr>
              <w:spacing w:after="0"/>
            </w:pPr>
            <w:r/>
            <w:r>
              <w:rPr>
                <w:sz w:val="13"/>
              </w:rPr>
              <w:t>purchasing.purchase-orders.cancel</w:t>
            </w:r>
          </w:p>
        </w:tc>
      </w:tr>
      <w:tr>
        <w:trPr>
          <w:cantSplit/>
        </w:trPr>
        <w:tc>
          <w:tcPr>
            <w:tcW w:type="dxa" w:w="927"/>
          </w:tcPr>
          <w:p>
            <w:pPr>
              <w:spacing w:after="0"/>
            </w:pPr>
            <w:r/>
            <w:r>
              <w:rPr>
                <w:sz w:val="13"/>
              </w:rPr>
              <w:t>POST</w:t>
            </w:r>
          </w:p>
        </w:tc>
        <w:tc>
          <w:tcPr>
            <w:tcW w:type="dxa" w:w="4276"/>
          </w:tcPr>
          <w:p>
            <w:pPr>
              <w:spacing w:after="0"/>
            </w:pPr>
            <w:r/>
            <w:r>
              <w:rPr>
                <w:sz w:val="13"/>
              </w:rPr>
              <w:t>/api/v1/purchase-orders/{id}/pay</w:t>
            </w:r>
          </w:p>
        </w:tc>
        <w:tc>
          <w:tcPr>
            <w:tcW w:type="dxa" w:w="4561"/>
          </w:tcPr>
          <w:p>
            <w:pPr>
              <w:spacing w:after="0"/>
            </w:pPr>
            <w:r/>
            <w:r>
              <w:rPr>
                <w:sz w:val="13"/>
              </w:rPr>
              <w:t>Pay supplier debt for a purchase order</w:t>
            </w:r>
          </w:p>
        </w:tc>
        <w:tc>
          <w:tcPr>
            <w:tcW w:type="dxa" w:w="855"/>
          </w:tcPr>
          <w:p>
            <w:pPr>
              <w:spacing w:after="0"/>
            </w:pPr>
            <w:r/>
            <w:r>
              <w:rPr>
                <w:sz w:val="13"/>
              </w:rPr>
              <w:t>bearer</w:t>
            </w:r>
          </w:p>
        </w:tc>
        <w:tc>
          <w:tcPr>
            <w:tcW w:type="dxa" w:w="3492"/>
          </w:tcPr>
          <w:p>
            <w:pPr>
              <w:spacing w:after="0"/>
            </w:pPr>
            <w:r/>
            <w:r>
              <w:rPr>
                <w:sz w:val="13"/>
              </w:rPr>
              <w:t>purchasing.purchase-orders.pay</w:t>
            </w:r>
          </w:p>
        </w:tc>
      </w:tr>
      <w:tr>
        <w:trPr>
          <w:cantSplit/>
        </w:trPr>
        <w:tc>
          <w:tcPr>
            <w:tcW w:type="dxa" w:w="927"/>
          </w:tcPr>
          <w:p>
            <w:pPr>
              <w:spacing w:after="0"/>
            </w:pPr>
            <w:r/>
            <w:r>
              <w:rPr>
                <w:sz w:val="13"/>
              </w:rPr>
              <w:t>GET</w:t>
            </w:r>
          </w:p>
        </w:tc>
        <w:tc>
          <w:tcPr>
            <w:tcW w:type="dxa" w:w="4276"/>
          </w:tcPr>
          <w:p>
            <w:pPr>
              <w:spacing w:after="0"/>
            </w:pPr>
            <w:r/>
            <w:r>
              <w:rPr>
                <w:sz w:val="13"/>
              </w:rPr>
              <w:t>/api/v1/purchase-orders/{id}/print</w:t>
            </w:r>
          </w:p>
        </w:tc>
        <w:tc>
          <w:tcPr>
            <w:tcW w:type="dxa" w:w="4561"/>
          </w:tcPr>
          <w:p>
            <w:pPr>
              <w:spacing w:after="0"/>
            </w:pPr>
            <w:r/>
            <w:r>
              <w:rPr>
                <w:sz w:val="13"/>
              </w:rPr>
              <w:t>Print purchase order document</w:t>
            </w:r>
          </w:p>
        </w:tc>
        <w:tc>
          <w:tcPr>
            <w:tcW w:type="dxa" w:w="855"/>
          </w:tcPr>
          <w:p>
            <w:pPr>
              <w:spacing w:after="0"/>
            </w:pPr>
            <w:r/>
            <w:r>
              <w:rPr>
                <w:sz w:val="13"/>
              </w:rPr>
              <w:t>bearer</w:t>
            </w:r>
          </w:p>
        </w:tc>
        <w:tc>
          <w:tcPr>
            <w:tcW w:type="dxa" w:w="3492"/>
          </w:tcPr>
          <w:p>
            <w:pPr>
              <w:spacing w:after="0"/>
            </w:pPr>
            <w:r/>
            <w:r>
              <w:rPr>
                <w:sz w:val="13"/>
              </w:rPr>
              <w:t>purchasing.purchase-orders.view</w:t>
            </w:r>
          </w:p>
        </w:tc>
      </w:tr>
      <w:tr>
        <w:trPr>
          <w:cantSplit/>
        </w:trPr>
        <w:tc>
          <w:tcPr>
            <w:tcW w:type="dxa" w:w="927"/>
          </w:tcPr>
          <w:p>
            <w:pPr>
              <w:spacing w:after="0"/>
            </w:pPr>
            <w:r/>
            <w:r>
              <w:rPr>
                <w:sz w:val="13"/>
              </w:rPr>
              <w:t>GET</w:t>
            </w:r>
          </w:p>
        </w:tc>
        <w:tc>
          <w:tcPr>
            <w:tcW w:type="dxa" w:w="4276"/>
          </w:tcPr>
          <w:p>
            <w:pPr>
              <w:spacing w:after="0"/>
            </w:pPr>
            <w:r/>
            <w:r>
              <w:rPr>
                <w:sz w:val="13"/>
              </w:rPr>
              <w:t>/api/v1/vouchers</w:t>
            </w:r>
          </w:p>
        </w:tc>
        <w:tc>
          <w:tcPr>
            <w:tcW w:type="dxa" w:w="4561"/>
          </w:tcPr>
          <w:p>
            <w:pPr>
              <w:spacing w:after="0"/>
            </w:pPr>
            <w:r/>
            <w:r>
              <w:rPr>
                <w:sz w:val="13"/>
              </w:rPr>
              <w:t>List vouchers</w:t>
            </w:r>
          </w:p>
        </w:tc>
        <w:tc>
          <w:tcPr>
            <w:tcW w:type="dxa" w:w="855"/>
          </w:tcPr>
          <w:p>
            <w:pPr>
              <w:spacing w:after="0"/>
            </w:pPr>
            <w:r/>
            <w:r>
              <w:rPr>
                <w:sz w:val="13"/>
              </w:rPr>
              <w:t>bearer</w:t>
            </w:r>
          </w:p>
        </w:tc>
        <w:tc>
          <w:tcPr>
            <w:tcW w:type="dxa" w:w="3492"/>
          </w:tcPr>
          <w:p>
            <w:pPr>
              <w:spacing w:after="0"/>
            </w:pPr>
            <w:r/>
            <w:r>
              <w:rPr>
                <w:sz w:val="13"/>
              </w:rPr>
              <w:t>purchasing.vouchers.view</w:t>
            </w:r>
          </w:p>
        </w:tc>
      </w:tr>
      <w:tr>
        <w:trPr>
          <w:cantSplit/>
        </w:trPr>
        <w:tc>
          <w:tcPr>
            <w:tcW w:type="dxa" w:w="927"/>
          </w:tcPr>
          <w:p>
            <w:pPr>
              <w:spacing w:after="0"/>
            </w:pPr>
            <w:r/>
            <w:r>
              <w:rPr>
                <w:sz w:val="13"/>
              </w:rPr>
              <w:t>POST</w:t>
            </w:r>
          </w:p>
        </w:tc>
        <w:tc>
          <w:tcPr>
            <w:tcW w:type="dxa" w:w="4276"/>
          </w:tcPr>
          <w:p>
            <w:pPr>
              <w:spacing w:after="0"/>
            </w:pPr>
            <w:r/>
            <w:r>
              <w:rPr>
                <w:sz w:val="13"/>
              </w:rPr>
              <w:t>/api/v1/vouchers</w:t>
            </w:r>
          </w:p>
        </w:tc>
        <w:tc>
          <w:tcPr>
            <w:tcW w:type="dxa" w:w="4561"/>
          </w:tcPr>
          <w:p>
            <w:pPr>
              <w:spacing w:after="0"/>
            </w:pPr>
            <w:r/>
            <w:r>
              <w:rPr>
                <w:sz w:val="13"/>
              </w:rPr>
              <w:t>Create a voucher</w:t>
            </w:r>
          </w:p>
        </w:tc>
        <w:tc>
          <w:tcPr>
            <w:tcW w:type="dxa" w:w="855"/>
          </w:tcPr>
          <w:p>
            <w:pPr>
              <w:spacing w:after="0"/>
            </w:pPr>
            <w:r/>
            <w:r>
              <w:rPr>
                <w:sz w:val="13"/>
              </w:rPr>
              <w:t>bearer</w:t>
            </w:r>
          </w:p>
        </w:tc>
        <w:tc>
          <w:tcPr>
            <w:tcW w:type="dxa" w:w="3492"/>
          </w:tcPr>
          <w:p>
            <w:pPr>
              <w:spacing w:after="0"/>
            </w:pPr>
            <w:r/>
            <w:r>
              <w:rPr>
                <w:sz w:val="13"/>
              </w:rPr>
              <w:t>purchasing.vouchers.create</w:t>
            </w:r>
          </w:p>
        </w:tc>
      </w:tr>
      <w:tr>
        <w:trPr>
          <w:cantSplit/>
        </w:trPr>
        <w:tc>
          <w:tcPr>
            <w:tcW w:type="dxa" w:w="927"/>
          </w:tcPr>
          <w:p>
            <w:pPr>
              <w:spacing w:after="0"/>
            </w:pPr>
            <w:r/>
            <w:r>
              <w:rPr>
                <w:sz w:val="13"/>
              </w:rPr>
              <w:t>GET</w:t>
            </w:r>
          </w:p>
        </w:tc>
        <w:tc>
          <w:tcPr>
            <w:tcW w:type="dxa" w:w="4276"/>
          </w:tcPr>
          <w:p>
            <w:pPr>
              <w:spacing w:after="0"/>
            </w:pPr>
            <w:r/>
            <w:r>
              <w:rPr>
                <w:sz w:val="13"/>
              </w:rPr>
              <w:t>/api/v1/vouchers/{id}</w:t>
            </w:r>
          </w:p>
        </w:tc>
        <w:tc>
          <w:tcPr>
            <w:tcW w:type="dxa" w:w="4561"/>
          </w:tcPr>
          <w:p>
            <w:pPr>
              <w:spacing w:after="0"/>
            </w:pPr>
            <w:r/>
            <w:r>
              <w:rPr>
                <w:sz w:val="13"/>
              </w:rPr>
              <w:t>Get a voucher</w:t>
            </w:r>
          </w:p>
        </w:tc>
        <w:tc>
          <w:tcPr>
            <w:tcW w:type="dxa" w:w="855"/>
          </w:tcPr>
          <w:p>
            <w:pPr>
              <w:spacing w:after="0"/>
            </w:pPr>
            <w:r/>
            <w:r>
              <w:rPr>
                <w:sz w:val="13"/>
              </w:rPr>
              <w:t>bearer</w:t>
            </w:r>
          </w:p>
        </w:tc>
        <w:tc>
          <w:tcPr>
            <w:tcW w:type="dxa" w:w="3492"/>
          </w:tcPr>
          <w:p>
            <w:pPr>
              <w:spacing w:after="0"/>
            </w:pPr>
            <w:r/>
            <w:r>
              <w:rPr>
                <w:sz w:val="13"/>
              </w:rPr>
              <w:t>purchasing.vouchers.view</w:t>
            </w:r>
          </w:p>
        </w:tc>
      </w:tr>
      <w:tr>
        <w:trPr>
          <w:cantSplit/>
        </w:trPr>
        <w:tc>
          <w:tcPr>
            <w:tcW w:type="dxa" w:w="927"/>
          </w:tcPr>
          <w:p>
            <w:pPr>
              <w:spacing w:after="0"/>
            </w:pPr>
            <w:r/>
            <w:r>
              <w:rPr>
                <w:sz w:val="13"/>
              </w:rPr>
              <w:t>PUT</w:t>
            </w:r>
          </w:p>
        </w:tc>
        <w:tc>
          <w:tcPr>
            <w:tcW w:type="dxa" w:w="4276"/>
          </w:tcPr>
          <w:p>
            <w:pPr>
              <w:spacing w:after="0"/>
            </w:pPr>
            <w:r/>
            <w:r>
              <w:rPr>
                <w:sz w:val="13"/>
              </w:rPr>
              <w:t>/api/v1/vouchers/{id}</w:t>
            </w:r>
          </w:p>
        </w:tc>
        <w:tc>
          <w:tcPr>
            <w:tcW w:type="dxa" w:w="4561"/>
          </w:tcPr>
          <w:p>
            <w:pPr>
              <w:spacing w:after="0"/>
            </w:pPr>
            <w:r/>
            <w:r>
              <w:rPr>
                <w:sz w:val="13"/>
              </w:rPr>
              <w:t>Update a voucher</w:t>
            </w:r>
          </w:p>
        </w:tc>
        <w:tc>
          <w:tcPr>
            <w:tcW w:type="dxa" w:w="855"/>
          </w:tcPr>
          <w:p>
            <w:pPr>
              <w:spacing w:after="0"/>
            </w:pPr>
            <w:r/>
            <w:r>
              <w:rPr>
                <w:sz w:val="13"/>
              </w:rPr>
              <w:t>bearer</w:t>
            </w:r>
          </w:p>
        </w:tc>
        <w:tc>
          <w:tcPr>
            <w:tcW w:type="dxa" w:w="3492"/>
          </w:tcPr>
          <w:p>
            <w:pPr>
              <w:spacing w:after="0"/>
            </w:pPr>
            <w:r/>
            <w:r>
              <w:rPr>
                <w:sz w:val="13"/>
              </w:rPr>
              <w:t>purchasing.vouchers.update</w:t>
            </w:r>
          </w:p>
        </w:tc>
      </w:tr>
      <w:tr>
        <w:trPr>
          <w:cantSplit/>
        </w:trPr>
        <w:tc>
          <w:tcPr>
            <w:tcW w:type="dxa" w:w="927"/>
          </w:tcPr>
          <w:p>
            <w:pPr>
              <w:spacing w:after="0"/>
            </w:pPr>
            <w:r/>
            <w:r>
              <w:rPr>
                <w:sz w:val="13"/>
              </w:rPr>
              <w:t>POST</w:t>
            </w:r>
          </w:p>
        </w:tc>
        <w:tc>
          <w:tcPr>
            <w:tcW w:type="dxa" w:w="4276"/>
          </w:tcPr>
          <w:p>
            <w:pPr>
              <w:spacing w:after="0"/>
            </w:pPr>
            <w:r/>
            <w:r>
              <w:rPr>
                <w:sz w:val="13"/>
              </w:rPr>
              <w:t>/api/v1/vouchers/{id}/print</w:t>
            </w:r>
          </w:p>
        </w:tc>
        <w:tc>
          <w:tcPr>
            <w:tcW w:type="dxa" w:w="4561"/>
          </w:tcPr>
          <w:p>
            <w:pPr>
              <w:spacing w:after="0"/>
            </w:pPr>
            <w:r/>
            <w:r>
              <w:rPr>
                <w:sz w:val="13"/>
              </w:rPr>
              <w:t>Record a voucher print (idempotent audit mark, never blocks reprint)</w:t>
            </w:r>
          </w:p>
        </w:tc>
        <w:tc>
          <w:tcPr>
            <w:tcW w:type="dxa" w:w="855"/>
          </w:tcPr>
          <w:p>
            <w:pPr>
              <w:spacing w:after="0"/>
            </w:pPr>
            <w:r/>
            <w:r>
              <w:rPr>
                <w:sz w:val="13"/>
              </w:rPr>
              <w:t>bearer</w:t>
            </w:r>
          </w:p>
        </w:tc>
        <w:tc>
          <w:tcPr>
            <w:tcW w:type="dxa" w:w="3492"/>
          </w:tcPr>
          <w:p>
            <w:pPr>
              <w:spacing w:after="0"/>
            </w:pPr>
            <w:r/>
            <w:r>
              <w:rPr>
                <w:sz w:val="13"/>
              </w:rPr>
              <w:t>purchasing.vouchers.create</w:t>
            </w:r>
          </w:p>
        </w:tc>
      </w:tr>
      <w:tr>
        <w:trPr>
          <w:cantSplit/>
        </w:trPr>
        <w:tc>
          <w:tcPr>
            <w:tcW w:type="dxa" w:w="927"/>
          </w:tcPr>
          <w:p>
            <w:pPr>
              <w:spacing w:after="0"/>
            </w:pPr>
            <w:r/>
            <w:r>
              <w:rPr>
                <w:sz w:val="13"/>
              </w:rPr>
              <w:t>PATCH</w:t>
            </w:r>
          </w:p>
        </w:tc>
        <w:tc>
          <w:tcPr>
            <w:tcW w:type="dxa" w:w="4276"/>
          </w:tcPr>
          <w:p>
            <w:pPr>
              <w:spacing w:after="0"/>
            </w:pPr>
            <w:r/>
            <w:r>
              <w:rPr>
                <w:sz w:val="13"/>
              </w:rPr>
              <w:t>/api/v1/vouchers/{id}/status</w:t>
            </w:r>
          </w:p>
        </w:tc>
        <w:tc>
          <w:tcPr>
            <w:tcW w:type="dxa" w:w="4561"/>
          </w:tcPr>
          <w:p>
            <w:pPr>
              <w:spacing w:after="0"/>
            </w:pPr>
            <w:r/>
            <w:r>
              <w:rPr>
                <w:sz w:val="13"/>
              </w:rPr>
              <w:t>Update voucher status</w:t>
            </w:r>
          </w:p>
        </w:tc>
        <w:tc>
          <w:tcPr>
            <w:tcW w:type="dxa" w:w="855"/>
          </w:tcPr>
          <w:p>
            <w:pPr>
              <w:spacing w:after="0"/>
            </w:pPr>
            <w:r/>
            <w:r>
              <w:rPr>
                <w:sz w:val="13"/>
              </w:rPr>
              <w:t>bearer</w:t>
            </w:r>
          </w:p>
        </w:tc>
        <w:tc>
          <w:tcPr>
            <w:tcW w:type="dxa" w:w="3492"/>
          </w:tcPr>
          <w:p>
            <w:pPr>
              <w:spacing w:after="0"/>
            </w:pPr>
            <w:r/>
            <w:r>
              <w:rPr>
                <w:sz w:val="13"/>
              </w:rPr>
              <w:t>purchasing.vouchers.update</w:t>
            </w:r>
          </w:p>
        </w:tc>
      </w:tr>
      <w:tr>
        <w:trPr>
          <w:cantSplit/>
        </w:trPr>
        <w:tc>
          <w:tcPr>
            <w:tcW w:type="dxa" w:w="927"/>
          </w:tcPr>
          <w:p>
            <w:pPr>
              <w:spacing w:after="0"/>
            </w:pPr>
            <w:r/>
            <w:r>
              <w:rPr>
                <w:sz w:val="13"/>
              </w:rPr>
              <w:t>PUT</w:t>
            </w:r>
          </w:p>
        </w:tc>
        <w:tc>
          <w:tcPr>
            <w:tcW w:type="dxa" w:w="4276"/>
          </w:tcPr>
          <w:p>
            <w:pPr>
              <w:spacing w:after="0"/>
            </w:pPr>
            <w:r/>
            <w:r>
              <w:rPr>
                <w:sz w:val="13"/>
              </w:rPr>
              <w:t>/api/v1/vouchers/{id}/status</w:t>
            </w:r>
          </w:p>
        </w:tc>
        <w:tc>
          <w:tcPr>
            <w:tcW w:type="dxa" w:w="4561"/>
          </w:tcPr>
          <w:p>
            <w:pPr>
              <w:spacing w:after="0"/>
            </w:pPr>
            <w:r/>
            <w:r>
              <w:rPr>
                <w:sz w:val="13"/>
              </w:rPr>
              <w:t>Update voucher status</w:t>
            </w:r>
          </w:p>
        </w:tc>
        <w:tc>
          <w:tcPr>
            <w:tcW w:type="dxa" w:w="855"/>
          </w:tcPr>
          <w:p>
            <w:pPr>
              <w:spacing w:after="0"/>
            </w:pPr>
            <w:r/>
            <w:r>
              <w:rPr>
                <w:sz w:val="13"/>
              </w:rPr>
              <w:t>bearer</w:t>
            </w:r>
          </w:p>
        </w:tc>
        <w:tc>
          <w:tcPr>
            <w:tcW w:type="dxa" w:w="3492"/>
          </w:tcPr>
          <w:p>
            <w:pPr>
              <w:spacing w:after="0"/>
            </w:pPr>
            <w:r/>
            <w:r>
              <w:rPr>
                <w:sz w:val="13"/>
              </w:rPr>
              <w:t>purchasing.vouchers.update</w:t>
            </w:r>
          </w:p>
        </w:tc>
      </w:tr>
    </w:tbl>
    <w:p>
      <w:bookmarkStart w:id="1248" w:name="_Toc1248"/>
      <w:pPr>
        <w:pStyle w:val="Heading3"/>
      </w:pPr>
      <w:r>
        <w:t>reports — 34 operations</w:t>
      </w:r>
      <w:bookmarkEnd w:id="1248"/>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/api/v1/dashboard/charts</w:t>
            </w:r>
          </w:p>
        </w:tc>
        <w:tc>
          <w:tcPr>
            <w:tcW w:type="dxa" w:w="4561"/>
          </w:tcPr>
          <w:p>
            <w:pPr>
              <w:spacing w:after="0"/>
            </w:pPr>
            <w:r/>
            <w:r>
              <w:rPr>
                <w:sz w:val="13"/>
              </w:rPr>
              <w:t>Dashboard charts</w:t>
            </w:r>
          </w:p>
        </w:tc>
        <w:tc>
          <w:tcPr>
            <w:tcW w:type="dxa" w:w="855"/>
          </w:tcPr>
          <w:p>
            <w:pPr>
              <w:spacing w:after="0"/>
            </w:pPr>
            <w:r/>
            <w:r>
              <w:rPr>
                <w:sz w:val="13"/>
              </w:rPr>
              <w:t>bearer</w:t>
            </w:r>
          </w:p>
        </w:tc>
        <w:tc>
          <w:tcPr>
            <w:tcW w:type="dxa" w:w="3492"/>
          </w:tcPr>
          <w:p>
            <w:pPr>
              <w:spacing w:after="0"/>
            </w:pPr>
            <w:r/>
            <w:r>
              <w:rPr>
                <w:sz w:val="13"/>
              </w:rPr>
              <w:t>dashboard.view</w:t>
            </w:r>
          </w:p>
        </w:tc>
      </w:tr>
      <w:tr>
        <w:trPr>
          <w:cantSplit/>
        </w:trPr>
        <w:tc>
          <w:tcPr>
            <w:tcW w:type="dxa" w:w="927"/>
          </w:tcPr>
          <w:p>
            <w:pPr>
              <w:spacing w:after="0"/>
            </w:pPr>
            <w:r/>
            <w:r>
              <w:rPr>
                <w:sz w:val="13"/>
              </w:rPr>
              <w:t>GET</w:t>
            </w:r>
          </w:p>
        </w:tc>
        <w:tc>
          <w:tcPr>
            <w:tcW w:type="dxa" w:w="4276"/>
          </w:tcPr>
          <w:p>
            <w:pPr>
              <w:spacing w:after="0"/>
            </w:pPr>
            <w:r/>
            <w:r>
              <w:rPr>
                <w:sz w:val="13"/>
              </w:rPr>
              <w:t>/api/v1/dashboard/kpis</w:t>
            </w:r>
          </w:p>
        </w:tc>
        <w:tc>
          <w:tcPr>
            <w:tcW w:type="dxa" w:w="4561"/>
          </w:tcPr>
          <w:p>
            <w:pPr>
              <w:spacing w:after="0"/>
            </w:pPr>
            <w:r/>
            <w:r>
              <w:rPr>
                <w:sz w:val="13"/>
              </w:rPr>
              <w:t>Dashboard KPIs</w:t>
            </w:r>
          </w:p>
        </w:tc>
        <w:tc>
          <w:tcPr>
            <w:tcW w:type="dxa" w:w="855"/>
          </w:tcPr>
          <w:p>
            <w:pPr>
              <w:spacing w:after="0"/>
            </w:pPr>
            <w:r/>
            <w:r>
              <w:rPr>
                <w:sz w:val="13"/>
              </w:rPr>
              <w:t>bearer</w:t>
            </w:r>
          </w:p>
        </w:tc>
        <w:tc>
          <w:tcPr>
            <w:tcW w:type="dxa" w:w="3492"/>
          </w:tcPr>
          <w:p>
            <w:pPr>
              <w:spacing w:after="0"/>
            </w:pPr>
            <w:r/>
            <w:r>
              <w:rPr>
                <w:sz w:val="13"/>
              </w:rPr>
              <w:t>dashboard.view</w:t>
            </w:r>
          </w:p>
        </w:tc>
      </w:tr>
      <w:tr>
        <w:trPr>
          <w:cantSplit/>
        </w:trPr>
        <w:tc>
          <w:tcPr>
            <w:tcW w:type="dxa" w:w="927"/>
          </w:tcPr>
          <w:p>
            <w:pPr>
              <w:spacing w:after="0"/>
            </w:pPr>
            <w:r/>
            <w:r>
              <w:rPr>
                <w:sz w:val="13"/>
              </w:rPr>
              <w:t>GET</w:t>
            </w:r>
          </w:p>
        </w:tc>
        <w:tc>
          <w:tcPr>
            <w:tcW w:type="dxa" w:w="4276"/>
          </w:tcPr>
          <w:p>
            <w:pPr>
              <w:spacing w:after="0"/>
            </w:pPr>
            <w:r/>
            <w:r>
              <w:rPr>
                <w:sz w:val="13"/>
              </w:rPr>
              <w:t>/api/v1/dashboard/outlet</w:t>
            </w:r>
          </w:p>
        </w:tc>
        <w:tc>
          <w:tcPr>
            <w:tcW w:type="dxa" w:w="4561"/>
          </w:tcPr>
          <w:p>
            <w:pPr>
              <w:spacing w:after="0"/>
            </w:pPr>
            <w:r/>
            <w:r>
              <w:rPr>
                <w:sz w:val="13"/>
              </w:rPr>
              <w:t>Kepala toko outlet cockpit</w:t>
            </w:r>
          </w:p>
        </w:tc>
        <w:tc>
          <w:tcPr>
            <w:tcW w:type="dxa" w:w="855"/>
          </w:tcPr>
          <w:p>
            <w:pPr>
              <w:spacing w:after="0"/>
            </w:pPr>
            <w:r/>
            <w:r>
              <w:rPr>
                <w:sz w:val="13"/>
              </w:rPr>
              <w:t>bearer</w:t>
            </w:r>
          </w:p>
        </w:tc>
        <w:tc>
          <w:tcPr>
            <w:tcW w:type="dxa" w:w="3492"/>
          </w:tcPr>
          <w:p>
            <w:pPr>
              <w:spacing w:after="0"/>
            </w:pPr>
            <w:r/>
            <w:r>
              <w:rPr>
                <w:sz w:val="13"/>
              </w:rPr>
              <w:t>dashboard.pos.view</w:t>
            </w:r>
          </w:p>
        </w:tc>
      </w:tr>
      <w:tr>
        <w:trPr>
          <w:cantSplit/>
        </w:trPr>
        <w:tc>
          <w:tcPr>
            <w:tcW w:type="dxa" w:w="927"/>
          </w:tcPr>
          <w:p>
            <w:pPr>
              <w:spacing w:after="0"/>
            </w:pPr>
            <w:r/>
            <w:r>
              <w:rPr>
                <w:sz w:val="13"/>
              </w:rPr>
              <w:t>GET</w:t>
            </w:r>
          </w:p>
        </w:tc>
        <w:tc>
          <w:tcPr>
            <w:tcW w:type="dxa" w:w="4276"/>
          </w:tcPr>
          <w:p>
            <w:pPr>
              <w:spacing w:after="0"/>
            </w:pPr>
            <w:r/>
            <w:r>
              <w:rPr>
                <w:sz w:val="13"/>
              </w:rPr>
              <w:t>/api/v1/dashboard/pos</w:t>
            </w:r>
          </w:p>
        </w:tc>
        <w:tc>
          <w:tcPr>
            <w:tcW w:type="dxa" w:w="4561"/>
          </w:tcPr>
          <w:p>
            <w:pPr>
              <w:spacing w:after="0"/>
            </w:pPr>
            <w:r/>
            <w:r>
              <w:rPr>
                <w:sz w:val="13"/>
              </w:rPr>
              <w:t>POS home dashboard</w:t>
            </w:r>
          </w:p>
        </w:tc>
        <w:tc>
          <w:tcPr>
            <w:tcW w:type="dxa" w:w="855"/>
          </w:tcPr>
          <w:p>
            <w:pPr>
              <w:spacing w:after="0"/>
            </w:pPr>
            <w:r/>
            <w:r>
              <w:rPr>
                <w:sz w:val="13"/>
              </w:rPr>
              <w:t>bearer</w:t>
            </w:r>
          </w:p>
        </w:tc>
        <w:tc>
          <w:tcPr>
            <w:tcW w:type="dxa" w:w="3492"/>
          </w:tcPr>
          <w:p>
            <w:pPr>
              <w:spacing w:after="0"/>
            </w:pPr>
            <w:r/>
            <w:r>
              <w:rPr>
                <w:sz w:val="13"/>
              </w:rPr>
              <w:t>dashboard.pos.view</w:t>
            </w:r>
          </w:p>
        </w:tc>
      </w:tr>
      <w:tr>
        <w:trPr>
          <w:cantSplit/>
        </w:trPr>
        <w:tc>
          <w:tcPr>
            <w:tcW w:type="dxa" w:w="927"/>
          </w:tcPr>
          <w:p>
            <w:pPr>
              <w:spacing w:after="0"/>
            </w:pPr>
            <w:r/>
            <w:r>
              <w:rPr>
                <w:sz w:val="13"/>
              </w:rPr>
              <w:t>GET</w:t>
            </w:r>
          </w:p>
        </w:tc>
        <w:tc>
          <w:tcPr>
            <w:tcW w:type="dxa" w:w="4276"/>
          </w:tcPr>
          <w:p>
            <w:pPr>
              <w:spacing w:after="0"/>
            </w:pPr>
            <w:r/>
            <w:r>
              <w:rPr>
                <w:sz w:val="13"/>
              </w:rPr>
              <w:t>/api/v1/reports/analytics</w:t>
            </w:r>
          </w:p>
        </w:tc>
        <w:tc>
          <w:tcPr>
            <w:tcW w:type="dxa" w:w="4561"/>
          </w:tcPr>
          <w:p>
            <w:pPr>
              <w:spacing w:after="0"/>
            </w:pPr>
            <w:r/>
            <w:r>
              <w:rPr>
                <w:sz w:val="13"/>
              </w:rPr>
              <w:t>Admin analytics data</w:t>
            </w:r>
          </w:p>
        </w:tc>
        <w:tc>
          <w:tcPr>
            <w:tcW w:type="dxa" w:w="855"/>
          </w:tcPr>
          <w:p>
            <w:pPr>
              <w:spacing w:after="0"/>
            </w:pPr>
            <w:r/>
            <w:r>
              <w:rPr>
                <w:sz w:val="13"/>
              </w:rPr>
              <w:t>bearer</w:t>
            </w:r>
          </w:p>
        </w:tc>
        <w:tc>
          <w:tcPr>
            <w:tcW w:type="dxa" w:w="3492"/>
          </w:tcPr>
          <w:p>
            <w:pPr>
              <w:spacing w:after="0"/>
            </w:pPr>
            <w:r/>
            <w:r>
              <w:rPr>
                <w:sz w:val="13"/>
              </w:rPr>
              <w:t>finance.reports.view</w:t>
            </w:r>
          </w:p>
        </w:tc>
      </w:tr>
      <w:tr>
        <w:trPr>
          <w:cantSplit/>
        </w:trPr>
        <w:tc>
          <w:tcPr>
            <w:tcW w:type="dxa" w:w="927"/>
          </w:tcPr>
          <w:p>
            <w:pPr>
              <w:spacing w:after="0"/>
            </w:pPr>
            <w:r/>
            <w:r>
              <w:rPr>
                <w:sz w:val="13"/>
              </w:rPr>
              <w:t>GET</w:t>
            </w:r>
          </w:p>
        </w:tc>
        <w:tc>
          <w:tcPr>
            <w:tcW w:type="dxa" w:w="4276"/>
          </w:tcPr>
          <w:p>
            <w:pPr>
              <w:spacing w:after="0"/>
            </w:pPr>
            <w:r/>
            <w:r>
              <w:rPr>
                <w:sz w:val="13"/>
              </w:rPr>
              <w:t>/api/v1/reports/balance-sheet</w:t>
            </w:r>
          </w:p>
        </w:tc>
        <w:tc>
          <w:tcPr>
            <w:tcW w:type="dxa" w:w="4561"/>
          </w:tcPr>
          <w:p>
            <w:pPr>
              <w:spacing w:after="0"/>
            </w:pPr>
            <w:r/>
            <w:r>
              <w:rPr>
                <w:sz w:val="13"/>
              </w:rPr>
              <w:t>Balance sheet snapshot (assets, liabilities, equity)</w:t>
            </w:r>
          </w:p>
        </w:tc>
        <w:tc>
          <w:tcPr>
            <w:tcW w:type="dxa" w:w="855"/>
          </w:tcPr>
          <w:p>
            <w:pPr>
              <w:spacing w:after="0"/>
            </w:pPr>
            <w:r/>
            <w:r>
              <w:rPr>
                <w:sz w:val="13"/>
              </w:rPr>
              <w:t>bearer</w:t>
            </w:r>
          </w:p>
        </w:tc>
        <w:tc>
          <w:tcPr>
            <w:tcW w:type="dxa" w:w="3492"/>
          </w:tcPr>
          <w:p>
            <w:pPr>
              <w:spacing w:after="0"/>
            </w:pPr>
            <w:r/>
            <w:r>
              <w:rPr>
                <w:sz w:val="13"/>
              </w:rPr>
              <w:t>finance.reports.view</w:t>
            </w:r>
          </w:p>
        </w:tc>
      </w:tr>
      <w:tr>
        <w:trPr>
          <w:cantSplit/>
        </w:trPr>
        <w:tc>
          <w:tcPr>
            <w:tcW w:type="dxa" w:w="927"/>
          </w:tcPr>
          <w:p>
            <w:pPr>
              <w:spacing w:after="0"/>
            </w:pPr>
            <w:r/>
            <w:r>
              <w:rPr>
                <w:sz w:val="13"/>
              </w:rPr>
              <w:t>GET</w:t>
            </w:r>
          </w:p>
        </w:tc>
        <w:tc>
          <w:tcPr>
            <w:tcW w:type="dxa" w:w="4276"/>
          </w:tcPr>
          <w:p>
            <w:pPr>
              <w:spacing w:after="0"/>
            </w:pPr>
            <w:r/>
            <w:r>
              <w:rPr>
                <w:sz w:val="13"/>
              </w:rPr>
              <w:t>/api/v1/reports/cashflow</w:t>
            </w:r>
          </w:p>
        </w:tc>
        <w:tc>
          <w:tcPr>
            <w:tcW w:type="dxa" w:w="4561"/>
          </w:tcPr>
          <w:p>
            <w:pPr>
              <w:spacing w:after="0"/>
            </w:pPr>
            <w:r/>
            <w:r>
              <w:rPr>
                <w:sz w:val="13"/>
              </w:rPr>
              <w:t>Cashflow report (CSV)</w:t>
            </w:r>
          </w:p>
        </w:tc>
        <w:tc>
          <w:tcPr>
            <w:tcW w:type="dxa" w:w="855"/>
          </w:tcPr>
          <w:p>
            <w:pPr>
              <w:spacing w:after="0"/>
            </w:pPr>
            <w:r/>
            <w:r>
              <w:rPr>
                <w:sz w:val="13"/>
              </w:rPr>
              <w:t>bearer</w:t>
            </w:r>
          </w:p>
        </w:tc>
        <w:tc>
          <w:tcPr>
            <w:tcW w:type="dxa" w:w="3492"/>
          </w:tcPr>
          <w:p>
            <w:pPr>
              <w:spacing w:after="0"/>
            </w:pPr>
            <w:r/>
            <w:r>
              <w:rPr>
                <w:sz w:val="13"/>
              </w:rPr>
              <w:t>finance.cashflows.export</w:t>
            </w:r>
          </w:p>
        </w:tc>
      </w:tr>
      <w:tr>
        <w:trPr>
          <w:cantSplit/>
        </w:trPr>
        <w:tc>
          <w:tcPr>
            <w:tcW w:type="dxa" w:w="927"/>
          </w:tcPr>
          <w:p>
            <w:pPr>
              <w:spacing w:after="0"/>
            </w:pPr>
            <w:r/>
            <w:r>
              <w:rPr>
                <w:sz w:val="13"/>
              </w:rPr>
              <w:t>GET</w:t>
            </w:r>
          </w:p>
        </w:tc>
        <w:tc>
          <w:tcPr>
            <w:tcW w:type="dxa" w:w="4276"/>
          </w:tcPr>
          <w:p>
            <w:pPr>
              <w:spacing w:after="0"/>
            </w:pPr>
            <w:r/>
            <w:r>
              <w:rPr>
                <w:sz w:val="13"/>
              </w:rPr>
              <w:t>/api/v1/reports/cashflow-statement</w:t>
            </w:r>
          </w:p>
        </w:tc>
        <w:tc>
          <w:tcPr>
            <w:tcW w:type="dxa" w:w="4561"/>
          </w:tcPr>
          <w:p>
            <w:pPr>
              <w:spacing w:after="0"/>
            </w:pPr>
            <w:r/>
            <w:r>
              <w:rPr>
                <w:sz w:val="13"/>
              </w:rPr>
              <w:t>Journal-derived cash-flow statement (operating / investing / financing) for a calendar year. Distinct from /reports/cashflow, which is a flat row export over payments, purchase orders and manual entries and has no notion of a section.</w:t>
            </w:r>
          </w:p>
        </w:tc>
        <w:tc>
          <w:tcPr>
            <w:tcW w:type="dxa" w:w="855"/>
          </w:tcPr>
          <w:p>
            <w:pPr>
              <w:spacing w:after="0"/>
            </w:pPr>
            <w:r/>
            <w:r>
              <w:rPr>
                <w:sz w:val="13"/>
              </w:rPr>
              <w:t>bearer</w:t>
            </w:r>
          </w:p>
        </w:tc>
        <w:tc>
          <w:tcPr>
            <w:tcW w:type="dxa" w:w="3492"/>
          </w:tcPr>
          <w:p>
            <w:pPr>
              <w:spacing w:after="0"/>
            </w:pPr>
            <w:r/>
            <w:r>
              <w:rPr>
                <w:sz w:val="13"/>
              </w:rPr>
              <w:t>finance.reports.view</w:t>
            </w:r>
          </w:p>
        </w:tc>
      </w:tr>
      <w:tr>
        <w:trPr>
          <w:cantSplit/>
        </w:trPr>
        <w:tc>
          <w:tcPr>
            <w:tcW w:type="dxa" w:w="927"/>
          </w:tcPr>
          <w:p>
            <w:pPr>
              <w:spacing w:after="0"/>
            </w:pPr>
            <w:r/>
            <w:r>
              <w:rPr>
                <w:sz w:val="13"/>
              </w:rPr>
              <w:t>GET</w:t>
            </w:r>
          </w:p>
        </w:tc>
        <w:tc>
          <w:tcPr>
            <w:tcW w:type="dxa" w:w="4276"/>
          </w:tcPr>
          <w:p>
            <w:pPr>
              <w:spacing w:after="0"/>
            </w:pPr>
            <w:r/>
            <w:r>
              <w:rPr>
                <w:sz w:val="13"/>
              </w:rPr>
              <w:t>/api/v1/reports/debts</w:t>
            </w:r>
          </w:p>
        </w:tc>
        <w:tc>
          <w:tcPr>
            <w:tcW w:type="dxa" w:w="4561"/>
          </w:tcPr>
          <w:p>
            <w:pPr>
              <w:spacing w:after="0"/>
            </w:pPr>
            <w:r/>
            <w:r>
              <w:rPr>
                <w:sz w:val="13"/>
              </w:rPr>
              <w:t>Export supplier debts CSV</w:t>
            </w:r>
          </w:p>
        </w:tc>
        <w:tc>
          <w:tcPr>
            <w:tcW w:type="dxa" w:w="855"/>
          </w:tcPr>
          <w:p>
            <w:pPr>
              <w:spacing w:after="0"/>
            </w:pPr>
            <w:r/>
            <w:r>
              <w:rPr>
                <w:sz w:val="13"/>
              </w:rPr>
              <w:t>bearer</w:t>
            </w:r>
          </w:p>
        </w:tc>
        <w:tc>
          <w:tcPr>
            <w:tcW w:type="dxa" w:w="3492"/>
          </w:tcPr>
          <w:p>
            <w:pPr>
              <w:spacing w:after="0"/>
            </w:pPr>
            <w:r/>
            <w:r>
              <w:rPr>
                <w:sz w:val="13"/>
              </w:rPr>
              <w:t>purchasing.debts.export</w:t>
            </w:r>
          </w:p>
        </w:tc>
      </w:tr>
      <w:tr>
        <w:trPr>
          <w:cantSplit/>
        </w:trPr>
        <w:tc>
          <w:tcPr>
            <w:tcW w:type="dxa" w:w="927"/>
          </w:tcPr>
          <w:p>
            <w:pPr>
              <w:spacing w:after="0"/>
            </w:pPr>
            <w:r/>
            <w:r>
              <w:rPr>
                <w:sz w:val="13"/>
              </w:rPr>
              <w:t>GET</w:t>
            </w:r>
          </w:p>
        </w:tc>
        <w:tc>
          <w:tcPr>
            <w:tcW w:type="dxa" w:w="4276"/>
          </w:tcPr>
          <w:p>
            <w:pPr>
              <w:spacing w:after="0"/>
            </w:pPr>
            <w:r/>
            <w:r>
              <w:rPr>
                <w:sz w:val="13"/>
              </w:rPr>
              <w:t>/api/v1/reports/definitions</w:t>
            </w:r>
          </w:p>
        </w:tc>
        <w:tc>
          <w:tcPr>
            <w:tcW w:type="dxa" w:w="4561"/>
          </w:tcPr>
          <w:p>
            <w:pPr>
              <w:spacing w:after="0"/>
            </w:pPr>
            <w:r/>
            <w:r>
              <w:rPr>
                <w:sz w:val="13"/>
              </w:rPr>
              <w:t>List registered report definitions</w:t>
            </w:r>
          </w:p>
        </w:tc>
        <w:tc>
          <w:tcPr>
            <w:tcW w:type="dxa" w:w="855"/>
          </w:tcPr>
          <w:p>
            <w:pPr>
              <w:spacing w:after="0"/>
            </w:pPr>
            <w:r/>
            <w:r>
              <w:rPr>
                <w:sz w:val="13"/>
              </w:rPr>
              <w:t>bearer</w:t>
            </w:r>
          </w:p>
        </w:tc>
        <w:tc>
          <w:tcPr>
            <w:tcW w:type="dxa" w:w="3492"/>
          </w:tcPr>
          <w:p>
            <w:pPr>
              <w:spacing w:after="0"/>
            </w:pPr>
            <w:r/>
            <w:r>
              <w:rPr>
                <w:sz w:val="13"/>
              </w:rPr>
              <w:t>system.reports.view</w:t>
            </w:r>
          </w:p>
        </w:tc>
      </w:tr>
      <w:tr>
        <w:trPr>
          <w:cantSplit/>
        </w:trPr>
        <w:tc>
          <w:tcPr>
            <w:tcW w:type="dxa" w:w="927"/>
          </w:tcPr>
          <w:p>
            <w:pPr>
              <w:spacing w:after="0"/>
            </w:pPr>
            <w:r/>
            <w:r>
              <w:rPr>
                <w:sz w:val="13"/>
              </w:rPr>
              <w:t>GET</w:t>
            </w:r>
          </w:p>
        </w:tc>
        <w:tc>
          <w:tcPr>
            <w:tcW w:type="dxa" w:w="4276"/>
          </w:tcPr>
          <w:p>
            <w:pPr>
              <w:spacing w:after="0"/>
            </w:pPr>
            <w:r/>
            <w:r>
              <w:rPr>
                <w:sz w:val="13"/>
              </w:rPr>
              <w:t>/api/v1/reports/definitions/{code}</w:t>
            </w:r>
          </w:p>
        </w:tc>
        <w:tc>
          <w:tcPr>
            <w:tcW w:type="dxa" w:w="4561"/>
          </w:tcPr>
          <w:p>
            <w:pPr>
              <w:spacing w:after="0"/>
            </w:pPr>
            <w:r/>
            <w:r>
              <w:rPr>
                <w:sz w:val="13"/>
              </w:rPr>
              <w:t>Get registered report definition</w:t>
            </w:r>
          </w:p>
        </w:tc>
        <w:tc>
          <w:tcPr>
            <w:tcW w:type="dxa" w:w="855"/>
          </w:tcPr>
          <w:p>
            <w:pPr>
              <w:spacing w:after="0"/>
            </w:pPr>
            <w:r/>
            <w:r>
              <w:rPr>
                <w:sz w:val="13"/>
              </w:rPr>
              <w:t>bearer</w:t>
            </w:r>
          </w:p>
        </w:tc>
        <w:tc>
          <w:tcPr>
            <w:tcW w:type="dxa" w:w="3492"/>
          </w:tcPr>
          <w:p>
            <w:pPr>
              <w:spacing w:after="0"/>
            </w:pPr>
            <w:r/>
            <w:r>
              <w:rPr>
                <w:sz w:val="13"/>
              </w:rPr>
              <w:t>system.reports.view</w:t>
            </w:r>
          </w:p>
        </w:tc>
      </w:tr>
      <w:tr>
        <w:trPr>
          <w:cantSplit/>
        </w:trPr>
        <w:tc>
          <w:tcPr>
            <w:tcW w:type="dxa" w:w="927"/>
          </w:tcPr>
          <w:p>
            <w:pPr>
              <w:spacing w:after="0"/>
            </w:pPr>
            <w:r/>
            <w:r>
              <w:rPr>
                <w:sz w:val="13"/>
              </w:rPr>
              <w:t>GET</w:t>
            </w:r>
          </w:p>
        </w:tc>
        <w:tc>
          <w:tcPr>
            <w:tcW w:type="dxa" w:w="4276"/>
          </w:tcPr>
          <w:p>
            <w:pPr>
              <w:spacing w:after="0"/>
            </w:pPr>
            <w:r/>
            <w:r>
              <w:rPr>
                <w:sz w:val="13"/>
              </w:rPr>
              <w:t>/api/v1/reports/fakturisasi</w:t>
            </w:r>
          </w:p>
        </w:tc>
        <w:tc>
          <w:tcPr>
            <w:tcW w:type="dxa" w:w="4561"/>
          </w:tcPr>
          <w:p>
            <w:pPr>
              <w:spacing w:after="0"/>
            </w:pPr>
            <w:r/>
            <w:r>
              <w:rPr>
                <w:sz w:val="13"/>
              </w:rPr>
              <w:t>Fakturisasi / invoice receivable totals</w:t>
            </w:r>
          </w:p>
        </w:tc>
        <w:tc>
          <w:tcPr>
            <w:tcW w:type="dxa" w:w="855"/>
          </w:tcPr>
          <w:p>
            <w:pPr>
              <w:spacing w:after="0"/>
            </w:pPr>
            <w:r/>
            <w:r>
              <w:rPr>
                <w:sz w:val="13"/>
              </w:rPr>
              <w:t>bearer</w:t>
            </w:r>
          </w:p>
        </w:tc>
        <w:tc>
          <w:tcPr>
            <w:tcW w:type="dxa" w:w="3492"/>
          </w:tcPr>
          <w:p>
            <w:pPr>
              <w:spacing w:after="0"/>
            </w:pPr>
            <w:r/>
            <w:r>
              <w:rPr>
                <w:sz w:val="13"/>
              </w:rPr>
              <w:t>fakturisasi.invoices.view</w:t>
            </w:r>
          </w:p>
        </w:tc>
      </w:tr>
      <w:tr>
        <w:trPr>
          <w:cantSplit/>
        </w:trPr>
        <w:tc>
          <w:tcPr>
            <w:tcW w:type="dxa" w:w="927"/>
          </w:tcPr>
          <w:p>
            <w:pPr>
              <w:spacing w:after="0"/>
            </w:pPr>
            <w:r/>
            <w:r>
              <w:rPr>
                <w:sz w:val="13"/>
              </w:rPr>
              <w:t>GET</w:t>
            </w:r>
          </w:p>
        </w:tc>
        <w:tc>
          <w:tcPr>
            <w:tcW w:type="dxa" w:w="4276"/>
          </w:tcPr>
          <w:p>
            <w:pPr>
              <w:spacing w:after="0"/>
            </w:pPr>
            <w:r/>
            <w:r>
              <w:rPr>
                <w:sz w:val="13"/>
              </w:rPr>
              <w:t>/api/v1/reports/health</w:t>
            </w:r>
          </w:p>
        </w:tc>
        <w:tc>
          <w:tcPr>
            <w:tcW w:type="dxa" w:w="4561"/>
          </w:tcPr>
          <w:p>
            <w:pPr>
              <w:spacing w:after="0"/>
            </w:pPr>
            <w:r/>
            <w:r>
              <w:rPr>
                <w:sz w:val="13"/>
              </w:rPr>
              <w:t>Report engine health check</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/api/v1/reports/payables-aging</w:t>
            </w:r>
          </w:p>
        </w:tc>
        <w:tc>
          <w:tcPr>
            <w:tcW w:type="dxa" w:w="4561"/>
          </w:tcPr>
          <w:p>
            <w:pPr>
              <w:spacing w:after="0"/>
            </w:pPr>
            <w:r/>
            <w:r>
              <w:rPr>
                <w:sz w:val="13"/>
              </w:rPr>
              <w:t>Payables aging report</w:t>
            </w:r>
          </w:p>
        </w:tc>
        <w:tc>
          <w:tcPr>
            <w:tcW w:type="dxa" w:w="855"/>
          </w:tcPr>
          <w:p>
            <w:pPr>
              <w:spacing w:after="0"/>
            </w:pPr>
            <w:r/>
            <w:r>
              <w:rPr>
                <w:sz w:val="13"/>
              </w:rPr>
              <w:t>bearer</w:t>
            </w:r>
          </w:p>
        </w:tc>
        <w:tc>
          <w:tcPr>
            <w:tcW w:type="dxa" w:w="3492"/>
          </w:tcPr>
          <w:p>
            <w:pPr>
              <w:spacing w:after="0"/>
            </w:pPr>
            <w:r/>
            <w:r>
              <w:rPr>
                <w:sz w:val="13"/>
              </w:rPr>
              <w:t>finance.reports.view</w:t>
            </w:r>
          </w:p>
        </w:tc>
      </w:tr>
      <w:tr>
        <w:trPr>
          <w:cantSplit/>
        </w:trPr>
        <w:tc>
          <w:tcPr>
            <w:tcW w:type="dxa" w:w="927"/>
          </w:tcPr>
          <w:p>
            <w:pPr>
              <w:spacing w:after="0"/>
            </w:pPr>
            <w:r/>
            <w:r>
              <w:rPr>
                <w:sz w:val="13"/>
              </w:rPr>
              <w:t>GET</w:t>
            </w:r>
          </w:p>
        </w:tc>
        <w:tc>
          <w:tcPr>
            <w:tcW w:type="dxa" w:w="4276"/>
          </w:tcPr>
          <w:p>
            <w:pPr>
              <w:spacing w:after="0"/>
            </w:pPr>
            <w:r/>
            <w:r>
              <w:rPr>
                <w:sz w:val="13"/>
              </w:rPr>
              <w:t>/api/v1/reports/profit-loss</w:t>
            </w:r>
          </w:p>
        </w:tc>
        <w:tc>
          <w:tcPr>
            <w:tcW w:type="dxa" w:w="4561"/>
          </w:tcPr>
          <w:p>
            <w:pPr>
              <w:spacing w:after="0"/>
            </w:pPr>
            <w:r/>
            <w:r>
              <w:rPr>
                <w:sz w:val="13"/>
              </w:rPr>
              <w:t>Yearly profit-and-loss report</w:t>
            </w:r>
          </w:p>
        </w:tc>
        <w:tc>
          <w:tcPr>
            <w:tcW w:type="dxa" w:w="855"/>
          </w:tcPr>
          <w:p>
            <w:pPr>
              <w:spacing w:after="0"/>
            </w:pPr>
            <w:r/>
            <w:r>
              <w:rPr>
                <w:sz w:val="13"/>
              </w:rPr>
              <w:t>bearer</w:t>
            </w:r>
          </w:p>
        </w:tc>
        <w:tc>
          <w:tcPr>
            <w:tcW w:type="dxa" w:w="3492"/>
          </w:tcPr>
          <w:p>
            <w:pPr>
              <w:spacing w:after="0"/>
            </w:pPr>
            <w:r/>
            <w:r>
              <w:rPr>
                <w:sz w:val="13"/>
              </w:rPr>
              <w:t>finance.reports.view</w:t>
            </w:r>
          </w:p>
        </w:tc>
      </w:tr>
      <w:tr>
        <w:trPr>
          <w:cantSplit/>
        </w:trPr>
        <w:tc>
          <w:tcPr>
            <w:tcW w:type="dxa" w:w="927"/>
          </w:tcPr>
          <w:p>
            <w:pPr>
              <w:spacing w:after="0"/>
            </w:pPr>
            <w:r/>
            <w:r>
              <w:rPr>
                <w:sz w:val="13"/>
              </w:rPr>
              <w:t>GET</w:t>
            </w:r>
          </w:p>
        </w:tc>
        <w:tc>
          <w:tcPr>
            <w:tcW w:type="dxa" w:w="4276"/>
          </w:tcPr>
          <w:p>
            <w:pPr>
              <w:spacing w:after="0"/>
            </w:pPr>
            <w:r/>
            <w:r>
              <w:rPr>
                <w:sz w:val="13"/>
              </w:rPr>
              <w:t>/api/v1/reports/purchases-by-product</w:t>
            </w:r>
          </w:p>
        </w:tc>
        <w:tc>
          <w:tcPr>
            <w:tcW w:type="dxa" w:w="4561"/>
          </w:tcPr>
          <w:p>
            <w:pPr>
              <w:spacing w:after="0"/>
            </w:pPr>
            <w:r/>
            <w:r>
              <w:rPr>
                <w:sz w:val="13"/>
              </w:rPr>
              <w:t>Purchase breakdown by product</w:t>
            </w:r>
          </w:p>
        </w:tc>
        <w:tc>
          <w:tcPr>
            <w:tcW w:type="dxa" w:w="855"/>
          </w:tcPr>
          <w:p>
            <w:pPr>
              <w:spacing w:after="0"/>
            </w:pPr>
            <w:r/>
            <w:r>
              <w:rPr>
                <w:sz w:val="13"/>
              </w:rPr>
              <w:t>bearer</w:t>
            </w:r>
          </w:p>
        </w:tc>
        <w:tc>
          <w:tcPr>
            <w:tcW w:type="dxa" w:w="3492"/>
          </w:tcPr>
          <w:p>
            <w:pPr>
              <w:spacing w:after="0"/>
            </w:pPr>
            <w:r/>
            <w:r>
              <w:rPr>
                <w:sz w:val="13"/>
              </w:rPr>
              <w:t>finance.reports.view</w:t>
            </w:r>
          </w:p>
        </w:tc>
      </w:tr>
      <w:tr>
        <w:trPr>
          <w:cantSplit/>
        </w:trPr>
        <w:tc>
          <w:tcPr>
            <w:tcW w:type="dxa" w:w="927"/>
          </w:tcPr>
          <w:p>
            <w:pPr>
              <w:spacing w:after="0"/>
            </w:pPr>
            <w:r/>
            <w:r>
              <w:rPr>
                <w:sz w:val="13"/>
              </w:rPr>
              <w:t>GET</w:t>
            </w:r>
          </w:p>
        </w:tc>
        <w:tc>
          <w:tcPr>
            <w:tcW w:type="dxa" w:w="4276"/>
          </w:tcPr>
          <w:p>
            <w:pPr>
              <w:spacing w:after="0"/>
            </w:pPr>
            <w:r/>
            <w:r>
              <w:rPr>
                <w:sz w:val="13"/>
              </w:rPr>
              <w:t>/api/v1/reports/purchases-by-supplier</w:t>
            </w:r>
          </w:p>
        </w:tc>
        <w:tc>
          <w:tcPr>
            <w:tcW w:type="dxa" w:w="4561"/>
          </w:tcPr>
          <w:p>
            <w:pPr>
              <w:spacing w:after="0"/>
            </w:pPr>
            <w:r/>
            <w:r>
              <w:rPr>
                <w:sz w:val="13"/>
              </w:rPr>
              <w:t>Purchase breakdown by supplier</w:t>
            </w:r>
          </w:p>
        </w:tc>
        <w:tc>
          <w:tcPr>
            <w:tcW w:type="dxa" w:w="855"/>
          </w:tcPr>
          <w:p>
            <w:pPr>
              <w:spacing w:after="0"/>
            </w:pPr>
            <w:r/>
            <w:r>
              <w:rPr>
                <w:sz w:val="13"/>
              </w:rPr>
              <w:t>bearer</w:t>
            </w:r>
          </w:p>
        </w:tc>
        <w:tc>
          <w:tcPr>
            <w:tcW w:type="dxa" w:w="3492"/>
          </w:tcPr>
          <w:p>
            <w:pPr>
              <w:spacing w:after="0"/>
            </w:pPr>
            <w:r/>
            <w:r>
              <w:rPr>
                <w:sz w:val="13"/>
              </w:rPr>
              <w:t>finance.reports.view</w:t>
            </w:r>
          </w:p>
        </w:tc>
      </w:tr>
      <w:tr>
        <w:trPr>
          <w:cantSplit/>
        </w:trPr>
        <w:tc>
          <w:tcPr>
            <w:tcW w:type="dxa" w:w="927"/>
          </w:tcPr>
          <w:p>
            <w:pPr>
              <w:spacing w:after="0"/>
            </w:pPr>
            <w:r/>
            <w:r>
              <w:rPr>
                <w:sz w:val="13"/>
              </w:rPr>
              <w:t>GET</w:t>
            </w:r>
          </w:p>
        </w:tc>
        <w:tc>
          <w:tcPr>
            <w:tcW w:type="dxa" w:w="4276"/>
          </w:tcPr>
          <w:p>
            <w:pPr>
              <w:spacing w:after="0"/>
            </w:pPr>
            <w:r/>
            <w:r>
              <w:rPr>
                <w:sz w:val="13"/>
              </w:rPr>
              <w:t>/api/v1/reports/receivables</w:t>
            </w:r>
          </w:p>
        </w:tc>
        <w:tc>
          <w:tcPr>
            <w:tcW w:type="dxa" w:w="4561"/>
          </w:tcPr>
          <w:p>
            <w:pPr>
              <w:spacing w:after="0"/>
            </w:pPr>
            <w:r/>
            <w:r>
              <w:rPr>
                <w:sz w:val="13"/>
              </w:rPr>
              <w:t>Export receivables CSV</w:t>
            </w:r>
          </w:p>
        </w:tc>
        <w:tc>
          <w:tcPr>
            <w:tcW w:type="dxa" w:w="855"/>
          </w:tcPr>
          <w:p>
            <w:pPr>
              <w:spacing w:after="0"/>
            </w:pPr>
            <w:r/>
            <w:r>
              <w:rPr>
                <w:sz w:val="13"/>
              </w:rPr>
              <w:t>bearer</w:t>
            </w:r>
          </w:p>
        </w:tc>
        <w:tc>
          <w:tcPr>
            <w:tcW w:type="dxa" w:w="3492"/>
          </w:tcPr>
          <w:p>
            <w:pPr>
              <w:spacing w:after="0"/>
            </w:pPr>
            <w:r/>
            <w:r>
              <w:rPr>
                <w:sz w:val="13"/>
              </w:rPr>
              <w:t>fakturisasi.receivables.export</w:t>
            </w:r>
          </w:p>
        </w:tc>
      </w:tr>
      <w:tr>
        <w:trPr>
          <w:cantSplit/>
        </w:trPr>
        <w:tc>
          <w:tcPr>
            <w:tcW w:type="dxa" w:w="927"/>
          </w:tcPr>
          <w:p>
            <w:pPr>
              <w:spacing w:after="0"/>
            </w:pPr>
            <w:r/>
            <w:r>
              <w:rPr>
                <w:sz w:val="13"/>
              </w:rPr>
              <w:t>GET</w:t>
            </w:r>
          </w:p>
        </w:tc>
        <w:tc>
          <w:tcPr>
            <w:tcW w:type="dxa" w:w="4276"/>
          </w:tcPr>
          <w:p>
            <w:pPr>
              <w:spacing w:after="0"/>
            </w:pPr>
            <w:r/>
            <w:r>
              <w:rPr>
                <w:sz w:val="13"/>
              </w:rPr>
              <w:t>/api/v1/reports/receivables-aging</w:t>
            </w:r>
          </w:p>
        </w:tc>
        <w:tc>
          <w:tcPr>
            <w:tcW w:type="dxa" w:w="4561"/>
          </w:tcPr>
          <w:p>
            <w:pPr>
              <w:spacing w:after="0"/>
            </w:pPr>
            <w:r/>
            <w:r>
              <w:rPr>
                <w:sz w:val="13"/>
              </w:rPr>
              <w:t>Receivables aging report</w:t>
            </w:r>
          </w:p>
        </w:tc>
        <w:tc>
          <w:tcPr>
            <w:tcW w:type="dxa" w:w="855"/>
          </w:tcPr>
          <w:p>
            <w:pPr>
              <w:spacing w:after="0"/>
            </w:pPr>
            <w:r/>
            <w:r>
              <w:rPr>
                <w:sz w:val="13"/>
              </w:rPr>
              <w:t>bearer</w:t>
            </w:r>
          </w:p>
        </w:tc>
        <w:tc>
          <w:tcPr>
            <w:tcW w:type="dxa" w:w="3492"/>
          </w:tcPr>
          <w:p>
            <w:pPr>
              <w:spacing w:after="0"/>
            </w:pPr>
            <w:r/>
            <w:r>
              <w:rPr>
                <w:sz w:val="13"/>
              </w:rPr>
              <w:t>finance.reports.view</w:t>
            </w:r>
          </w:p>
        </w:tc>
      </w:tr>
      <w:tr>
        <w:trPr>
          <w:cantSplit/>
        </w:trPr>
        <w:tc>
          <w:tcPr>
            <w:tcW w:type="dxa" w:w="927"/>
          </w:tcPr>
          <w:p>
            <w:pPr>
              <w:spacing w:after="0"/>
            </w:pPr>
            <w:r/>
            <w:r>
              <w:rPr>
                <w:sz w:val="13"/>
              </w:rPr>
              <w:t>GET</w:t>
            </w:r>
          </w:p>
        </w:tc>
        <w:tc>
          <w:tcPr>
            <w:tcW w:type="dxa" w:w="4276"/>
          </w:tcPr>
          <w:p>
            <w:pPr>
              <w:spacing w:after="0"/>
            </w:pPr>
            <w:r/>
            <w:r>
              <w:rPr>
                <w:sz w:val="13"/>
              </w:rPr>
              <w:t>/api/v1/reports/sales</w:t>
            </w:r>
          </w:p>
        </w:tc>
        <w:tc>
          <w:tcPr>
            <w:tcW w:type="dxa" w:w="4561"/>
          </w:tcPr>
          <w:p>
            <w:pPr>
              <w:spacing w:after="0"/>
            </w:pPr>
            <w:r/>
            <w:r>
              <w:rPr>
                <w:sz w:val="13"/>
              </w:rPr>
              <w:t>Sales report with totals and category/product breakdowns</w:t>
            </w:r>
          </w:p>
        </w:tc>
        <w:tc>
          <w:tcPr>
            <w:tcW w:type="dxa" w:w="855"/>
          </w:tcPr>
          <w:p>
            <w:pPr>
              <w:spacing w:after="0"/>
            </w:pPr>
            <w:r/>
            <w:r>
              <w:rPr>
                <w:sz w:val="13"/>
              </w:rPr>
              <w:t>bearer</w:t>
            </w:r>
          </w:p>
        </w:tc>
        <w:tc>
          <w:tcPr>
            <w:tcW w:type="dxa" w:w="3492"/>
          </w:tcPr>
          <w:p>
            <w:pPr>
              <w:spacing w:after="0"/>
            </w:pPr>
            <w:r/>
            <w:r>
              <w:rPr>
                <w:sz w:val="13"/>
              </w:rPr>
              <w:t>sales.reports.view</w:t>
            </w:r>
          </w:p>
        </w:tc>
      </w:tr>
      <w:tr>
        <w:trPr>
          <w:cantSplit/>
        </w:trPr>
        <w:tc>
          <w:tcPr>
            <w:tcW w:type="dxa" w:w="927"/>
          </w:tcPr>
          <w:p>
            <w:pPr>
              <w:spacing w:after="0"/>
            </w:pPr>
            <w:r/>
            <w:r>
              <w:rPr>
                <w:sz w:val="13"/>
              </w:rPr>
              <w:t>GET</w:t>
            </w:r>
          </w:p>
        </w:tc>
        <w:tc>
          <w:tcPr>
            <w:tcW w:type="dxa" w:w="4276"/>
          </w:tcPr>
          <w:p>
            <w:pPr>
              <w:spacing w:after="0"/>
            </w:pPr>
            <w:r/>
            <w:r>
              <w:rPr>
                <w:sz w:val="13"/>
              </w:rPr>
              <w:t>/api/v1/reports/sales-by-customer</w:t>
            </w:r>
          </w:p>
        </w:tc>
        <w:tc>
          <w:tcPr>
            <w:tcW w:type="dxa" w:w="4561"/>
          </w:tcPr>
          <w:p>
            <w:pPr>
              <w:spacing w:after="0"/>
            </w:pPr>
            <w:r/>
            <w:r>
              <w:rPr>
                <w:sz w:val="13"/>
              </w:rPr>
              <w:t>Sales breakdown by customer</w:t>
            </w:r>
          </w:p>
        </w:tc>
        <w:tc>
          <w:tcPr>
            <w:tcW w:type="dxa" w:w="855"/>
          </w:tcPr>
          <w:p>
            <w:pPr>
              <w:spacing w:after="0"/>
            </w:pPr>
            <w:r/>
            <w:r>
              <w:rPr>
                <w:sz w:val="13"/>
              </w:rPr>
              <w:t>bearer</w:t>
            </w:r>
          </w:p>
        </w:tc>
        <w:tc>
          <w:tcPr>
            <w:tcW w:type="dxa" w:w="3492"/>
          </w:tcPr>
          <w:p>
            <w:pPr>
              <w:spacing w:after="0"/>
            </w:pPr>
            <w:r/>
            <w:r>
              <w:rPr>
                <w:sz w:val="13"/>
              </w:rPr>
              <w:t>sales.reports.view</w:t>
            </w:r>
          </w:p>
        </w:tc>
      </w:tr>
      <w:tr>
        <w:trPr>
          <w:cantSplit/>
        </w:trPr>
        <w:tc>
          <w:tcPr>
            <w:tcW w:type="dxa" w:w="927"/>
          </w:tcPr>
          <w:p>
            <w:pPr>
              <w:spacing w:after="0"/>
            </w:pPr>
            <w:r/>
            <w:r>
              <w:rPr>
                <w:sz w:val="13"/>
              </w:rPr>
              <w:t>GET</w:t>
            </w:r>
          </w:p>
        </w:tc>
        <w:tc>
          <w:tcPr>
            <w:tcW w:type="dxa" w:w="4276"/>
          </w:tcPr>
          <w:p>
            <w:pPr>
              <w:spacing w:after="0"/>
            </w:pPr>
            <w:r/>
            <w:r>
              <w:rPr>
                <w:sz w:val="13"/>
              </w:rPr>
              <w:t>/api/v1/reports/sales-by-product</w:t>
            </w:r>
          </w:p>
        </w:tc>
        <w:tc>
          <w:tcPr>
            <w:tcW w:type="dxa" w:w="4561"/>
          </w:tcPr>
          <w:p>
            <w:pPr>
              <w:spacing w:after="0"/>
            </w:pPr>
            <w:r/>
            <w:r>
              <w:rPr>
                <w:sz w:val="13"/>
              </w:rPr>
              <w:t>Sales breakdown by product</w:t>
            </w:r>
          </w:p>
        </w:tc>
        <w:tc>
          <w:tcPr>
            <w:tcW w:type="dxa" w:w="855"/>
          </w:tcPr>
          <w:p>
            <w:pPr>
              <w:spacing w:after="0"/>
            </w:pPr>
            <w:r/>
            <w:r>
              <w:rPr>
                <w:sz w:val="13"/>
              </w:rPr>
              <w:t>bearer</w:t>
            </w:r>
          </w:p>
        </w:tc>
        <w:tc>
          <w:tcPr>
            <w:tcW w:type="dxa" w:w="3492"/>
          </w:tcPr>
          <w:p>
            <w:pPr>
              <w:spacing w:after="0"/>
            </w:pPr>
            <w:r/>
            <w:r>
              <w:rPr>
                <w:sz w:val="13"/>
              </w:rPr>
              <w:t>sales.reports.view</w:t>
            </w:r>
          </w:p>
        </w:tc>
      </w:tr>
      <w:tr>
        <w:trPr>
          <w:cantSplit/>
        </w:trPr>
        <w:tc>
          <w:tcPr>
            <w:tcW w:type="dxa" w:w="927"/>
          </w:tcPr>
          <w:p>
            <w:pPr>
              <w:spacing w:after="0"/>
            </w:pPr>
            <w:r/>
            <w:r>
              <w:rPr>
                <w:sz w:val="13"/>
              </w:rPr>
              <w:t>GET</w:t>
            </w:r>
          </w:p>
        </w:tc>
        <w:tc>
          <w:tcPr>
            <w:tcW w:type="dxa" w:w="4276"/>
          </w:tcPr>
          <w:p>
            <w:pPr>
              <w:spacing w:after="0"/>
            </w:pPr>
            <w:r/>
            <w:r>
              <w:rPr>
                <w:sz w:val="13"/>
              </w:rPr>
              <w:t>/api/v1/reports/stock</w:t>
            </w:r>
          </w:p>
        </w:tc>
        <w:tc>
          <w:tcPr>
            <w:tcW w:type="dxa" w:w="4561"/>
          </w:tcPr>
          <w:p>
            <w:pPr>
              <w:spacing w:after="0"/>
            </w:pPr>
            <w:r/>
            <w:r>
              <w:rPr>
                <w:sz w:val="13"/>
              </w:rPr>
              <w:t>Stock report (quantity, value, per-category value)</w:t>
            </w:r>
          </w:p>
        </w:tc>
        <w:tc>
          <w:tcPr>
            <w:tcW w:type="dxa" w:w="855"/>
          </w:tcPr>
          <w:p>
            <w:pPr>
              <w:spacing w:after="0"/>
            </w:pPr>
            <w:r/>
            <w:r>
              <w:rPr>
                <w:sz w:val="13"/>
              </w:rPr>
              <w:t>bearer</w:t>
            </w:r>
          </w:p>
        </w:tc>
        <w:tc>
          <w:tcPr>
            <w:tcW w:type="dxa" w:w="3492"/>
          </w:tcPr>
          <w:p>
            <w:pPr>
              <w:spacing w:after="0"/>
            </w:pPr>
            <w:r/>
            <w:r>
              <w:rPr>
                <w:sz w:val="13"/>
              </w:rPr>
              <w:t>inventory.stock.view</w:t>
            </w:r>
          </w:p>
        </w:tc>
      </w:tr>
      <w:tr>
        <w:trPr>
          <w:cantSplit/>
        </w:trPr>
        <w:tc>
          <w:tcPr>
            <w:tcW w:type="dxa" w:w="927"/>
          </w:tcPr>
          <w:p>
            <w:pPr>
              <w:spacing w:after="0"/>
            </w:pPr>
            <w:r/>
            <w:r>
              <w:rPr>
                <w:sz w:val="13"/>
              </w:rPr>
              <w:t>GET</w:t>
            </w:r>
          </w:p>
        </w:tc>
        <w:tc>
          <w:tcPr>
            <w:tcW w:type="dxa" w:w="4276"/>
          </w:tcPr>
          <w:p>
            <w:pPr>
              <w:spacing w:after="0"/>
            </w:pPr>
            <w:r/>
            <w:r>
              <w:rPr>
                <w:sz w:val="13"/>
              </w:rPr>
              <w:t>/api/v1/reports/stock-card</w:t>
            </w:r>
          </w:p>
        </w:tc>
        <w:tc>
          <w:tcPr>
            <w:tcW w:type="dxa" w:w="4561"/>
          </w:tcPr>
          <w:p>
            <w:pPr>
              <w:spacing w:after="0"/>
            </w:pPr>
            <w:r/>
            <w:r>
              <w:rPr>
                <w:sz w:val="13"/>
              </w:rPr>
              <w:t>Product stock card ledger</w:t>
            </w:r>
          </w:p>
        </w:tc>
        <w:tc>
          <w:tcPr>
            <w:tcW w:type="dxa" w:w="855"/>
          </w:tcPr>
          <w:p>
            <w:pPr>
              <w:spacing w:after="0"/>
            </w:pPr>
            <w:r/>
            <w:r>
              <w:rPr>
                <w:sz w:val="13"/>
              </w:rPr>
              <w:t>bearer</w:t>
            </w:r>
          </w:p>
        </w:tc>
        <w:tc>
          <w:tcPr>
            <w:tcW w:type="dxa" w:w="3492"/>
          </w:tcPr>
          <w:p>
            <w:pPr>
              <w:spacing w:after="0"/>
            </w:pPr>
            <w:r/>
            <w:r>
              <w:rPr>
                <w:sz w:val="13"/>
              </w:rPr>
              <w:t>inventory.stock.view</w:t>
            </w:r>
          </w:p>
        </w:tc>
      </w:tr>
      <w:tr>
        <w:trPr>
          <w:cantSplit/>
        </w:trPr>
        <w:tc>
          <w:tcPr>
            <w:tcW w:type="dxa" w:w="927"/>
          </w:tcPr>
          <w:p>
            <w:pPr>
              <w:spacing w:after="0"/>
            </w:pPr>
            <w:r/>
            <w:r>
              <w:rPr>
                <w:sz w:val="13"/>
              </w:rPr>
              <w:t>GET</w:t>
            </w:r>
          </w:p>
        </w:tc>
        <w:tc>
          <w:tcPr>
            <w:tcW w:type="dxa" w:w="4276"/>
          </w:tcPr>
          <w:p>
            <w:pPr>
              <w:spacing w:after="0"/>
            </w:pPr>
            <w:r/>
            <w:r>
              <w:rPr>
                <w:sz w:val="13"/>
              </w:rPr>
              <w:t>/api/v1/reports/stock-movements</w:t>
            </w:r>
          </w:p>
        </w:tc>
        <w:tc>
          <w:tcPr>
            <w:tcW w:type="dxa" w:w="4561"/>
          </w:tcPr>
          <w:p>
            <w:pPr>
              <w:spacing w:after="0"/>
            </w:pPr>
            <w:r/>
            <w:r>
              <w:rPr>
                <w:sz w:val="13"/>
              </w:rPr>
              <w:t>Stock movements history report</w:t>
            </w:r>
          </w:p>
        </w:tc>
        <w:tc>
          <w:tcPr>
            <w:tcW w:type="dxa" w:w="855"/>
          </w:tcPr>
          <w:p>
            <w:pPr>
              <w:spacing w:after="0"/>
            </w:pPr>
            <w:r/>
            <w:r>
              <w:rPr>
                <w:sz w:val="13"/>
              </w:rPr>
              <w:t>bearer</w:t>
            </w:r>
          </w:p>
        </w:tc>
        <w:tc>
          <w:tcPr>
            <w:tcW w:type="dxa" w:w="3492"/>
          </w:tcPr>
          <w:p>
            <w:pPr>
              <w:spacing w:after="0"/>
            </w:pPr>
            <w:r/>
            <w:r>
              <w:rPr>
                <w:sz w:val="13"/>
              </w:rPr>
              <w:t>inventory.stock.view</w:t>
            </w:r>
          </w:p>
        </w:tc>
      </w:tr>
      <w:tr>
        <w:trPr>
          <w:cantSplit/>
        </w:trPr>
        <w:tc>
          <w:tcPr>
            <w:tcW w:type="dxa" w:w="927"/>
          </w:tcPr>
          <w:p>
            <w:pPr>
              <w:spacing w:after="0"/>
            </w:pPr>
            <w:r/>
            <w:r>
              <w:rPr>
                <w:sz w:val="13"/>
              </w:rPr>
              <w:t>GET</w:t>
            </w:r>
          </w:p>
        </w:tc>
        <w:tc>
          <w:tcPr>
            <w:tcW w:type="dxa" w:w="4276"/>
          </w:tcPr>
          <w:p>
            <w:pPr>
              <w:spacing w:after="0"/>
            </w:pPr>
            <w:r/>
            <w:r>
              <w:rPr>
                <w:sz w:val="13"/>
              </w:rPr>
              <w:t>/api/v1/reports/stock-valuation</w:t>
            </w:r>
          </w:p>
        </w:tc>
        <w:tc>
          <w:tcPr>
            <w:tcW w:type="dxa" w:w="4561"/>
          </w:tcPr>
          <w:p>
            <w:pPr>
              <w:spacing w:after="0"/>
            </w:pPr>
            <w:r/>
            <w:r>
              <w:rPr>
                <w:sz w:val="13"/>
              </w:rPr>
              <w:t>Stock valuation report</w:t>
            </w:r>
          </w:p>
        </w:tc>
        <w:tc>
          <w:tcPr>
            <w:tcW w:type="dxa" w:w="855"/>
          </w:tcPr>
          <w:p>
            <w:pPr>
              <w:spacing w:after="0"/>
            </w:pPr>
            <w:r/>
            <w:r>
              <w:rPr>
                <w:sz w:val="13"/>
              </w:rPr>
              <w:t>bearer</w:t>
            </w:r>
          </w:p>
        </w:tc>
        <w:tc>
          <w:tcPr>
            <w:tcW w:type="dxa" w:w="3492"/>
          </w:tcPr>
          <w:p>
            <w:pPr>
              <w:spacing w:after="0"/>
            </w:pPr>
            <w:r/>
            <w:r>
              <w:rPr>
                <w:sz w:val="13"/>
              </w:rPr>
              <w:t>inventory.stock.view</w:t>
            </w:r>
          </w:p>
        </w:tc>
      </w:tr>
      <w:tr>
        <w:trPr>
          <w:cantSplit/>
        </w:trPr>
        <w:tc>
          <w:tcPr>
            <w:tcW w:type="dxa" w:w="927"/>
          </w:tcPr>
          <w:p>
            <w:pPr>
              <w:spacing w:after="0"/>
            </w:pPr>
            <w:r/>
            <w:r>
              <w:rPr>
                <w:sz w:val="13"/>
              </w:rPr>
              <w:t>GET</w:t>
            </w:r>
          </w:p>
        </w:tc>
        <w:tc>
          <w:tcPr>
            <w:tcW w:type="dxa" w:w="4276"/>
          </w:tcPr>
          <w:p>
            <w:pPr>
              <w:spacing w:after="0"/>
            </w:pPr>
            <w:r/>
            <w:r>
              <w:rPr>
                <w:sz w:val="13"/>
              </w:rPr>
              <w:t>/api/v1/reports/summary</w:t>
            </w:r>
          </w:p>
        </w:tc>
        <w:tc>
          <w:tcPr>
            <w:tcW w:type="dxa" w:w="4561"/>
          </w:tcPr>
          <w:p>
            <w:pPr>
              <w:spacing w:after="0"/>
            </w:pPr>
            <w:r/>
            <w:r>
              <w:rPr>
                <w:sz w:val="13"/>
              </w:rPr>
              <w:t>POS dashboard summary (KPIs)</w:t>
            </w:r>
          </w:p>
        </w:tc>
        <w:tc>
          <w:tcPr>
            <w:tcW w:type="dxa" w:w="855"/>
          </w:tcPr>
          <w:p>
            <w:pPr>
              <w:spacing w:after="0"/>
            </w:pPr>
            <w:r/>
            <w:r>
              <w:rPr>
                <w:sz w:val="13"/>
              </w:rPr>
              <w:t>bearer</w:t>
            </w:r>
          </w:p>
        </w:tc>
        <w:tc>
          <w:tcPr>
            <w:tcW w:type="dxa" w:w="3492"/>
          </w:tcPr>
          <w:p>
            <w:pPr>
              <w:spacing w:after="0"/>
            </w:pPr>
            <w:r/>
            <w:r>
              <w:rPr>
                <w:sz w:val="13"/>
              </w:rPr>
              <w:t>finance.reports.view</w:t>
            </w:r>
          </w:p>
        </w:tc>
      </w:tr>
      <w:tr>
        <w:trPr>
          <w:cantSplit/>
        </w:trPr>
        <w:tc>
          <w:tcPr>
            <w:tcW w:type="dxa" w:w="927"/>
          </w:tcPr>
          <w:p>
            <w:pPr>
              <w:spacing w:after="0"/>
            </w:pPr>
            <w:r/>
            <w:r>
              <w:rPr>
                <w:sz w:val="13"/>
              </w:rPr>
              <w:t>GET</w:t>
            </w:r>
          </w:p>
        </w:tc>
        <w:tc>
          <w:tcPr>
            <w:tcW w:type="dxa" w:w="4276"/>
          </w:tcPr>
          <w:p>
            <w:pPr>
              <w:spacing w:after="0"/>
            </w:pPr>
            <w:r/>
            <w:r>
              <w:rPr>
                <w:sz w:val="13"/>
              </w:rPr>
              <w:t>/api/v1/reports/templates</w:t>
            </w:r>
          </w:p>
        </w:tc>
        <w:tc>
          <w:tcPr>
            <w:tcW w:type="dxa" w:w="4561"/>
          </w:tcPr>
          <w:p>
            <w:pPr>
              <w:spacing w:after="0"/>
            </w:pPr>
            <w:r/>
            <w:r>
              <w:rPr>
                <w:sz w:val="13"/>
              </w:rPr>
              <w:t>List report templates</w:t>
            </w:r>
          </w:p>
        </w:tc>
        <w:tc>
          <w:tcPr>
            <w:tcW w:type="dxa" w:w="855"/>
          </w:tcPr>
          <w:p>
            <w:pPr>
              <w:spacing w:after="0"/>
            </w:pPr>
            <w:r/>
            <w:r>
              <w:rPr>
                <w:sz w:val="13"/>
              </w:rPr>
              <w:t>bearer</w:t>
            </w:r>
          </w:p>
        </w:tc>
        <w:tc>
          <w:tcPr>
            <w:tcW w:type="dxa" w:w="3492"/>
          </w:tcPr>
          <w:p>
            <w:pPr>
              <w:spacing w:after="0"/>
            </w:pPr>
            <w:r/>
            <w:r>
              <w:rPr>
                <w:sz w:val="13"/>
              </w:rPr>
              <w:t>system.reports.view</w:t>
            </w:r>
          </w:p>
        </w:tc>
      </w:tr>
      <w:tr>
        <w:trPr>
          <w:cantSplit/>
        </w:trPr>
        <w:tc>
          <w:tcPr>
            <w:tcW w:type="dxa" w:w="927"/>
          </w:tcPr>
          <w:p>
            <w:pPr>
              <w:spacing w:after="0"/>
            </w:pPr>
            <w:r/>
            <w:r>
              <w:rPr>
                <w:sz w:val="13"/>
              </w:rPr>
              <w:t>POST</w:t>
            </w:r>
          </w:p>
        </w:tc>
        <w:tc>
          <w:tcPr>
            <w:tcW w:type="dxa" w:w="4276"/>
          </w:tcPr>
          <w:p>
            <w:pPr>
              <w:spacing w:after="0"/>
            </w:pPr>
            <w:r/>
            <w:r>
              <w:rPr>
                <w:sz w:val="13"/>
              </w:rPr>
              <w:t>/api/v1/reports/templates</w:t>
            </w:r>
          </w:p>
        </w:tc>
        <w:tc>
          <w:tcPr>
            <w:tcW w:type="dxa" w:w="4561"/>
          </w:tcPr>
          <w:p>
            <w:pPr>
              <w:spacing w:after="0"/>
            </w:pPr>
            <w:r/>
            <w:r>
              <w:rPr>
                <w:sz w:val="13"/>
              </w:rPr>
              <w:t>Create new report template</w:t>
            </w:r>
          </w:p>
        </w:tc>
        <w:tc>
          <w:tcPr>
            <w:tcW w:type="dxa" w:w="855"/>
          </w:tcPr>
          <w:p>
            <w:pPr>
              <w:spacing w:after="0"/>
            </w:pPr>
            <w:r/>
            <w:r>
              <w:rPr>
                <w:sz w:val="13"/>
              </w:rPr>
              <w:t>bearer</w:t>
            </w:r>
          </w:p>
        </w:tc>
        <w:tc>
          <w:tcPr>
            <w:tcW w:type="dxa" w:w="3492"/>
          </w:tcPr>
          <w:p>
            <w:pPr>
              <w:spacing w:after="0"/>
            </w:pPr>
            <w:r/>
            <w:r>
              <w:rPr>
                <w:sz w:val="13"/>
              </w:rPr>
              <w:t>system.reports.manage</w:t>
            </w:r>
          </w:p>
        </w:tc>
      </w:tr>
      <w:tr>
        <w:trPr>
          <w:cantSplit/>
        </w:trPr>
        <w:tc>
          <w:tcPr>
            <w:tcW w:type="dxa" w:w="927"/>
          </w:tcPr>
          <w:p>
            <w:pPr>
              <w:spacing w:after="0"/>
            </w:pPr>
            <w:r/>
            <w:r>
              <w:rPr>
                <w:sz w:val="13"/>
              </w:rPr>
              <w:t>GET</w:t>
            </w:r>
          </w:p>
        </w:tc>
        <w:tc>
          <w:tcPr>
            <w:tcW w:type="dxa" w:w="4276"/>
          </w:tcPr>
          <w:p>
            <w:pPr>
              <w:spacing w:after="0"/>
            </w:pPr>
            <w:r/>
            <w:r>
              <w:rPr>
                <w:sz w:val="13"/>
              </w:rPr>
              <w:t>/api/v1/reports/templates/{id}</w:t>
            </w:r>
          </w:p>
        </w:tc>
        <w:tc>
          <w:tcPr>
            <w:tcW w:type="dxa" w:w="4561"/>
          </w:tcPr>
          <w:p>
            <w:pPr>
              <w:spacing w:after="0"/>
            </w:pPr>
            <w:r/>
            <w:r>
              <w:rPr>
                <w:sz w:val="13"/>
              </w:rPr>
              <w:t>Get report template by ID</w:t>
            </w:r>
          </w:p>
        </w:tc>
        <w:tc>
          <w:tcPr>
            <w:tcW w:type="dxa" w:w="855"/>
          </w:tcPr>
          <w:p>
            <w:pPr>
              <w:spacing w:after="0"/>
            </w:pPr>
            <w:r/>
            <w:r>
              <w:rPr>
                <w:sz w:val="13"/>
              </w:rPr>
              <w:t>bearer</w:t>
            </w:r>
          </w:p>
        </w:tc>
        <w:tc>
          <w:tcPr>
            <w:tcW w:type="dxa" w:w="3492"/>
          </w:tcPr>
          <w:p>
            <w:pPr>
              <w:spacing w:after="0"/>
            </w:pPr>
            <w:r/>
            <w:r>
              <w:rPr>
                <w:sz w:val="13"/>
              </w:rPr>
              <w:t>system.reports.view</w:t>
            </w:r>
          </w:p>
        </w:tc>
      </w:tr>
      <w:tr>
        <w:trPr>
          <w:cantSplit/>
        </w:trPr>
        <w:tc>
          <w:tcPr>
            <w:tcW w:type="dxa" w:w="927"/>
          </w:tcPr>
          <w:p>
            <w:pPr>
              <w:spacing w:after="0"/>
            </w:pPr>
            <w:r/>
            <w:r>
              <w:rPr>
                <w:sz w:val="13"/>
              </w:rPr>
              <w:t>PUT</w:t>
            </w:r>
          </w:p>
        </w:tc>
        <w:tc>
          <w:tcPr>
            <w:tcW w:type="dxa" w:w="4276"/>
          </w:tcPr>
          <w:p>
            <w:pPr>
              <w:spacing w:after="0"/>
            </w:pPr>
            <w:r/>
            <w:r>
              <w:rPr>
                <w:sz w:val="13"/>
              </w:rPr>
              <w:t>/api/v1/reports/templates/{id}</w:t>
            </w:r>
          </w:p>
        </w:tc>
        <w:tc>
          <w:tcPr>
            <w:tcW w:type="dxa" w:w="4561"/>
          </w:tcPr>
          <w:p>
            <w:pPr>
              <w:spacing w:after="0"/>
            </w:pPr>
            <w:r/>
            <w:r>
              <w:rPr>
                <w:sz w:val="13"/>
              </w:rPr>
              <w:t>Update report template</w:t>
            </w:r>
          </w:p>
        </w:tc>
        <w:tc>
          <w:tcPr>
            <w:tcW w:type="dxa" w:w="855"/>
          </w:tcPr>
          <w:p>
            <w:pPr>
              <w:spacing w:after="0"/>
            </w:pPr>
            <w:r/>
            <w:r>
              <w:rPr>
                <w:sz w:val="13"/>
              </w:rPr>
              <w:t>bearer</w:t>
            </w:r>
          </w:p>
        </w:tc>
        <w:tc>
          <w:tcPr>
            <w:tcW w:type="dxa" w:w="3492"/>
          </w:tcPr>
          <w:p>
            <w:pPr>
              <w:spacing w:after="0"/>
            </w:pPr>
            <w:r/>
            <w:r>
              <w:rPr>
                <w:sz w:val="13"/>
              </w:rPr>
              <w:t>system.reports.manage</w:t>
            </w:r>
          </w:p>
        </w:tc>
      </w:tr>
      <w:tr>
        <w:trPr>
          <w:cantSplit/>
        </w:trPr>
        <w:tc>
          <w:tcPr>
            <w:tcW w:type="dxa" w:w="927"/>
          </w:tcPr>
          <w:p>
            <w:pPr>
              <w:spacing w:after="0"/>
            </w:pPr>
            <w:r/>
            <w:r>
              <w:rPr>
                <w:sz w:val="13"/>
              </w:rPr>
              <w:t>POST</w:t>
            </w:r>
          </w:p>
        </w:tc>
        <w:tc>
          <w:tcPr>
            <w:tcW w:type="dxa" w:w="4276"/>
          </w:tcPr>
          <w:p>
            <w:pPr>
              <w:spacing w:after="0"/>
            </w:pPr>
            <w:r/>
            <w:r>
              <w:rPr>
                <w:sz w:val="13"/>
              </w:rPr>
              <w:t>/api/v1/reports/templates/{id}/activate</w:t>
            </w:r>
          </w:p>
        </w:tc>
        <w:tc>
          <w:tcPr>
            <w:tcW w:type="dxa" w:w="4561"/>
          </w:tcPr>
          <w:p>
            <w:pPr>
              <w:spacing w:after="0"/>
            </w:pPr>
            <w:r/>
            <w:r>
              <w:rPr>
                <w:sz w:val="13"/>
              </w:rPr>
              <w:t>Activate report template version</w:t>
            </w:r>
          </w:p>
        </w:tc>
        <w:tc>
          <w:tcPr>
            <w:tcW w:type="dxa" w:w="855"/>
          </w:tcPr>
          <w:p>
            <w:pPr>
              <w:spacing w:after="0"/>
            </w:pPr>
            <w:r/>
            <w:r>
              <w:rPr>
                <w:sz w:val="13"/>
              </w:rPr>
              <w:t>bearer</w:t>
            </w:r>
          </w:p>
        </w:tc>
        <w:tc>
          <w:tcPr>
            <w:tcW w:type="dxa" w:w="3492"/>
          </w:tcPr>
          <w:p>
            <w:pPr>
              <w:spacing w:after="0"/>
            </w:pPr>
            <w:r/>
            <w:r>
              <w:rPr>
                <w:sz w:val="13"/>
              </w:rPr>
              <w:t>system.reports.manage</w:t>
            </w:r>
          </w:p>
        </w:tc>
      </w:tr>
      <w:tr>
        <w:trPr>
          <w:cantSplit/>
        </w:trPr>
        <w:tc>
          <w:tcPr>
            <w:tcW w:type="dxa" w:w="927"/>
          </w:tcPr>
          <w:p>
            <w:pPr>
              <w:spacing w:after="0"/>
            </w:pPr>
            <w:r/>
            <w:r>
              <w:rPr>
                <w:sz w:val="13"/>
              </w:rPr>
              <w:t>POST</w:t>
            </w:r>
          </w:p>
        </w:tc>
        <w:tc>
          <w:tcPr>
            <w:tcW w:type="dxa" w:w="4276"/>
          </w:tcPr>
          <w:p>
            <w:pPr>
              <w:spacing w:after="0"/>
            </w:pPr>
            <w:r/>
            <w:r>
              <w:rPr>
                <w:sz w:val="13"/>
              </w:rPr>
              <w:t>/api/v1/reports/templates/{id}/duplicate</w:t>
            </w:r>
          </w:p>
        </w:tc>
        <w:tc>
          <w:tcPr>
            <w:tcW w:type="dxa" w:w="4561"/>
          </w:tcPr>
          <w:p>
            <w:pPr>
              <w:spacing w:after="0"/>
            </w:pPr>
            <w:r/>
            <w:r>
              <w:rPr>
                <w:sz w:val="13"/>
              </w:rPr>
              <w:t>Duplicate report template version</w:t>
            </w:r>
          </w:p>
        </w:tc>
        <w:tc>
          <w:tcPr>
            <w:tcW w:type="dxa" w:w="855"/>
          </w:tcPr>
          <w:p>
            <w:pPr>
              <w:spacing w:after="0"/>
            </w:pPr>
            <w:r/>
            <w:r>
              <w:rPr>
                <w:sz w:val="13"/>
              </w:rPr>
              <w:t>bearer</w:t>
            </w:r>
          </w:p>
        </w:tc>
        <w:tc>
          <w:tcPr>
            <w:tcW w:type="dxa" w:w="3492"/>
          </w:tcPr>
          <w:p>
            <w:pPr>
              <w:spacing w:after="0"/>
            </w:pPr>
            <w:r/>
            <w:r>
              <w:rPr>
                <w:sz w:val="13"/>
              </w:rPr>
              <w:t>system.reports.manage</w:t>
            </w:r>
          </w:p>
        </w:tc>
      </w:tr>
      <w:tr>
        <w:trPr>
          <w:cantSplit/>
        </w:trPr>
        <w:tc>
          <w:tcPr>
            <w:tcW w:type="dxa" w:w="927"/>
          </w:tcPr>
          <w:p>
            <w:pPr>
              <w:spacing w:after="0"/>
            </w:pPr>
            <w:r/>
            <w:r>
              <w:rPr>
                <w:sz w:val="13"/>
              </w:rPr>
              <w:t>GET</w:t>
            </w:r>
          </w:p>
        </w:tc>
        <w:tc>
          <w:tcPr>
            <w:tcW w:type="dxa" w:w="4276"/>
          </w:tcPr>
          <w:p>
            <w:pPr>
              <w:spacing w:after="0"/>
            </w:pPr>
            <w:r/>
            <w:r>
              <w:rPr>
                <w:sz w:val="13"/>
              </w:rPr>
              <w:t>/api/v1/reports/trial-balance</w:t>
            </w:r>
          </w:p>
        </w:tc>
        <w:tc>
          <w:tcPr>
            <w:tcW w:type="dxa" w:w="4561"/>
          </w:tcPr>
          <w:p>
            <w:pPr>
              <w:spacing w:after="0"/>
            </w:pPr>
            <w:r/>
            <w:r>
              <w:rPr>
                <w:sz w:val="13"/>
              </w:rPr>
              <w:t>Trial balance over posted journal lines</w:t>
            </w:r>
          </w:p>
        </w:tc>
        <w:tc>
          <w:tcPr>
            <w:tcW w:type="dxa" w:w="855"/>
          </w:tcPr>
          <w:p>
            <w:pPr>
              <w:spacing w:after="0"/>
            </w:pPr>
            <w:r/>
            <w:r>
              <w:rPr>
                <w:sz w:val="13"/>
              </w:rPr>
              <w:t>bearer</w:t>
            </w:r>
          </w:p>
        </w:tc>
        <w:tc>
          <w:tcPr>
            <w:tcW w:type="dxa" w:w="3492"/>
          </w:tcPr>
          <w:p>
            <w:pPr>
              <w:spacing w:after="0"/>
            </w:pPr>
            <w:r/>
            <w:r>
              <w:rPr>
                <w:sz w:val="13"/>
              </w:rPr>
              <w:t>finance.reports.view</w:t>
            </w:r>
          </w:p>
        </w:tc>
      </w:tr>
    </w:tbl>
    <w:p>
      <w:bookmarkStart w:id="1249" w:name="_Toc1249"/>
      <w:pPr>
        <w:pStyle w:val="Heading3"/>
      </w:pPr>
      <w:r>
        <w:t>returns — 3 operations</w:t>
      </w:r>
      <w:bookmarkEnd w:id="1249"/>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/api/v1/returns</w:t>
            </w:r>
          </w:p>
        </w:tc>
        <w:tc>
          <w:tcPr>
            <w:tcW w:type="dxa" w:w="4561"/>
          </w:tcPr>
          <w:p>
            <w:pPr>
              <w:spacing w:after="0"/>
            </w:pPr>
            <w:r/>
            <w:r>
              <w:rPr>
                <w:sz w:val="13"/>
              </w:rPr>
              <w:t>List sales returns</w:t>
            </w:r>
          </w:p>
        </w:tc>
        <w:tc>
          <w:tcPr>
            <w:tcW w:type="dxa" w:w="855"/>
          </w:tcPr>
          <w:p>
            <w:pPr>
              <w:spacing w:after="0"/>
            </w:pPr>
            <w:r/>
            <w:r>
              <w:rPr>
                <w:sz w:val="13"/>
              </w:rPr>
              <w:t>bearer</w:t>
            </w:r>
          </w:p>
        </w:tc>
        <w:tc>
          <w:tcPr>
            <w:tcW w:type="dxa" w:w="3492"/>
          </w:tcPr>
          <w:p>
            <w:pPr>
              <w:spacing w:after="0"/>
            </w:pPr>
            <w:r/>
            <w:r>
              <w:rPr>
                <w:sz w:val="13"/>
              </w:rPr>
              <w:t>sales.returns.view</w:t>
            </w:r>
          </w:p>
        </w:tc>
      </w:tr>
      <w:tr>
        <w:trPr>
          <w:cantSplit/>
        </w:trPr>
        <w:tc>
          <w:tcPr>
            <w:tcW w:type="dxa" w:w="927"/>
          </w:tcPr>
          <w:p>
            <w:pPr>
              <w:spacing w:after="0"/>
            </w:pPr>
            <w:r/>
            <w:r>
              <w:rPr>
                <w:sz w:val="13"/>
              </w:rPr>
              <w:t>POST</w:t>
            </w:r>
          </w:p>
        </w:tc>
        <w:tc>
          <w:tcPr>
            <w:tcW w:type="dxa" w:w="4276"/>
          </w:tcPr>
          <w:p>
            <w:pPr>
              <w:spacing w:after="0"/>
            </w:pPr>
            <w:r/>
            <w:r>
              <w:rPr>
                <w:sz w:val="13"/>
              </w:rPr>
              <w:t>/api/v1/returns</w:t>
            </w:r>
          </w:p>
        </w:tc>
        <w:tc>
          <w:tcPr>
            <w:tcW w:type="dxa" w:w="4561"/>
          </w:tcPr>
          <w:p>
            <w:pPr>
              <w:spacing w:after="0"/>
            </w:pPr>
            <w:r/>
            <w:r>
              <w:rPr>
                <w:sz w:val="13"/>
              </w:rPr>
              <w:t>Create a sales return (refund + restock, immutable audit event)</w:t>
            </w:r>
          </w:p>
        </w:tc>
        <w:tc>
          <w:tcPr>
            <w:tcW w:type="dxa" w:w="855"/>
          </w:tcPr>
          <w:p>
            <w:pPr>
              <w:spacing w:after="0"/>
            </w:pPr>
            <w:r/>
            <w:r>
              <w:rPr>
                <w:sz w:val="13"/>
              </w:rPr>
              <w:t>bearer</w:t>
            </w:r>
          </w:p>
        </w:tc>
        <w:tc>
          <w:tcPr>
            <w:tcW w:type="dxa" w:w="3492"/>
          </w:tcPr>
          <w:p>
            <w:pPr>
              <w:spacing w:after="0"/>
            </w:pPr>
            <w:r/>
            <w:r>
              <w:rPr>
                <w:sz w:val="13"/>
              </w:rPr>
              <w:t>sales.returns.create</w:t>
            </w:r>
          </w:p>
        </w:tc>
      </w:tr>
      <w:tr>
        <w:trPr>
          <w:cantSplit/>
        </w:trPr>
        <w:tc>
          <w:tcPr>
            <w:tcW w:type="dxa" w:w="927"/>
          </w:tcPr>
          <w:p>
            <w:pPr>
              <w:spacing w:after="0"/>
            </w:pPr>
            <w:r/>
            <w:r>
              <w:rPr>
                <w:sz w:val="13"/>
              </w:rPr>
              <w:t>GET</w:t>
            </w:r>
          </w:p>
        </w:tc>
        <w:tc>
          <w:tcPr>
            <w:tcW w:type="dxa" w:w="4276"/>
          </w:tcPr>
          <w:p>
            <w:pPr>
              <w:spacing w:after="0"/>
            </w:pPr>
            <w:r/>
            <w:r>
              <w:rPr>
                <w:sz w:val="13"/>
              </w:rPr>
              <w:t>/api/v1/returns/{id}</w:t>
            </w:r>
          </w:p>
        </w:tc>
        <w:tc>
          <w:tcPr>
            <w:tcW w:type="dxa" w:w="4561"/>
          </w:tcPr>
          <w:p>
            <w:pPr>
              <w:spacing w:after="0"/>
            </w:pPr>
            <w:r/>
            <w:r>
              <w:rPr>
                <w:sz w:val="13"/>
              </w:rPr>
              <w:t>Get a sales return with its items</w:t>
            </w:r>
          </w:p>
        </w:tc>
        <w:tc>
          <w:tcPr>
            <w:tcW w:type="dxa" w:w="855"/>
          </w:tcPr>
          <w:p>
            <w:pPr>
              <w:spacing w:after="0"/>
            </w:pPr>
            <w:r/>
            <w:r>
              <w:rPr>
                <w:sz w:val="13"/>
              </w:rPr>
              <w:t>bearer</w:t>
            </w:r>
          </w:p>
        </w:tc>
        <w:tc>
          <w:tcPr>
            <w:tcW w:type="dxa" w:w="3492"/>
          </w:tcPr>
          <w:p>
            <w:pPr>
              <w:spacing w:after="0"/>
            </w:pPr>
            <w:r/>
            <w:r>
              <w:rPr>
                <w:sz w:val="13"/>
              </w:rPr>
              <w:t>sales.returns.view</w:t>
            </w:r>
          </w:p>
        </w:tc>
      </w:tr>
    </w:tbl>
    <w:p>
      <w:bookmarkStart w:id="1250" w:name="_Toc1250"/>
      <w:pPr>
        <w:pStyle w:val="Heading3"/>
      </w:pPr>
      <w:r>
        <w:t>roles — 3 operations</w:t>
      </w:r>
      <w:bookmarkEnd w:id="1250"/>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/api/v1/permissions</w:t>
            </w:r>
          </w:p>
        </w:tc>
        <w:tc>
          <w:tcPr>
            <w:tcW w:type="dxa" w:w="4561"/>
          </w:tcPr>
          <w:p>
            <w:pPr>
              <w:spacing w:after="0"/>
            </w:pPr>
            <w:r/>
            <w:r>
              <w:rPr>
                <w:sz w:val="13"/>
              </w:rPr>
              <w:t>Permission catalog (grouped keys for ERP editors)</w:t>
            </w:r>
          </w:p>
        </w:tc>
        <w:tc>
          <w:tcPr>
            <w:tcW w:type="dxa" w:w="855"/>
          </w:tcPr>
          <w:p>
            <w:pPr>
              <w:spacing w:after="0"/>
            </w:pPr>
            <w:r/>
            <w:r>
              <w:rPr>
                <w:sz w:val="13"/>
              </w:rPr>
              <w:t>bearer</w:t>
            </w:r>
          </w:p>
        </w:tc>
        <w:tc>
          <w:tcPr>
            <w:tcW w:type="dxa" w:w="3492"/>
          </w:tcPr>
          <w:p>
            <w:pPr>
              <w:spacing w:after="0"/>
            </w:pPr>
            <w:r/>
            <w:r>
              <w:rPr>
                <w:sz w:val="13"/>
              </w:rPr>
              <w:t>system.roles.view</w:t>
            </w:r>
          </w:p>
        </w:tc>
      </w:tr>
      <w:tr>
        <w:trPr>
          <w:cantSplit/>
        </w:trPr>
        <w:tc>
          <w:tcPr>
            <w:tcW w:type="dxa" w:w="927"/>
          </w:tcPr>
          <w:p>
            <w:pPr>
              <w:spacing w:after="0"/>
            </w:pPr>
            <w:r/>
            <w:r>
              <w:rPr>
                <w:sz w:val="13"/>
              </w:rPr>
              <w:t>GET</w:t>
            </w:r>
          </w:p>
        </w:tc>
        <w:tc>
          <w:tcPr>
            <w:tcW w:type="dxa" w:w="4276"/>
          </w:tcPr>
          <w:p>
            <w:pPr>
              <w:spacing w:after="0"/>
            </w:pPr>
            <w:r/>
            <w:r>
              <w:rPr>
                <w:sz w:val="13"/>
              </w:rPr>
              <w:t>/api/v1/role-permissions</w:t>
            </w:r>
          </w:p>
        </w:tc>
        <w:tc>
          <w:tcPr>
            <w:tcW w:type="dxa" w:w="4561"/>
          </w:tcPr>
          <w:p>
            <w:pPr>
              <w:spacing w:after="0"/>
            </w:pPr>
            <w:r/>
            <w:r>
              <w:rPr>
                <w:sz w:val="13"/>
              </w:rPr>
              <w:t>Role-permission matrix (ERP-controlled)</w:t>
            </w:r>
          </w:p>
        </w:tc>
        <w:tc>
          <w:tcPr>
            <w:tcW w:type="dxa" w:w="855"/>
          </w:tcPr>
          <w:p>
            <w:pPr>
              <w:spacing w:after="0"/>
            </w:pPr>
            <w:r/>
            <w:r>
              <w:rPr>
                <w:sz w:val="13"/>
              </w:rPr>
              <w:t>bearer</w:t>
            </w:r>
          </w:p>
        </w:tc>
        <w:tc>
          <w:tcPr>
            <w:tcW w:type="dxa" w:w="3492"/>
          </w:tcPr>
          <w:p>
            <w:pPr>
              <w:spacing w:after="0"/>
            </w:pPr>
            <w:r/>
            <w:r>
              <w:rPr>
                <w:sz w:val="13"/>
              </w:rPr>
              <w:t>admin-only (RequireAdmin)</w:t>
            </w:r>
          </w:p>
        </w:tc>
      </w:tr>
      <w:tr>
        <w:trPr>
          <w:cantSplit/>
        </w:trPr>
        <w:tc>
          <w:tcPr>
            <w:tcW w:type="dxa" w:w="927"/>
          </w:tcPr>
          <w:p>
            <w:pPr>
              <w:spacing w:after="0"/>
            </w:pPr>
            <w:r/>
            <w:r>
              <w:rPr>
                <w:sz w:val="13"/>
              </w:rPr>
              <w:t>PUT</w:t>
            </w:r>
          </w:p>
        </w:tc>
        <w:tc>
          <w:tcPr>
            <w:tcW w:type="dxa" w:w="4276"/>
          </w:tcPr>
          <w:p>
            <w:pPr>
              <w:spacing w:after="0"/>
            </w:pPr>
            <w:r/>
            <w:r>
              <w:rPr>
                <w:sz w:val="13"/>
              </w:rPr>
              <w:t>/api/v1/role-permissions</w:t>
            </w:r>
          </w:p>
        </w:tc>
        <w:tc>
          <w:tcPr>
            <w:tcW w:type="dxa" w:w="4561"/>
          </w:tcPr>
          <w:p>
            <w:pPr>
              <w:spacing w:after="0"/>
            </w:pPr>
            <w:r/>
            <w:r>
              <w:rPr>
                <w:sz w:val="13"/>
              </w:rPr>
              <w:t>Grant or revoke one role permission override</w:t>
            </w:r>
          </w:p>
        </w:tc>
        <w:tc>
          <w:tcPr>
            <w:tcW w:type="dxa" w:w="855"/>
          </w:tcPr>
          <w:p>
            <w:pPr>
              <w:spacing w:after="0"/>
            </w:pPr>
            <w:r/>
            <w:r>
              <w:rPr>
                <w:sz w:val="13"/>
              </w:rPr>
              <w:t>bearer</w:t>
            </w:r>
          </w:p>
        </w:tc>
        <w:tc>
          <w:tcPr>
            <w:tcW w:type="dxa" w:w="3492"/>
          </w:tcPr>
          <w:p>
            <w:pPr>
              <w:spacing w:after="0"/>
            </w:pPr>
            <w:r/>
            <w:r>
              <w:rPr>
                <w:sz w:val="13"/>
              </w:rPr>
              <w:t>admin-only (RequireAdmin)</w:t>
            </w:r>
          </w:p>
        </w:tc>
      </w:tr>
    </w:tbl>
    <w:p>
      <w:bookmarkStart w:id="1251" w:name="_Toc1251"/>
      <w:pPr>
        <w:pStyle w:val="Heading3"/>
      </w:pPr>
      <w:r>
        <w:t>sales — 38 operations</w:t>
      </w:r>
      <w:bookmarkEnd w:id="1251"/>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POST</w:t>
            </w:r>
          </w:p>
        </w:tc>
        <w:tc>
          <w:tcPr>
            <w:tcW w:type="dxa" w:w="4276"/>
          </w:tcPr>
          <w:p>
            <w:pPr>
              <w:spacing w:after="0"/>
            </w:pPr>
            <w:r/>
            <w:r>
              <w:rPr>
                <w:sz w:val="13"/>
              </w:rPr>
              <w:t>/api/midtrans/notifications</w:t>
            </w:r>
          </w:p>
        </w:tc>
        <w:tc>
          <w:tcPr>
            <w:tcW w:type="dxa" w:w="4561"/>
          </w:tcPr>
          <w:p>
            <w:pPr>
              <w:spacing w:after="0"/>
            </w:pPr>
            <w:r/>
            <w:r>
              <w:rPr>
                <w:sz w:val="13"/>
              </w:rPr>
              <w:t>Midtrans Payment Notification webhook alias (public, signature-verified)</w:t>
            </w:r>
          </w:p>
        </w:tc>
        <w:tc>
          <w:tcPr>
            <w:tcW w:type="dxa" w:w="855"/>
          </w:tcPr>
          <w:p>
            <w:pPr>
              <w:spacing w:after="0"/>
            </w:pPr>
            <w:r/>
            <w:r>
              <w:rPr>
                <w:sz w:val="13"/>
              </w:rPr>
              <w:t>public</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/api/v1/midtrans/notifications</w:t>
            </w:r>
          </w:p>
        </w:tc>
        <w:tc>
          <w:tcPr>
            <w:tcW w:type="dxa" w:w="4561"/>
          </w:tcPr>
          <w:p>
            <w:pPr>
              <w:spacing w:after="0"/>
            </w:pPr>
            <w:r/>
            <w:r>
              <w:rPr>
                <w:sz w:val="13"/>
              </w:rPr>
              <w:t>Midtrans Payment Notification webhook (public, signature-verified)</w:t>
            </w:r>
          </w:p>
        </w:tc>
        <w:tc>
          <w:tcPr>
            <w:tcW w:type="dxa" w:w="855"/>
          </w:tcPr>
          <w:p>
            <w:pPr>
              <w:spacing w:after="0"/>
            </w:pPr>
            <w:r/>
            <w:r>
              <w:rPr>
                <w:sz w:val="13"/>
              </w:rPr>
              <w:t>public</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/api/v1/midtrans/sweep</w:t>
            </w:r>
          </w:p>
        </w:tc>
        <w:tc>
          <w:tcPr>
            <w:tcW w:type="dxa" w:w="4561"/>
          </w:tcPr>
          <w:p>
            <w:pPr>
              <w:spacing w:after="0"/>
            </w:pPr>
            <w:r/>
            <w:r>
              <w:rPr>
                <w:sz w:val="13"/>
              </w:rPr>
              <w:t>Background Snap sweeper, one pass (token-gated, no identifiers)</w:t>
            </w:r>
          </w:p>
        </w:tc>
        <w:tc>
          <w:tcPr>
            <w:tcW w:type="dxa" w:w="855"/>
          </w:tcPr>
          <w:p>
            <w:pPr>
              <w:spacing w:after="0"/>
            </w:pPr>
            <w:r/>
            <w:r>
              <w:rPr>
                <w:sz w:val="13"/>
              </w:rPr>
              <w:t>bearer</w:t>
            </w:r>
          </w:p>
        </w:tc>
        <w:tc>
          <w:tcPr>
            <w:tcW w:type="dxa" w:w="3492"/>
          </w:tcPr>
          <w:p>
            <w:pPr>
              <w:spacing w:after="0"/>
            </w:pPr>
            <w:r/>
            <w:r>
              <w:rPr>
                <w:sz w:val="13"/>
              </w:rPr>
              <w:t>shared-secret token (MIDTRANS_SWEEP_TOKEN)</w:t>
            </w:r>
          </w:p>
        </w:tc>
      </w:tr>
      <w:tr>
        <w:trPr>
          <w:cantSplit/>
        </w:trPr>
        <w:tc>
          <w:tcPr>
            <w:tcW w:type="dxa" w:w="927"/>
          </w:tcPr>
          <w:p>
            <w:pPr>
              <w:spacing w:after="0"/>
            </w:pPr>
            <w:r/>
            <w:r>
              <w:rPr>
                <w:sz w:val="13"/>
              </w:rPr>
              <w:t>POST</w:t>
            </w:r>
          </w:p>
        </w:tc>
        <w:tc>
          <w:tcPr>
            <w:tcW w:type="dxa" w:w="4276"/>
          </w:tcPr>
          <w:p>
            <w:pPr>
              <w:spacing w:after="0"/>
            </w:pPr>
            <w:r/>
            <w:r>
              <w:rPr>
                <w:sz w:val="13"/>
              </w:rPr>
              <w:t>/api/v1/pos</w:t>
            </w:r>
          </w:p>
        </w:tc>
        <w:tc>
          <w:tcPr>
            <w:tcW w:type="dxa" w:w="4561"/>
          </w:tcPr>
          <w:p>
            <w:pPr>
              <w:spacing w:after="0"/>
            </w:pPr>
            <w:r/>
            <w:r>
              <w:rPr>
                <w:sz w:val="13"/>
              </w:rPr>
              <w:t>Process a POS transaction (order + stock deduction + auto invoice)</w:t>
            </w:r>
          </w:p>
        </w:tc>
        <w:tc>
          <w:tcPr>
            <w:tcW w:type="dxa" w:w="855"/>
          </w:tcPr>
          <w:p>
            <w:pPr>
              <w:spacing w:after="0"/>
            </w:pPr>
            <w:r/>
            <w:r>
              <w:rPr>
                <w:sz w:val="13"/>
              </w:rPr>
              <w:t>bearer</w:t>
            </w:r>
          </w:p>
        </w:tc>
        <w:tc>
          <w:tcPr>
            <w:tcW w:type="dxa" w:w="3492"/>
          </w:tcPr>
          <w:p>
            <w:pPr>
              <w:spacing w:after="0"/>
            </w:pPr>
            <w:r/>
            <w:r>
              <w:rPr>
                <w:sz w:val="13"/>
              </w:rPr>
              <w:t>sales.pos.create</w:t>
            </w:r>
          </w:p>
        </w:tc>
      </w:tr>
      <w:tr>
        <w:trPr>
          <w:cantSplit/>
        </w:trPr>
        <w:tc>
          <w:tcPr>
            <w:tcW w:type="dxa" w:w="927"/>
          </w:tcPr>
          <w:p>
            <w:pPr>
              <w:spacing w:after="0"/>
            </w:pPr>
            <w:r/>
            <w:r>
              <w:rPr>
                <w:sz w:val="13"/>
              </w:rPr>
              <w:t>GET</w:t>
            </w:r>
          </w:p>
        </w:tc>
        <w:tc>
          <w:tcPr>
            <w:tcW w:type="dxa" w:w="4276"/>
          </w:tcPr>
          <w:p>
            <w:pPr>
              <w:spacing w:after="0"/>
            </w:pPr>
            <w:r/>
            <w:r>
              <w:rPr>
                <w:sz w:val="13"/>
              </w:rPr>
              <w:t>/api/v1/pos/{id}/payment-status</w:t>
            </w:r>
          </w:p>
        </w:tc>
        <w:tc>
          <w:tcPr>
            <w:tcW w:type="dxa" w:w="4561"/>
          </w:tcPr>
          <w:p>
            <w:pPr>
              <w:spacing w:after="0"/>
            </w:pPr>
            <w:r/>
            <w:r>
              <w:rPr>
                <w:sz w:val="13"/>
              </w:rPr>
              <w:t>Till-side recovery poll for a deferred-gateway (QRIS) POS order</w:t>
            </w:r>
          </w:p>
        </w:tc>
        <w:tc>
          <w:tcPr>
            <w:tcW w:type="dxa" w:w="855"/>
          </w:tcPr>
          <w:p>
            <w:pPr>
              <w:spacing w:after="0"/>
            </w:pPr>
            <w:r/>
            <w:r>
              <w:rPr>
                <w:sz w:val="13"/>
              </w:rPr>
              <w:t>bearer</w:t>
            </w:r>
          </w:p>
        </w:tc>
        <w:tc>
          <w:tcPr>
            <w:tcW w:type="dxa" w:w="3492"/>
          </w:tcPr>
          <w:p>
            <w:pPr>
              <w:spacing w:after="0"/>
            </w:pPr>
            <w:r/>
            <w:r>
              <w:rPr>
                <w:sz w:val="13"/>
              </w:rPr>
              <w:t>sales.pos.create</w:t>
            </w:r>
          </w:p>
        </w:tc>
      </w:tr>
      <w:tr>
        <w:trPr>
          <w:cantSplit/>
        </w:trPr>
        <w:tc>
          <w:tcPr>
            <w:tcW w:type="dxa" w:w="927"/>
          </w:tcPr>
          <w:p>
            <w:pPr>
              <w:spacing w:after="0"/>
            </w:pPr>
            <w:r/>
            <w:r>
              <w:rPr>
                <w:sz w:val="13"/>
              </w:rPr>
              <w:t>GET</w:t>
            </w:r>
          </w:p>
        </w:tc>
        <w:tc>
          <w:tcPr>
            <w:tcW w:type="dxa" w:w="4276"/>
          </w:tcPr>
          <w:p>
            <w:pPr>
              <w:spacing w:after="0"/>
            </w:pPr>
            <w:r/>
            <w:r>
              <w:rPr>
                <w:sz w:val="13"/>
              </w:rPr>
              <w:t>/api/v1/returns/me</w:t>
            </w:r>
          </w:p>
        </w:tc>
        <w:tc>
          <w:tcPr>
            <w:tcW w:type="dxa" w:w="4561"/>
          </w:tcPr>
          <w:p>
            <w:pPr>
              <w:spacing w:after="0"/>
            </w:pPr>
            <w:r/>
            <w:r>
              <w:rPr>
                <w:sz w:val="13"/>
              </w:rPr>
              <w:t>List the authenticated buyer's own returns</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/api/v1/sales-orders</w:t>
            </w:r>
          </w:p>
        </w:tc>
        <w:tc>
          <w:tcPr>
            <w:tcW w:type="dxa" w:w="4561"/>
          </w:tcPr>
          <w:p>
            <w:pPr>
              <w:spacing w:after="0"/>
            </w:pPr>
            <w:r/>
            <w:r>
              <w:rPr>
                <w:sz w:val="13"/>
              </w:rPr>
              <w:t>List sales orders</w:t>
            </w:r>
          </w:p>
        </w:tc>
        <w:tc>
          <w:tcPr>
            <w:tcW w:type="dxa" w:w="855"/>
          </w:tcPr>
          <w:p>
            <w:pPr>
              <w:spacing w:after="0"/>
            </w:pPr>
            <w:r/>
            <w:r>
              <w:rPr>
                <w:sz w:val="13"/>
              </w:rPr>
              <w:t>bearer</w:t>
            </w:r>
          </w:p>
        </w:tc>
        <w:tc>
          <w:tcPr>
            <w:tcW w:type="dxa" w:w="3492"/>
          </w:tcPr>
          <w:p>
            <w:pPr>
              <w:spacing w:after="0"/>
            </w:pPr>
            <w:r/>
            <w:r>
              <w:rPr>
                <w:sz w:val="13"/>
              </w:rPr>
              <w:t>sales.sales-orders.view</w:t>
            </w:r>
          </w:p>
        </w:tc>
      </w:tr>
      <w:tr>
        <w:trPr>
          <w:cantSplit/>
        </w:trPr>
        <w:tc>
          <w:tcPr>
            <w:tcW w:type="dxa" w:w="927"/>
          </w:tcPr>
          <w:p>
            <w:pPr>
              <w:spacing w:after="0"/>
            </w:pPr>
            <w:r/>
            <w:r>
              <w:rPr>
                <w:sz w:val="13"/>
              </w:rPr>
              <w:t>POST</w:t>
            </w:r>
          </w:p>
        </w:tc>
        <w:tc>
          <w:tcPr>
            <w:tcW w:type="dxa" w:w="4276"/>
          </w:tcPr>
          <w:p>
            <w:pPr>
              <w:spacing w:after="0"/>
            </w:pPr>
            <w:r/>
            <w:r>
              <w:rPr>
                <w:sz w:val="13"/>
              </w:rPr>
              <w:t>/api/v1/sales-orders</w:t>
            </w:r>
          </w:p>
        </w:tc>
        <w:tc>
          <w:tcPr>
            <w:tcW w:type="dxa" w:w="4561"/>
          </w:tcPr>
          <w:p>
            <w:pPr>
              <w:spacing w:after="0"/>
            </w:pPr>
            <w:r/>
            <w:r>
              <w:rPr>
                <w:sz w:val="13"/>
              </w:rPr>
              <w:t>Create a (draft) sales order; reserves stock</w:t>
            </w:r>
          </w:p>
        </w:tc>
        <w:tc>
          <w:tcPr>
            <w:tcW w:type="dxa" w:w="855"/>
          </w:tcPr>
          <w:p>
            <w:pPr>
              <w:spacing w:after="0"/>
            </w:pPr>
            <w:r/>
            <w:r>
              <w:rPr>
                <w:sz w:val="13"/>
              </w:rPr>
              <w:t>bearer</w:t>
            </w:r>
          </w:p>
        </w:tc>
        <w:tc>
          <w:tcPr>
            <w:tcW w:type="dxa" w:w="3492"/>
          </w:tcPr>
          <w:p>
            <w:pPr>
              <w:spacing w:after="0"/>
            </w:pPr>
            <w:r/>
            <w:r>
              <w:rPr>
                <w:sz w:val="13"/>
              </w:rPr>
              <w:t>sales.sales-orders.create</w:t>
            </w:r>
          </w:p>
        </w:tc>
      </w:tr>
      <w:tr>
        <w:trPr>
          <w:cantSplit/>
        </w:trPr>
        <w:tc>
          <w:tcPr>
            <w:tcW w:type="dxa" w:w="927"/>
          </w:tcPr>
          <w:p>
            <w:pPr>
              <w:spacing w:after="0"/>
            </w:pPr>
            <w:r/>
            <w:r>
              <w:rPr>
                <w:sz w:val="13"/>
              </w:rPr>
              <w:t>GET</w:t>
            </w:r>
          </w:p>
        </w:tc>
        <w:tc>
          <w:tcPr>
            <w:tcW w:type="dxa" w:w="4276"/>
          </w:tcPr>
          <w:p>
            <w:pPr>
              <w:spacing w:after="0"/>
            </w:pPr>
            <w:r/>
            <w:r>
              <w:rPr>
                <w:sz w:val="13"/>
              </w:rPr>
              <w:t>/api/v1/sales-orders/for-return</w:t>
            </w:r>
          </w:p>
        </w:tc>
        <w:tc>
          <w:tcPr>
            <w:tcW w:type="dxa" w:w="4561"/>
          </w:tcPr>
          <w:p>
            <w:pPr>
              <w:spacing w:after="0"/>
            </w:pPr>
            <w:r/>
            <w:r>
              <w:rPr>
                <w:sz w:val="13"/>
              </w:rPr>
              <w:t>Resolve one order by SO number for the return flow (own stores only)</w:t>
            </w:r>
          </w:p>
        </w:tc>
        <w:tc>
          <w:tcPr>
            <w:tcW w:type="dxa" w:w="855"/>
          </w:tcPr>
          <w:p>
            <w:pPr>
              <w:spacing w:after="0"/>
            </w:pPr>
            <w:r/>
            <w:r>
              <w:rPr>
                <w:sz w:val="13"/>
              </w:rPr>
              <w:t>bearer</w:t>
            </w:r>
          </w:p>
        </w:tc>
        <w:tc>
          <w:tcPr>
            <w:tcW w:type="dxa" w:w="3492"/>
          </w:tcPr>
          <w:p>
            <w:pPr>
              <w:spacing w:after="0"/>
            </w:pPr>
            <w:r/>
            <w:r>
              <w:rPr>
                <w:sz w:val="13"/>
              </w:rPr>
              <w:t>sales.returns.view</w:t>
            </w:r>
          </w:p>
        </w:tc>
      </w:tr>
      <w:tr>
        <w:trPr>
          <w:cantSplit/>
        </w:trPr>
        <w:tc>
          <w:tcPr>
            <w:tcW w:type="dxa" w:w="927"/>
          </w:tcPr>
          <w:p>
            <w:pPr>
              <w:spacing w:after="0"/>
            </w:pPr>
            <w:r/>
            <w:r>
              <w:rPr>
                <w:sz w:val="13"/>
              </w:rPr>
              <w:t>GET</w:t>
            </w:r>
          </w:p>
        </w:tc>
        <w:tc>
          <w:tcPr>
            <w:tcW w:type="dxa" w:w="4276"/>
          </w:tcPr>
          <w:p>
            <w:pPr>
              <w:spacing w:after="0"/>
            </w:pPr>
            <w:r/>
            <w:r>
              <w:rPr>
                <w:sz w:val="13"/>
              </w:rPr>
              <w:t>/api/v1/sales-orders/me</w:t>
            </w:r>
          </w:p>
        </w:tc>
        <w:tc>
          <w:tcPr>
            <w:tcW w:type="dxa" w:w="4561"/>
          </w:tcPr>
          <w:p>
            <w:pPr>
              <w:spacing w:after="0"/>
            </w:pPr>
            <w:r/>
            <w:r>
              <w:rPr>
                <w:sz w:val="13"/>
              </w:rPr>
              <w:t>List the current buyer's own e-commerce orders</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/api/v1/sales-orders/me/summary</w:t>
            </w:r>
          </w:p>
        </w:tc>
        <w:tc>
          <w:tcPr>
            <w:tcW w:type="dxa" w:w="4561"/>
          </w:tcPr>
          <w:p>
            <w:pPr>
              <w:spacing w:after="0"/>
            </w:pPr>
            <w:r/>
            <w:r>
              <w:rPr>
                <w:sz w:val="13"/>
              </w:rPr>
              <w:t>Order count summary by lifecycle status for the authenticated buyer</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/api/v1/sales-orders/me/{id}</w:t>
            </w:r>
          </w:p>
        </w:tc>
        <w:tc>
          <w:tcPr>
            <w:tcW w:type="dxa" w:w="4561"/>
          </w:tcPr>
          <w:p>
            <w:pPr>
              <w:spacing w:after="0"/>
            </w:pPr>
            <w:r/>
            <w:r>
              <w:rPr>
                <w:sz w:val="13"/>
              </w:rPr>
              <w:t>Get the current buyer's own e-commerce order</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/api/v1/sales-orders/payment-reconciliation</w:t>
            </w:r>
          </w:p>
        </w:tc>
        <w:tc>
          <w:tcPr>
            <w:tcW w:type="dxa" w:w="4561"/>
          </w:tcPr>
          <w:p>
            <w:pPr>
              <w:spacing w:after="0"/>
            </w:pPr>
            <w:r/>
            <w:r>
              <w:rPr>
                <w:sz w:val="13"/>
              </w:rPr>
              <w:t>Report open Snap invoices stranded past Midtrans' webhook retry horizon</w:t>
            </w:r>
          </w:p>
        </w:tc>
        <w:tc>
          <w:tcPr>
            <w:tcW w:type="dxa" w:w="855"/>
          </w:tcPr>
          <w:p>
            <w:pPr>
              <w:spacing w:after="0"/>
            </w:pPr>
            <w:r/>
            <w:r>
              <w:rPr>
                <w:sz w:val="13"/>
              </w:rPr>
              <w:t>bearer</w:t>
            </w:r>
          </w:p>
        </w:tc>
        <w:tc>
          <w:tcPr>
            <w:tcW w:type="dxa" w:w="3492"/>
          </w:tcPr>
          <w:p>
            <w:pPr>
              <w:spacing w:after="0"/>
            </w:pPr>
            <w:r/>
            <w:r>
              <w:rPr>
                <w:sz w:val="13"/>
              </w:rPr>
              <w:t>fakturisasi.invoices.view</w:t>
            </w:r>
          </w:p>
        </w:tc>
      </w:tr>
      <w:tr>
        <w:trPr>
          <w:cantSplit/>
        </w:trPr>
        <w:tc>
          <w:tcPr>
            <w:tcW w:type="dxa" w:w="927"/>
          </w:tcPr>
          <w:p>
            <w:pPr>
              <w:spacing w:after="0"/>
            </w:pPr>
            <w:r/>
            <w:r>
              <w:rPr>
                <w:sz w:val="13"/>
              </w:rPr>
              <w:t>GET</w:t>
            </w:r>
          </w:p>
        </w:tc>
        <w:tc>
          <w:tcPr>
            <w:tcW w:type="dxa" w:w="4276"/>
          </w:tcPr>
          <w:p>
            <w:pPr>
              <w:spacing w:after="0"/>
            </w:pPr>
            <w:r/>
            <w:r>
              <w:rPr>
                <w:sz w:val="13"/>
              </w:rPr>
              <w:t>/api/v1/sales-orders/supervisors</w:t>
            </w:r>
          </w:p>
        </w:tc>
        <w:tc>
          <w:tcPr>
            <w:tcW w:type="dxa" w:w="4561"/>
          </w:tcPr>
          <w:p>
            <w:pPr>
              <w:spacing w:after="0"/>
            </w:pPr>
            <w:r/>
            <w:r>
              <w:rPr>
                <w:sz w:val="13"/>
              </w:rPr>
              <w:t>List active supervisors and approvers for sales order submission</w:t>
            </w:r>
          </w:p>
        </w:tc>
        <w:tc>
          <w:tcPr>
            <w:tcW w:type="dxa" w:w="855"/>
          </w:tcPr>
          <w:p>
            <w:pPr>
              <w:spacing w:after="0"/>
            </w:pPr>
            <w:r/>
            <w:r>
              <w:rPr>
                <w:sz w:val="13"/>
              </w:rPr>
              <w:t>bearer</w:t>
            </w:r>
          </w:p>
        </w:tc>
        <w:tc>
          <w:tcPr>
            <w:tcW w:type="dxa" w:w="3492"/>
          </w:tcPr>
          <w:p>
            <w:pPr>
              <w:spacing w:after="0"/>
            </w:pPr>
            <w:r/>
            <w:r>
              <w:rPr>
                <w:sz w:val="13"/>
              </w:rPr>
              <w:t>sales.sales-orders.create</w:t>
            </w:r>
          </w:p>
        </w:tc>
      </w:tr>
      <w:tr>
        <w:trPr>
          <w:cantSplit/>
        </w:trPr>
        <w:tc>
          <w:tcPr>
            <w:tcW w:type="dxa" w:w="927"/>
          </w:tcPr>
          <w:p>
            <w:pPr>
              <w:spacing w:after="0"/>
            </w:pPr>
            <w:r/>
            <w:r>
              <w:rPr>
                <w:sz w:val="13"/>
              </w:rPr>
              <w:t>DELETE</w:t>
            </w:r>
          </w:p>
        </w:tc>
        <w:tc>
          <w:tcPr>
            <w:tcW w:type="dxa" w:w="4276"/>
          </w:tcPr>
          <w:p>
            <w:pPr>
              <w:spacing w:after="0"/>
            </w:pPr>
            <w:r/>
            <w:r>
              <w:rPr>
                <w:sz w:val="13"/>
              </w:rPr>
              <w:t>/api/v1/sales-orders/{id}</w:t>
            </w:r>
          </w:p>
        </w:tc>
        <w:tc>
          <w:tcPr>
            <w:tcW w:type="dxa" w:w="4561"/>
          </w:tcPr>
          <w:p>
            <w:pPr>
              <w:spacing w:after="0"/>
            </w:pPr>
            <w:r/>
            <w:r>
              <w:rPr>
                <w:sz w:val="13"/>
              </w:rPr>
              <w:t>Delete a draft sales order</w:t>
            </w:r>
          </w:p>
        </w:tc>
        <w:tc>
          <w:tcPr>
            <w:tcW w:type="dxa" w:w="855"/>
          </w:tcPr>
          <w:p>
            <w:pPr>
              <w:spacing w:after="0"/>
            </w:pPr>
            <w:r/>
            <w:r>
              <w:rPr>
                <w:sz w:val="13"/>
              </w:rPr>
              <w:t>bearer</w:t>
            </w:r>
          </w:p>
        </w:tc>
        <w:tc>
          <w:tcPr>
            <w:tcW w:type="dxa" w:w="3492"/>
          </w:tcPr>
          <w:p>
            <w:pPr>
              <w:spacing w:after="0"/>
            </w:pPr>
            <w:r/>
            <w:r>
              <w:rPr>
                <w:sz w:val="13"/>
              </w:rPr>
              <w:t>sales.sales-orders.delete</w:t>
            </w:r>
          </w:p>
        </w:tc>
      </w:tr>
      <w:tr>
        <w:trPr>
          <w:cantSplit/>
        </w:trPr>
        <w:tc>
          <w:tcPr>
            <w:tcW w:type="dxa" w:w="927"/>
          </w:tcPr>
          <w:p>
            <w:pPr>
              <w:spacing w:after="0"/>
            </w:pPr>
            <w:r/>
            <w:r>
              <w:rPr>
                <w:sz w:val="13"/>
              </w:rPr>
              <w:t>GET</w:t>
            </w:r>
          </w:p>
        </w:tc>
        <w:tc>
          <w:tcPr>
            <w:tcW w:type="dxa" w:w="4276"/>
          </w:tcPr>
          <w:p>
            <w:pPr>
              <w:spacing w:after="0"/>
            </w:pPr>
            <w:r/>
            <w:r>
              <w:rPr>
                <w:sz w:val="13"/>
              </w:rPr>
              <w:t>/api/v1/sales-orders/{id}</w:t>
            </w:r>
          </w:p>
        </w:tc>
        <w:tc>
          <w:tcPr>
            <w:tcW w:type="dxa" w:w="4561"/>
          </w:tcPr>
          <w:p>
            <w:pPr>
              <w:spacing w:after="0"/>
            </w:pPr>
            <w:r/>
            <w:r>
              <w:rPr>
                <w:sz w:val="13"/>
              </w:rPr>
              <w:t>Get a sales order with items</w:t>
            </w:r>
          </w:p>
        </w:tc>
        <w:tc>
          <w:tcPr>
            <w:tcW w:type="dxa" w:w="855"/>
          </w:tcPr>
          <w:p>
            <w:pPr>
              <w:spacing w:after="0"/>
            </w:pPr>
            <w:r/>
            <w:r>
              <w:rPr>
                <w:sz w:val="13"/>
              </w:rPr>
              <w:t>bearer</w:t>
            </w:r>
          </w:p>
        </w:tc>
        <w:tc>
          <w:tcPr>
            <w:tcW w:type="dxa" w:w="3492"/>
          </w:tcPr>
          <w:p>
            <w:pPr>
              <w:spacing w:after="0"/>
            </w:pPr>
            <w:r/>
            <w:r>
              <w:rPr>
                <w:sz w:val="13"/>
              </w:rPr>
              <w:t>sales.sales-orders.view</w:t>
            </w:r>
          </w:p>
        </w:tc>
      </w:tr>
      <w:tr>
        <w:trPr>
          <w:cantSplit/>
        </w:trPr>
        <w:tc>
          <w:tcPr>
            <w:tcW w:type="dxa" w:w="927"/>
          </w:tcPr>
          <w:p>
            <w:pPr>
              <w:spacing w:after="0"/>
            </w:pPr>
            <w:r/>
            <w:r>
              <w:rPr>
                <w:sz w:val="13"/>
              </w:rPr>
              <w:t>PUT</w:t>
            </w:r>
          </w:p>
        </w:tc>
        <w:tc>
          <w:tcPr>
            <w:tcW w:type="dxa" w:w="4276"/>
          </w:tcPr>
          <w:p>
            <w:pPr>
              <w:spacing w:after="0"/>
            </w:pPr>
            <w:r/>
            <w:r>
              <w:rPr>
                <w:sz w:val="13"/>
              </w:rPr>
              <w:t>/api/v1/sales-orders/{id}</w:t>
            </w:r>
          </w:p>
        </w:tc>
        <w:tc>
          <w:tcPr>
            <w:tcW w:type="dxa" w:w="4561"/>
          </w:tcPr>
          <w:p>
            <w:pPr>
              <w:spacing w:after="0"/>
            </w:pPr>
            <w:r/>
            <w:r>
              <w:rPr>
                <w:sz w:val="13"/>
              </w:rPr>
              <w:t>Update a draft sales order (release + re-reserve stock)</w:t>
            </w:r>
          </w:p>
        </w:tc>
        <w:tc>
          <w:tcPr>
            <w:tcW w:type="dxa" w:w="855"/>
          </w:tcPr>
          <w:p>
            <w:pPr>
              <w:spacing w:after="0"/>
            </w:pPr>
            <w:r/>
            <w:r>
              <w:rPr>
                <w:sz w:val="13"/>
              </w:rPr>
              <w:t>bearer</w:t>
            </w:r>
          </w:p>
        </w:tc>
        <w:tc>
          <w:tcPr>
            <w:tcW w:type="dxa" w:w="3492"/>
          </w:tcPr>
          <w:p>
            <w:pPr>
              <w:spacing w:after="0"/>
            </w:pPr>
            <w:r/>
            <w:r>
              <w:rPr>
                <w:sz w:val="13"/>
              </w:rPr>
              <w:t>sales.sales-orders.update</w:t>
            </w:r>
          </w:p>
        </w:tc>
      </w:tr>
      <w:tr>
        <w:trPr>
          <w:cantSplit/>
        </w:trPr>
        <w:tc>
          <w:tcPr>
            <w:tcW w:type="dxa" w:w="927"/>
          </w:tcPr>
          <w:p>
            <w:pPr>
              <w:spacing w:after="0"/>
            </w:pPr>
            <w:r/>
            <w:r>
              <w:rPr>
                <w:sz w:val="13"/>
              </w:rPr>
              <w:t>POST</w:t>
            </w:r>
          </w:p>
        </w:tc>
        <w:tc>
          <w:tcPr>
            <w:tcW w:type="dxa" w:w="4276"/>
          </w:tcPr>
          <w:p>
            <w:pPr>
              <w:spacing w:after="0"/>
            </w:pPr>
            <w:r/>
            <w:r>
              <w:rPr>
                <w:sz w:val="13"/>
              </w:rPr>
              <w:t>/api/v1/sales-orders/{id}/cancel</w:t>
            </w:r>
          </w:p>
        </w:tc>
        <w:tc>
          <w:tcPr>
            <w:tcW w:type="dxa" w:w="4561"/>
          </w:tcPr>
          <w:p>
            <w:pPr>
              <w:spacing w:after="0"/>
            </w:pPr>
            <w:r/>
            <w:r>
              <w:rPr>
                <w:sz w:val="13"/>
              </w:rPr>
              <w:t>Cancel a sales order (releases reservations)</w:t>
            </w:r>
          </w:p>
        </w:tc>
        <w:tc>
          <w:tcPr>
            <w:tcW w:type="dxa" w:w="855"/>
          </w:tcPr>
          <w:p>
            <w:pPr>
              <w:spacing w:after="0"/>
            </w:pPr>
            <w:r/>
            <w:r>
              <w:rPr>
                <w:sz w:val="13"/>
              </w:rPr>
              <w:t>bearer</w:t>
            </w:r>
          </w:p>
        </w:tc>
        <w:tc>
          <w:tcPr>
            <w:tcW w:type="dxa" w:w="3492"/>
          </w:tcPr>
          <w:p>
            <w:pPr>
              <w:spacing w:after="0"/>
            </w:pPr>
            <w:r/>
            <w:r>
              <w:rPr>
                <w:sz w:val="13"/>
              </w:rPr>
              <w:t>conditional (role carve-out closure)</w:t>
            </w:r>
          </w:p>
        </w:tc>
      </w:tr>
      <w:tr>
        <w:trPr>
          <w:cantSplit/>
        </w:trPr>
        <w:tc>
          <w:tcPr>
            <w:tcW w:type="dxa" w:w="927"/>
          </w:tcPr>
          <w:p>
            <w:pPr>
              <w:spacing w:after="0"/>
            </w:pPr>
            <w:r/>
            <w:r>
              <w:rPr>
                <w:sz w:val="13"/>
              </w:rPr>
              <w:t>POST</w:t>
            </w:r>
          </w:p>
        </w:tc>
        <w:tc>
          <w:tcPr>
            <w:tcW w:type="dxa" w:w="4276"/>
          </w:tcPr>
          <w:p>
            <w:pPr>
              <w:spacing w:after="0"/>
            </w:pPr>
            <w:r/>
            <w:r>
              <w:rPr>
                <w:sz w:val="13"/>
              </w:rPr>
              <w:t>/api/v1/sales-orders/{id}/confirm</w:t>
            </w:r>
          </w:p>
        </w:tc>
        <w:tc>
          <w:tcPr>
            <w:tcW w:type="dxa" w:w="4561"/>
          </w:tcPr>
          <w:p>
            <w:pPr>
              <w:spacing w:after="0"/>
            </w:pPr>
            <w:r/>
            <w:r>
              <w:rPr>
                <w:sz w:val="13"/>
              </w:rPr>
              <w:t>Confirm a draft sales order</w:t>
            </w:r>
          </w:p>
        </w:tc>
        <w:tc>
          <w:tcPr>
            <w:tcW w:type="dxa" w:w="855"/>
          </w:tcPr>
          <w:p>
            <w:pPr>
              <w:spacing w:after="0"/>
            </w:pPr>
            <w:r/>
            <w:r>
              <w:rPr>
                <w:sz w:val="13"/>
              </w:rPr>
              <w:t>bearer</w:t>
            </w:r>
          </w:p>
        </w:tc>
        <w:tc>
          <w:tcPr>
            <w:tcW w:type="dxa" w:w="3492"/>
          </w:tcPr>
          <w:p>
            <w:pPr>
              <w:spacing w:after="0"/>
            </w:pPr>
            <w:r/>
            <w:r>
              <w:rPr>
                <w:sz w:val="13"/>
              </w:rPr>
              <w:t>sales.sales-orders.confirm</w:t>
            </w:r>
          </w:p>
        </w:tc>
      </w:tr>
      <w:tr>
        <w:trPr>
          <w:cantSplit/>
        </w:trPr>
        <w:tc>
          <w:tcPr>
            <w:tcW w:type="dxa" w:w="927"/>
          </w:tcPr>
          <w:p>
            <w:pPr>
              <w:spacing w:after="0"/>
            </w:pPr>
            <w:r/>
            <w:r>
              <w:rPr>
                <w:sz w:val="13"/>
              </w:rPr>
              <w:t>PUT</w:t>
            </w:r>
          </w:p>
        </w:tc>
        <w:tc>
          <w:tcPr>
            <w:tcW w:type="dxa" w:w="4276"/>
          </w:tcPr>
          <w:p>
            <w:pPr>
              <w:spacing w:after="0"/>
            </w:pPr>
            <w:r/>
            <w:r>
              <w:rPr>
                <w:sz w:val="13"/>
              </w:rPr>
              <w:t>/api/v1/sales-orders/{id}/notes</w:t>
            </w:r>
          </w:p>
        </w:tc>
        <w:tc>
          <w:tcPr>
            <w:tcW w:type="dxa" w:w="4561"/>
          </w:tcPr>
          <w:p>
            <w:pPr>
              <w:spacing w:after="0"/>
            </w:pPr>
            <w:r/>
            <w:r>
              <w:rPr>
                <w:sz w:val="13"/>
              </w:rPr>
              <w:t>Replace a sales order's notes (empty string or null clears)</w:t>
            </w:r>
          </w:p>
        </w:tc>
        <w:tc>
          <w:tcPr>
            <w:tcW w:type="dxa" w:w="855"/>
          </w:tcPr>
          <w:p>
            <w:pPr>
              <w:spacing w:after="0"/>
            </w:pPr>
            <w:r/>
            <w:r>
              <w:rPr>
                <w:sz w:val="13"/>
              </w:rPr>
              <w:t>bearer</w:t>
            </w:r>
          </w:p>
        </w:tc>
        <w:tc>
          <w:tcPr>
            <w:tcW w:type="dxa" w:w="3492"/>
          </w:tcPr>
          <w:p>
            <w:pPr>
              <w:spacing w:after="0"/>
            </w:pPr>
            <w:r/>
            <w:r>
              <w:rPr>
                <w:sz w:val="13"/>
              </w:rPr>
              <w:t>sales.sales-orders.update</w:t>
            </w:r>
          </w:p>
        </w:tc>
      </w:tr>
      <w:tr>
        <w:trPr>
          <w:cantSplit/>
        </w:trPr>
        <w:tc>
          <w:tcPr>
            <w:tcW w:type="dxa" w:w="927"/>
          </w:tcPr>
          <w:p>
            <w:pPr>
              <w:spacing w:after="0"/>
            </w:pPr>
            <w:r/>
            <w:r>
              <w:rPr>
                <w:sz w:val="13"/>
              </w:rPr>
              <w:t>POST</w:t>
            </w:r>
          </w:p>
        </w:tc>
        <w:tc>
          <w:tcPr>
            <w:tcW w:type="dxa" w:w="4276"/>
          </w:tcPr>
          <w:p>
            <w:pPr>
              <w:spacing w:after="0"/>
            </w:pPr>
            <w:r/>
            <w:r>
              <w:rPr>
                <w:sz w:val="13"/>
              </w:rPr>
              <w:t>/api/v1/sales-orders/{id}/pay</w:t>
            </w:r>
          </w:p>
        </w:tc>
        <w:tc>
          <w:tcPr>
            <w:tcW w:type="dxa" w:w="4561"/>
          </w:tcPr>
          <w:p>
            <w:pPr>
              <w:spacing w:after="0"/>
            </w:pPr>
            <w:r/>
            <w:r>
              <w:rPr>
                <w:sz w:val="13"/>
              </w:rPr>
              <w:t>Pay the buyer's own e-commerce order (invoice + payment + stock deduction)</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/api/v1/sales-orders/{id}/payment-status</w:t>
            </w:r>
          </w:p>
        </w:tc>
        <w:tc>
          <w:tcPr>
            <w:tcW w:type="dxa" w:w="4561"/>
          </w:tcPr>
          <w:p>
            <w:pPr>
              <w:spacing w:after="0"/>
            </w:pPr>
            <w:r/>
            <w:r>
              <w:rPr>
                <w:sz w:val="13"/>
              </w:rPr>
              <w:t>Poll the buyer's own order payment status via Midtrans (missed-webhook recovery)</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POST</w:t>
            </w:r>
          </w:p>
        </w:tc>
        <w:tc>
          <w:tcPr>
            <w:tcW w:type="dxa" w:w="4276"/>
          </w:tcPr>
          <w:p>
            <w:pPr>
              <w:spacing w:after="0"/>
            </w:pPr>
            <w:r/>
            <w:r>
              <w:rPr>
                <w:sz w:val="13"/>
              </w:rPr>
              <w:t>/api/v1/sales-orders/{id}/snap-token</w:t>
            </w:r>
          </w:p>
        </w:tc>
        <w:tc>
          <w:tcPr>
            <w:tcW w:type="dxa" w:w="4561"/>
          </w:tcPr>
          <w:p>
            <w:pPr>
              <w:spacing w:after="0"/>
            </w:pPr>
            <w:r/>
            <w:r>
              <w:rPr>
                <w:sz w:val="13"/>
              </w:rPr>
              <w:t>Issue a Midtrans Snap token for the buyer's own e-commerce order</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PATCH</w:t>
            </w:r>
          </w:p>
        </w:tc>
        <w:tc>
          <w:tcPr>
            <w:tcW w:type="dxa" w:w="4276"/>
          </w:tcPr>
          <w:p>
            <w:pPr>
              <w:spacing w:after="0"/>
            </w:pPr>
            <w:r/>
            <w:r>
              <w:rPr>
                <w:sz w:val="13"/>
              </w:rPr>
              <w:t>/api/v1/sales-orders/{id}/status</w:t>
            </w:r>
          </w:p>
        </w:tc>
        <w:tc>
          <w:tcPr>
            <w:tcW w:type="dxa" w:w="4561"/>
          </w:tcPr>
          <w:p>
            <w:pPr>
              <w:spacing w:after="0"/>
            </w:pPr>
            <w:r/>
            <w:r>
              <w:rPr>
                <w:sz w:val="13"/>
              </w:rPr>
              <w:t>Update a sales order's status via one request (ERP lane)</w:t>
            </w:r>
          </w:p>
        </w:tc>
        <w:tc>
          <w:tcPr>
            <w:tcW w:type="dxa" w:w="855"/>
          </w:tcPr>
          <w:p>
            <w:pPr>
              <w:spacing w:after="0"/>
            </w:pPr>
            <w:r/>
            <w:r>
              <w:rPr>
                <w:sz w:val="13"/>
              </w:rPr>
              <w:t>bearer</w:t>
            </w:r>
          </w:p>
        </w:tc>
        <w:tc>
          <w:tcPr>
            <w:tcW w:type="dxa" w:w="3492"/>
          </w:tcPr>
          <w:p>
            <w:pPr>
              <w:spacing w:after="0"/>
            </w:pPr>
            <w:r/>
            <w:r>
              <w:rPr>
                <w:sz w:val="13"/>
              </w:rPr>
              <w:t>conditional (role carve-out closure)</w:t>
            </w:r>
          </w:p>
        </w:tc>
      </w:tr>
      <w:tr>
        <w:trPr>
          <w:cantSplit/>
        </w:trPr>
        <w:tc>
          <w:tcPr>
            <w:tcW w:type="dxa" w:w="927"/>
          </w:tcPr>
          <w:p>
            <w:pPr>
              <w:spacing w:after="0"/>
            </w:pPr>
            <w:r/>
            <w:r>
              <w:rPr>
                <w:sz w:val="13"/>
              </w:rPr>
              <w:t>GET</w:t>
            </w:r>
          </w:p>
        </w:tc>
        <w:tc>
          <w:tcPr>
            <w:tcW w:type="dxa" w:w="4276"/>
          </w:tcPr>
          <w:p>
            <w:pPr>
              <w:spacing w:after="0"/>
            </w:pPr>
            <w:r/>
            <w:r>
              <w:rPr>
                <w:sz w:val="13"/>
              </w:rPr>
              <w:t>/api/v1/sales-targets</w:t>
            </w:r>
          </w:p>
        </w:tc>
        <w:tc>
          <w:tcPr>
            <w:tcW w:type="dxa" w:w="4561"/>
          </w:tcPr>
          <w:p>
            <w:pPr>
              <w:spacing w:after="0"/>
            </w:pPr>
            <w:r/>
            <w:r>
              <w:rPr>
                <w:sz w:val="13"/>
              </w:rPr>
              <w:t>List tiered sales targets</w:t>
            </w:r>
          </w:p>
        </w:tc>
        <w:tc>
          <w:tcPr>
            <w:tcW w:type="dxa" w:w="855"/>
          </w:tcPr>
          <w:p>
            <w:pPr>
              <w:spacing w:after="0"/>
            </w:pPr>
            <w:r/>
            <w:r>
              <w:rPr>
                <w:sz w:val="13"/>
              </w:rPr>
              <w:t>bearer</w:t>
            </w:r>
          </w:p>
        </w:tc>
        <w:tc>
          <w:tcPr>
            <w:tcW w:type="dxa" w:w="3492"/>
          </w:tcPr>
          <w:p>
            <w:pPr>
              <w:spacing w:after="0"/>
            </w:pPr>
            <w:r/>
            <w:r>
              <w:rPr>
                <w:sz w:val="13"/>
              </w:rPr>
              <w:t>sales.targets.view</w:t>
            </w:r>
          </w:p>
        </w:tc>
      </w:tr>
      <w:tr>
        <w:trPr>
          <w:cantSplit/>
        </w:trPr>
        <w:tc>
          <w:tcPr>
            <w:tcW w:type="dxa" w:w="927"/>
          </w:tcPr>
          <w:p>
            <w:pPr>
              <w:spacing w:after="0"/>
            </w:pPr>
            <w:r/>
            <w:r>
              <w:rPr>
                <w:sz w:val="13"/>
              </w:rPr>
              <w:t>POST</w:t>
            </w:r>
          </w:p>
        </w:tc>
        <w:tc>
          <w:tcPr>
            <w:tcW w:type="dxa" w:w="4276"/>
          </w:tcPr>
          <w:p>
            <w:pPr>
              <w:spacing w:after="0"/>
            </w:pPr>
            <w:r/>
            <w:r>
              <w:rPr>
                <w:sz w:val="13"/>
              </w:rPr>
              <w:t>/api/v1/sales-targets</w:t>
            </w:r>
          </w:p>
        </w:tc>
        <w:tc>
          <w:tcPr>
            <w:tcW w:type="dxa" w:w="4561"/>
          </w:tcPr>
          <w:p>
            <w:pPr>
              <w:spacing w:after="0"/>
            </w:pPr>
            <w:r/>
            <w:r>
              <w:rPr>
                <w:sz w:val="13"/>
              </w:rPr>
              <w:t>Create sales target</w:t>
            </w:r>
          </w:p>
        </w:tc>
        <w:tc>
          <w:tcPr>
            <w:tcW w:type="dxa" w:w="855"/>
          </w:tcPr>
          <w:p>
            <w:pPr>
              <w:spacing w:after="0"/>
            </w:pPr>
            <w:r/>
            <w:r>
              <w:rPr>
                <w:sz w:val="13"/>
              </w:rPr>
              <w:t>bearer</w:t>
            </w:r>
          </w:p>
        </w:tc>
        <w:tc>
          <w:tcPr>
            <w:tcW w:type="dxa" w:w="3492"/>
          </w:tcPr>
          <w:p>
            <w:pPr>
              <w:spacing w:after="0"/>
            </w:pPr>
            <w:r/>
            <w:r>
              <w:rPr>
                <w:sz w:val="13"/>
              </w:rPr>
              <w:t>sales.targets.manage</w:t>
            </w:r>
          </w:p>
        </w:tc>
      </w:tr>
      <w:tr>
        <w:trPr>
          <w:cantSplit/>
        </w:trPr>
        <w:tc>
          <w:tcPr>
            <w:tcW w:type="dxa" w:w="927"/>
          </w:tcPr>
          <w:p>
            <w:pPr>
              <w:spacing w:after="0"/>
            </w:pPr>
            <w:r/>
            <w:r>
              <w:rPr>
                <w:sz w:val="13"/>
              </w:rPr>
              <w:t>GET</w:t>
            </w:r>
          </w:p>
        </w:tc>
        <w:tc>
          <w:tcPr>
            <w:tcW w:type="dxa" w:w="4276"/>
          </w:tcPr>
          <w:p>
            <w:pPr>
              <w:spacing w:after="0"/>
            </w:pPr>
            <w:r/>
            <w:r>
              <w:rPr>
                <w:sz w:val="13"/>
              </w:rPr>
              <w:t>/api/v1/sales-targets/summary</w:t>
            </w:r>
          </w:p>
        </w:tc>
        <w:tc>
          <w:tcPr>
            <w:tcW w:type="dxa" w:w="4561"/>
          </w:tcPr>
          <w:p>
            <w:pPr>
              <w:spacing w:after="0"/>
            </w:pPr>
            <w:r/>
            <w:r>
              <w:rPr>
                <w:sz w:val="13"/>
              </w:rPr>
              <w:t>Sales targets summary by level</w:t>
            </w:r>
          </w:p>
        </w:tc>
        <w:tc>
          <w:tcPr>
            <w:tcW w:type="dxa" w:w="855"/>
          </w:tcPr>
          <w:p>
            <w:pPr>
              <w:spacing w:after="0"/>
            </w:pPr>
            <w:r/>
            <w:r>
              <w:rPr>
                <w:sz w:val="13"/>
              </w:rPr>
              <w:t>bearer</w:t>
            </w:r>
          </w:p>
        </w:tc>
        <w:tc>
          <w:tcPr>
            <w:tcW w:type="dxa" w:w="3492"/>
          </w:tcPr>
          <w:p>
            <w:pPr>
              <w:spacing w:after="0"/>
            </w:pPr>
            <w:r/>
            <w:r>
              <w:rPr>
                <w:sz w:val="13"/>
              </w:rPr>
              <w:t>sales.targets.view</w:t>
            </w:r>
          </w:p>
        </w:tc>
      </w:tr>
      <w:tr>
        <w:trPr>
          <w:cantSplit/>
        </w:trPr>
        <w:tc>
          <w:tcPr>
            <w:tcW w:type="dxa" w:w="927"/>
          </w:tcPr>
          <w:p>
            <w:pPr>
              <w:spacing w:after="0"/>
            </w:pPr>
            <w:r/>
            <w:r>
              <w:rPr>
                <w:sz w:val="13"/>
              </w:rPr>
              <w:t>DELETE</w:t>
            </w:r>
          </w:p>
        </w:tc>
        <w:tc>
          <w:tcPr>
            <w:tcW w:type="dxa" w:w="4276"/>
          </w:tcPr>
          <w:p>
            <w:pPr>
              <w:spacing w:after="0"/>
            </w:pPr>
            <w:r/>
            <w:r>
              <w:rPr>
                <w:sz w:val="13"/>
              </w:rPr>
              <w:t>/api/v1/sales-targets/{id}</w:t>
            </w:r>
          </w:p>
        </w:tc>
        <w:tc>
          <w:tcPr>
            <w:tcW w:type="dxa" w:w="4561"/>
          </w:tcPr>
          <w:p>
            <w:pPr>
              <w:spacing w:after="0"/>
            </w:pPr>
            <w:r/>
            <w:r>
              <w:rPr>
                <w:sz w:val="13"/>
              </w:rPr>
              <w:t>Delete sales target</w:t>
            </w:r>
          </w:p>
        </w:tc>
        <w:tc>
          <w:tcPr>
            <w:tcW w:type="dxa" w:w="855"/>
          </w:tcPr>
          <w:p>
            <w:pPr>
              <w:spacing w:after="0"/>
            </w:pPr>
            <w:r/>
            <w:r>
              <w:rPr>
                <w:sz w:val="13"/>
              </w:rPr>
              <w:t>bearer</w:t>
            </w:r>
          </w:p>
        </w:tc>
        <w:tc>
          <w:tcPr>
            <w:tcW w:type="dxa" w:w="3492"/>
          </w:tcPr>
          <w:p>
            <w:pPr>
              <w:spacing w:after="0"/>
            </w:pPr>
            <w:r/>
            <w:r>
              <w:rPr>
                <w:sz w:val="13"/>
              </w:rPr>
              <w:t>sales.targets.manage</w:t>
            </w:r>
          </w:p>
        </w:tc>
      </w:tr>
      <w:tr>
        <w:trPr>
          <w:cantSplit/>
        </w:trPr>
        <w:tc>
          <w:tcPr>
            <w:tcW w:type="dxa" w:w="927"/>
          </w:tcPr>
          <w:p>
            <w:pPr>
              <w:spacing w:after="0"/>
            </w:pPr>
            <w:r/>
            <w:r>
              <w:rPr>
                <w:sz w:val="13"/>
              </w:rPr>
              <w:t>PUT</w:t>
            </w:r>
          </w:p>
        </w:tc>
        <w:tc>
          <w:tcPr>
            <w:tcW w:type="dxa" w:w="4276"/>
          </w:tcPr>
          <w:p>
            <w:pPr>
              <w:spacing w:after="0"/>
            </w:pPr>
            <w:r/>
            <w:r>
              <w:rPr>
                <w:sz w:val="13"/>
              </w:rPr>
              <w:t>/api/v1/sales-targets/{id}</w:t>
            </w:r>
          </w:p>
        </w:tc>
        <w:tc>
          <w:tcPr>
            <w:tcW w:type="dxa" w:w="4561"/>
          </w:tcPr>
          <w:p>
            <w:pPr>
              <w:spacing w:after="0"/>
            </w:pPr>
            <w:r/>
            <w:r>
              <w:rPr>
                <w:sz w:val="13"/>
              </w:rPr>
              <w:t>Update sales target</w:t>
            </w:r>
          </w:p>
        </w:tc>
        <w:tc>
          <w:tcPr>
            <w:tcW w:type="dxa" w:w="855"/>
          </w:tcPr>
          <w:p>
            <w:pPr>
              <w:spacing w:after="0"/>
            </w:pPr>
            <w:r/>
            <w:r>
              <w:rPr>
                <w:sz w:val="13"/>
              </w:rPr>
              <w:t>bearer</w:t>
            </w:r>
          </w:p>
        </w:tc>
        <w:tc>
          <w:tcPr>
            <w:tcW w:type="dxa" w:w="3492"/>
          </w:tcPr>
          <w:p>
            <w:pPr>
              <w:spacing w:after="0"/>
            </w:pPr>
            <w:r/>
            <w:r>
              <w:rPr>
                <w:sz w:val="13"/>
              </w:rPr>
              <w:t>sales.targets.manage</w:t>
            </w:r>
          </w:p>
        </w:tc>
      </w:tr>
      <w:tr>
        <w:trPr>
          <w:cantSplit/>
        </w:trPr>
        <w:tc>
          <w:tcPr>
            <w:tcW w:type="dxa" w:w="927"/>
          </w:tcPr>
          <w:p>
            <w:pPr>
              <w:spacing w:after="0"/>
            </w:pPr>
            <w:r/>
            <w:r>
              <w:rPr>
                <w:sz w:val="13"/>
              </w:rPr>
              <w:t>GET</w:t>
            </w:r>
          </w:p>
        </w:tc>
        <w:tc>
          <w:tcPr>
            <w:tcW w:type="dxa" w:w="4276"/>
          </w:tcPr>
          <w:p>
            <w:pPr>
              <w:spacing w:after="0"/>
            </w:pPr>
            <w:r/>
            <w:r>
              <w:rPr>
                <w:sz w:val="13"/>
              </w:rPr>
              <w:t>/api/v1/sales-vouchers</w:t>
            </w:r>
          </w:p>
        </w:tc>
        <w:tc>
          <w:tcPr>
            <w:tcW w:type="dxa" w:w="4561"/>
          </w:tcPr>
          <w:p>
            <w:pPr>
              <w:spacing w:after="0"/>
            </w:pPr>
            <w:r/>
            <w:r>
              <w:rPr>
                <w:sz w:val="13"/>
              </w:rPr>
              <w:t>List sales/member vouchers</w:t>
            </w:r>
          </w:p>
        </w:tc>
        <w:tc>
          <w:tcPr>
            <w:tcW w:type="dxa" w:w="855"/>
          </w:tcPr>
          <w:p>
            <w:pPr>
              <w:spacing w:after="0"/>
            </w:pPr>
            <w:r/>
            <w:r>
              <w:rPr>
                <w:sz w:val="13"/>
              </w:rPr>
              <w:t>bearer</w:t>
            </w:r>
          </w:p>
        </w:tc>
        <w:tc>
          <w:tcPr>
            <w:tcW w:type="dxa" w:w="3492"/>
          </w:tcPr>
          <w:p>
            <w:pPr>
              <w:spacing w:after="0"/>
            </w:pPr>
            <w:r/>
            <w:r>
              <w:rPr>
                <w:sz w:val="13"/>
              </w:rPr>
              <w:t>sales.sales-vouchers.view</w:t>
            </w:r>
          </w:p>
        </w:tc>
      </w:tr>
      <w:tr>
        <w:trPr>
          <w:cantSplit/>
        </w:trPr>
        <w:tc>
          <w:tcPr>
            <w:tcW w:type="dxa" w:w="927"/>
          </w:tcPr>
          <w:p>
            <w:pPr>
              <w:spacing w:after="0"/>
            </w:pPr>
            <w:r/>
            <w:r>
              <w:rPr>
                <w:sz w:val="13"/>
              </w:rPr>
              <w:t>POST</w:t>
            </w:r>
          </w:p>
        </w:tc>
        <w:tc>
          <w:tcPr>
            <w:tcW w:type="dxa" w:w="4276"/>
          </w:tcPr>
          <w:p>
            <w:pPr>
              <w:spacing w:after="0"/>
            </w:pPr>
            <w:r/>
            <w:r>
              <w:rPr>
                <w:sz w:val="13"/>
              </w:rPr>
              <w:t>/api/v1/sales-vouchers</w:t>
            </w:r>
          </w:p>
        </w:tc>
        <w:tc>
          <w:tcPr>
            <w:tcW w:type="dxa" w:w="4561"/>
          </w:tcPr>
          <w:p>
            <w:pPr>
              <w:spacing w:after="0"/>
            </w:pPr>
            <w:r/>
            <w:r>
              <w:rPr>
                <w:sz w:val="13"/>
              </w:rPr>
              <w:t>Create a sales/member voucher</w:t>
            </w:r>
          </w:p>
        </w:tc>
        <w:tc>
          <w:tcPr>
            <w:tcW w:type="dxa" w:w="855"/>
          </w:tcPr>
          <w:p>
            <w:pPr>
              <w:spacing w:after="0"/>
            </w:pPr>
            <w:r/>
            <w:r>
              <w:rPr>
                <w:sz w:val="13"/>
              </w:rPr>
              <w:t>bearer</w:t>
            </w:r>
          </w:p>
        </w:tc>
        <w:tc>
          <w:tcPr>
            <w:tcW w:type="dxa" w:w="3492"/>
          </w:tcPr>
          <w:p>
            <w:pPr>
              <w:spacing w:after="0"/>
            </w:pPr>
            <w:r/>
            <w:r>
              <w:rPr>
                <w:sz w:val="13"/>
              </w:rPr>
              <w:t>sales.sales-vouchers.create</w:t>
            </w:r>
          </w:p>
        </w:tc>
      </w:tr>
      <w:tr>
        <w:trPr>
          <w:cantSplit/>
        </w:trPr>
        <w:tc>
          <w:tcPr>
            <w:tcW w:type="dxa" w:w="927"/>
          </w:tcPr>
          <w:p>
            <w:pPr>
              <w:spacing w:after="0"/>
            </w:pPr>
            <w:r/>
            <w:r>
              <w:rPr>
                <w:sz w:val="13"/>
              </w:rPr>
              <w:t>GET</w:t>
            </w:r>
          </w:p>
        </w:tc>
        <w:tc>
          <w:tcPr>
            <w:tcW w:type="dxa" w:w="4276"/>
          </w:tcPr>
          <w:p>
            <w:pPr>
              <w:spacing w:after="0"/>
            </w:pPr>
            <w:r/>
            <w:r>
              <w:rPr>
                <w:sz w:val="13"/>
              </w:rPr>
              <w:t>/api/v1/sales-vouchers/by-number/{voucher_number}</w:t>
            </w:r>
          </w:p>
        </w:tc>
        <w:tc>
          <w:tcPr>
            <w:tcW w:type="dxa" w:w="4561"/>
          </w:tcPr>
          <w:p>
            <w:pPr>
              <w:spacing w:after="0"/>
            </w:pPr>
            <w:r/>
            <w:r>
              <w:rPr>
                <w:sz w:val="13"/>
              </w:rPr>
              <w:t>Get a sales voucher by number</w:t>
            </w:r>
          </w:p>
        </w:tc>
        <w:tc>
          <w:tcPr>
            <w:tcW w:type="dxa" w:w="855"/>
          </w:tcPr>
          <w:p>
            <w:pPr>
              <w:spacing w:after="0"/>
            </w:pPr>
            <w:r/>
            <w:r>
              <w:rPr>
                <w:sz w:val="13"/>
              </w:rPr>
              <w:t>bearer</w:t>
            </w:r>
          </w:p>
        </w:tc>
        <w:tc>
          <w:tcPr>
            <w:tcW w:type="dxa" w:w="3492"/>
          </w:tcPr>
          <w:p>
            <w:pPr>
              <w:spacing w:after="0"/>
            </w:pPr>
            <w:r/>
            <w:r>
              <w:rPr>
                <w:sz w:val="13"/>
              </w:rPr>
              <w:t>sales.sales-vouchers.validate</w:t>
            </w:r>
          </w:p>
        </w:tc>
      </w:tr>
      <w:tr>
        <w:trPr>
          <w:cantSplit/>
        </w:trPr>
        <w:tc>
          <w:tcPr>
            <w:tcW w:type="dxa" w:w="927"/>
          </w:tcPr>
          <w:p>
            <w:pPr>
              <w:spacing w:after="0"/>
            </w:pPr>
            <w:r/>
            <w:r>
              <w:rPr>
                <w:sz w:val="13"/>
              </w:rPr>
              <w:t>POST</w:t>
            </w:r>
          </w:p>
        </w:tc>
        <w:tc>
          <w:tcPr>
            <w:tcW w:type="dxa" w:w="4276"/>
          </w:tcPr>
          <w:p>
            <w:pPr>
              <w:spacing w:after="0"/>
            </w:pPr>
            <w:r/>
            <w:r>
              <w:rPr>
                <w:sz w:val="13"/>
              </w:rPr>
              <w:t>/api/v1/sales-vouchers/validate</w:t>
            </w:r>
          </w:p>
        </w:tc>
        <w:tc>
          <w:tcPr>
            <w:tcW w:type="dxa" w:w="4561"/>
          </w:tcPr>
          <w:p>
            <w:pPr>
              <w:spacing w:after="0"/>
            </w:pPr>
            <w:r/>
            <w:r>
              <w:rPr>
                <w:sz w:val="13"/>
              </w:rPr>
              <w:t>Validate a sales voucher code and compute discount</w:t>
            </w:r>
          </w:p>
        </w:tc>
        <w:tc>
          <w:tcPr>
            <w:tcW w:type="dxa" w:w="855"/>
          </w:tcPr>
          <w:p>
            <w:pPr>
              <w:spacing w:after="0"/>
            </w:pPr>
            <w:r/>
            <w:r>
              <w:rPr>
                <w:sz w:val="13"/>
              </w:rPr>
              <w:t>bearer</w:t>
            </w:r>
          </w:p>
        </w:tc>
        <w:tc>
          <w:tcPr>
            <w:tcW w:type="dxa" w:w="3492"/>
          </w:tcPr>
          <w:p>
            <w:pPr>
              <w:spacing w:after="0"/>
            </w:pPr>
            <w:r/>
            <w:r>
              <w:rPr>
                <w:sz w:val="13"/>
              </w:rPr>
              <w:t>sales.sales-vouchers.validate</w:t>
            </w:r>
          </w:p>
        </w:tc>
      </w:tr>
      <w:tr>
        <w:trPr>
          <w:cantSplit/>
        </w:trPr>
        <w:tc>
          <w:tcPr>
            <w:tcW w:type="dxa" w:w="927"/>
          </w:tcPr>
          <w:p>
            <w:pPr>
              <w:spacing w:after="0"/>
            </w:pPr>
            <w:r/>
            <w:r>
              <w:rPr>
                <w:sz w:val="13"/>
              </w:rPr>
              <w:t>DELETE</w:t>
            </w:r>
          </w:p>
        </w:tc>
        <w:tc>
          <w:tcPr>
            <w:tcW w:type="dxa" w:w="4276"/>
          </w:tcPr>
          <w:p>
            <w:pPr>
              <w:spacing w:after="0"/>
            </w:pPr>
            <w:r/>
            <w:r>
              <w:rPr>
                <w:sz w:val="13"/>
              </w:rPr>
              <w:t>/api/v1/sales-vouchers/{id}</w:t>
            </w:r>
          </w:p>
        </w:tc>
        <w:tc>
          <w:tcPr>
            <w:tcW w:type="dxa" w:w="4561"/>
          </w:tcPr>
          <w:p>
            <w:pPr>
              <w:spacing w:after="0"/>
            </w:pPr>
            <w:r/>
            <w:r>
              <w:rPr>
                <w:sz w:val="13"/>
              </w:rPr>
              <w:t>Delete (expire) a sales voucher</w:t>
            </w:r>
          </w:p>
        </w:tc>
        <w:tc>
          <w:tcPr>
            <w:tcW w:type="dxa" w:w="855"/>
          </w:tcPr>
          <w:p>
            <w:pPr>
              <w:spacing w:after="0"/>
            </w:pPr>
            <w:r/>
            <w:r>
              <w:rPr>
                <w:sz w:val="13"/>
              </w:rPr>
              <w:t>bearer</w:t>
            </w:r>
          </w:p>
        </w:tc>
        <w:tc>
          <w:tcPr>
            <w:tcW w:type="dxa" w:w="3492"/>
          </w:tcPr>
          <w:p>
            <w:pPr>
              <w:spacing w:after="0"/>
            </w:pPr>
            <w:r/>
            <w:r>
              <w:rPr>
                <w:sz w:val="13"/>
              </w:rPr>
              <w:t>sales.sales-vouchers.delete</w:t>
            </w:r>
          </w:p>
        </w:tc>
      </w:tr>
      <w:tr>
        <w:trPr>
          <w:cantSplit/>
        </w:trPr>
        <w:tc>
          <w:tcPr>
            <w:tcW w:type="dxa" w:w="927"/>
          </w:tcPr>
          <w:p>
            <w:pPr>
              <w:spacing w:after="0"/>
            </w:pPr>
            <w:r/>
            <w:r>
              <w:rPr>
                <w:sz w:val="13"/>
              </w:rPr>
              <w:t>GET</w:t>
            </w:r>
          </w:p>
        </w:tc>
        <w:tc>
          <w:tcPr>
            <w:tcW w:type="dxa" w:w="4276"/>
          </w:tcPr>
          <w:p>
            <w:pPr>
              <w:spacing w:after="0"/>
            </w:pPr>
            <w:r/>
            <w:r>
              <w:rPr>
                <w:sz w:val="13"/>
              </w:rPr>
              <w:t>/api/v1/sales-vouchers/{id}</w:t>
            </w:r>
          </w:p>
        </w:tc>
        <w:tc>
          <w:tcPr>
            <w:tcW w:type="dxa" w:w="4561"/>
          </w:tcPr>
          <w:p>
            <w:pPr>
              <w:spacing w:after="0"/>
            </w:pPr>
            <w:r/>
            <w:r>
              <w:rPr>
                <w:sz w:val="13"/>
              </w:rPr>
              <w:t>Get a sales voucher</w:t>
            </w:r>
          </w:p>
        </w:tc>
        <w:tc>
          <w:tcPr>
            <w:tcW w:type="dxa" w:w="855"/>
          </w:tcPr>
          <w:p>
            <w:pPr>
              <w:spacing w:after="0"/>
            </w:pPr>
            <w:r/>
            <w:r>
              <w:rPr>
                <w:sz w:val="13"/>
              </w:rPr>
              <w:t>bearer</w:t>
            </w:r>
          </w:p>
        </w:tc>
        <w:tc>
          <w:tcPr>
            <w:tcW w:type="dxa" w:w="3492"/>
          </w:tcPr>
          <w:p>
            <w:pPr>
              <w:spacing w:after="0"/>
            </w:pPr>
            <w:r/>
            <w:r>
              <w:rPr>
                <w:sz w:val="13"/>
              </w:rPr>
              <w:t>sales.sales-vouchers.view</w:t>
            </w:r>
          </w:p>
        </w:tc>
      </w:tr>
      <w:tr>
        <w:trPr>
          <w:cantSplit/>
        </w:trPr>
        <w:tc>
          <w:tcPr>
            <w:tcW w:type="dxa" w:w="927"/>
          </w:tcPr>
          <w:p>
            <w:pPr>
              <w:spacing w:after="0"/>
            </w:pPr>
            <w:r/>
            <w:r>
              <w:rPr>
                <w:sz w:val="13"/>
              </w:rPr>
              <w:t>PUT</w:t>
            </w:r>
          </w:p>
        </w:tc>
        <w:tc>
          <w:tcPr>
            <w:tcW w:type="dxa" w:w="4276"/>
          </w:tcPr>
          <w:p>
            <w:pPr>
              <w:spacing w:after="0"/>
            </w:pPr>
            <w:r/>
            <w:r>
              <w:rPr>
                <w:sz w:val="13"/>
              </w:rPr>
              <w:t>/api/v1/sales-vouchers/{id}</w:t>
            </w:r>
          </w:p>
        </w:tc>
        <w:tc>
          <w:tcPr>
            <w:tcW w:type="dxa" w:w="4561"/>
          </w:tcPr>
          <w:p>
            <w:pPr>
              <w:spacing w:after="0"/>
            </w:pPr>
            <w:r/>
            <w:r>
              <w:rPr>
                <w:sz w:val="13"/>
              </w:rPr>
              <w:t>Update a sales voucher (status transition)</w:t>
            </w:r>
          </w:p>
        </w:tc>
        <w:tc>
          <w:tcPr>
            <w:tcW w:type="dxa" w:w="855"/>
          </w:tcPr>
          <w:p>
            <w:pPr>
              <w:spacing w:after="0"/>
            </w:pPr>
            <w:r/>
            <w:r>
              <w:rPr>
                <w:sz w:val="13"/>
              </w:rPr>
              <w:t>bearer</w:t>
            </w:r>
          </w:p>
        </w:tc>
        <w:tc>
          <w:tcPr>
            <w:tcW w:type="dxa" w:w="3492"/>
          </w:tcPr>
          <w:p>
            <w:pPr>
              <w:spacing w:after="0"/>
            </w:pPr>
            <w:r/>
            <w:r>
              <w:rPr>
                <w:sz w:val="13"/>
              </w:rPr>
              <w:t>sales.sales-vouchers.update</w:t>
            </w:r>
          </w:p>
        </w:tc>
      </w:tr>
      <w:tr>
        <w:trPr>
          <w:cantSplit/>
        </w:trPr>
        <w:tc>
          <w:tcPr>
            <w:tcW w:type="dxa" w:w="927"/>
          </w:tcPr>
          <w:p>
            <w:pPr>
              <w:spacing w:after="0"/>
            </w:pPr>
            <w:r/>
            <w:r>
              <w:rPr>
                <w:sz w:val="13"/>
              </w:rPr>
              <w:t>PUT</w:t>
            </w:r>
          </w:p>
        </w:tc>
        <w:tc>
          <w:tcPr>
            <w:tcW w:type="dxa" w:w="4276"/>
          </w:tcPr>
          <w:p>
            <w:pPr>
              <w:spacing w:after="0"/>
            </w:pPr>
            <w:r/>
            <w:r>
              <w:rPr>
                <w:sz w:val="13"/>
              </w:rPr>
              <w:t>/api/v1/sales-vouchers/{id}/status</w:t>
            </w:r>
          </w:p>
        </w:tc>
        <w:tc>
          <w:tcPr>
            <w:tcW w:type="dxa" w:w="4561"/>
          </w:tcPr>
          <w:p>
            <w:pPr>
              <w:spacing w:after="0"/>
            </w:pPr>
            <w:r/>
            <w:r>
              <w:rPr>
                <w:sz w:val="13"/>
              </w:rPr>
              <w:t>Update a sales voucher status</w:t>
            </w:r>
          </w:p>
        </w:tc>
        <w:tc>
          <w:tcPr>
            <w:tcW w:type="dxa" w:w="855"/>
          </w:tcPr>
          <w:p>
            <w:pPr>
              <w:spacing w:after="0"/>
            </w:pPr>
            <w:r/>
            <w:r>
              <w:rPr>
                <w:sz w:val="13"/>
              </w:rPr>
              <w:t>bearer</w:t>
            </w:r>
          </w:p>
        </w:tc>
        <w:tc>
          <w:tcPr>
            <w:tcW w:type="dxa" w:w="3492"/>
          </w:tcPr>
          <w:p>
            <w:pPr>
              <w:spacing w:after="0"/>
            </w:pPr>
            <w:r/>
            <w:r>
              <w:rPr>
                <w:sz w:val="13"/>
              </w:rPr>
              <w:t>sales.sales-vouchers.update</w:t>
            </w:r>
          </w:p>
        </w:tc>
      </w:tr>
      <w:tr>
        <w:trPr>
          <w:cantSplit/>
        </w:trPr>
        <w:tc>
          <w:tcPr>
            <w:tcW w:type="dxa" w:w="927"/>
          </w:tcPr>
          <w:p>
            <w:pPr>
              <w:spacing w:after="0"/>
            </w:pPr>
            <w:r/>
            <w:r>
              <w:rPr>
                <w:sz w:val="13"/>
              </w:rPr>
              <w:t>POST</w:t>
            </w:r>
          </w:p>
        </w:tc>
        <w:tc>
          <w:tcPr>
            <w:tcW w:type="dxa" w:w="4276"/>
          </w:tcPr>
          <w:p>
            <w:pPr>
              <w:spacing w:after="0"/>
            </w:pPr>
            <w:r/>
            <w:r>
              <w:rPr>
                <w:sz w:val="13"/>
              </w:rPr>
              <w:t>/midtrans/notifications</w:t>
            </w:r>
          </w:p>
        </w:tc>
        <w:tc>
          <w:tcPr>
            <w:tcW w:type="dxa" w:w="4561"/>
          </w:tcPr>
          <w:p>
            <w:pPr>
              <w:spacing w:after="0"/>
            </w:pPr>
            <w:r/>
            <w:r>
              <w:rPr>
                <w:sz w:val="13"/>
              </w:rPr>
              <w:t>Midtrans Payment Notification webhook alias (public, signature-verified)</w:t>
            </w:r>
          </w:p>
        </w:tc>
        <w:tc>
          <w:tcPr>
            <w:tcW w:type="dxa" w:w="855"/>
          </w:tcPr>
          <w:p>
            <w:pPr>
              <w:spacing w:after="0"/>
            </w:pPr>
            <w:r/>
            <w:r>
              <w:rPr>
                <w:sz w:val="13"/>
              </w:rPr>
              <w:t>public</w:t>
            </w:r>
          </w:p>
        </w:tc>
        <w:tc>
          <w:tcPr>
            <w:tcW w:type="dxa" w:w="3492"/>
          </w:tcPr>
          <w:p>
            <w:pPr>
              <w:spacing w:after="0"/>
            </w:pPr>
            <w:r/>
            <w:r>
              <w:rPr>
                <w:sz w:val="13"/>
              </w:rPr>
              <w:t>none (auth only)</w:t>
            </w:r>
          </w:p>
        </w:tc>
      </w:tr>
    </w:tbl>
    <w:p>
      <w:bookmarkStart w:id="1252" w:name="_Toc1252"/>
      <w:pPr>
        <w:pStyle w:val="Heading3"/>
      </w:pPr>
      <w:r>
        <w:t>salestracking — 16 operations</w:t>
      </w:r>
      <w:bookmarkEnd w:id="1252"/>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/api/v1/sales-tracking/activities</w:t>
            </w:r>
          </w:p>
        </w:tc>
        <w:tc>
          <w:tcPr>
            <w:tcW w:type="dxa" w:w="4561"/>
          </w:tcPr>
          <w:p>
            <w:pPr>
              <w:spacing w:after="0"/>
            </w:pPr>
            <w:r/>
            <w:r>
              <w:rPr>
                <w:sz w:val="13"/>
              </w:rPr>
              <w:t>List sales activities</w:t>
            </w:r>
          </w:p>
        </w:tc>
        <w:tc>
          <w:tcPr>
            <w:tcW w:type="dxa" w:w="855"/>
          </w:tcPr>
          <w:p>
            <w:pPr>
              <w:spacing w:after="0"/>
            </w:pPr>
            <w:r/>
            <w:r>
              <w:rPr>
                <w:sz w:val="13"/>
              </w:rPr>
              <w:t>bearer</w:t>
            </w:r>
          </w:p>
        </w:tc>
        <w:tc>
          <w:tcPr>
            <w:tcW w:type="dxa" w:w="3492"/>
          </w:tcPr>
          <w:p>
            <w:pPr>
              <w:spacing w:after="0"/>
            </w:pPr>
            <w:r/>
            <w:r>
              <w:rPr>
                <w:sz w:val="13"/>
              </w:rPr>
              <w:t>sales_tracking.activities.view</w:t>
            </w:r>
          </w:p>
        </w:tc>
      </w:tr>
      <w:tr>
        <w:trPr>
          <w:cantSplit/>
        </w:trPr>
        <w:tc>
          <w:tcPr>
            <w:tcW w:type="dxa" w:w="927"/>
          </w:tcPr>
          <w:p>
            <w:pPr>
              <w:spacing w:after="0"/>
            </w:pPr>
            <w:r/>
            <w:r>
              <w:rPr>
                <w:sz w:val="13"/>
              </w:rPr>
              <w:t>POST</w:t>
            </w:r>
          </w:p>
        </w:tc>
        <w:tc>
          <w:tcPr>
            <w:tcW w:type="dxa" w:w="4276"/>
          </w:tcPr>
          <w:p>
            <w:pPr>
              <w:spacing w:after="0"/>
            </w:pPr>
            <w:r/>
            <w:r>
              <w:rPr>
                <w:sz w:val="13"/>
              </w:rPr>
              <w:t>/api/v1/sales-tracking/activities</w:t>
            </w:r>
          </w:p>
        </w:tc>
        <w:tc>
          <w:tcPr>
            <w:tcW w:type="dxa" w:w="4561"/>
          </w:tcPr>
          <w:p>
            <w:pPr>
              <w:spacing w:after="0"/>
            </w:pPr>
            <w:r/>
            <w:r>
              <w:rPr>
                <w:sz w:val="13"/>
              </w:rPr>
              <w:t>Record a sales activity</w:t>
            </w:r>
          </w:p>
        </w:tc>
        <w:tc>
          <w:tcPr>
            <w:tcW w:type="dxa" w:w="855"/>
          </w:tcPr>
          <w:p>
            <w:pPr>
              <w:spacing w:after="0"/>
            </w:pPr>
            <w:r/>
            <w:r>
              <w:rPr>
                <w:sz w:val="13"/>
              </w:rPr>
              <w:t>bearer</w:t>
            </w:r>
          </w:p>
        </w:tc>
        <w:tc>
          <w:tcPr>
            <w:tcW w:type="dxa" w:w="3492"/>
          </w:tcPr>
          <w:p>
            <w:pPr>
              <w:spacing w:after="0"/>
            </w:pPr>
            <w:r/>
            <w:r>
              <w:rPr>
                <w:sz w:val="13"/>
              </w:rPr>
              <w:t>sales_tracking.activities.create</w:t>
            </w:r>
          </w:p>
        </w:tc>
      </w:tr>
      <w:tr>
        <w:trPr>
          <w:cantSplit/>
        </w:trPr>
        <w:tc>
          <w:tcPr>
            <w:tcW w:type="dxa" w:w="927"/>
          </w:tcPr>
          <w:p>
            <w:pPr>
              <w:spacing w:after="0"/>
            </w:pPr>
            <w:r/>
            <w:r>
              <w:rPr>
                <w:sz w:val="13"/>
              </w:rPr>
              <w:t>GET</w:t>
            </w:r>
          </w:p>
        </w:tc>
        <w:tc>
          <w:tcPr>
            <w:tcW w:type="dxa" w:w="4276"/>
          </w:tcPr>
          <w:p>
            <w:pPr>
              <w:spacing w:after="0"/>
            </w:pPr>
            <w:r/>
            <w:r>
              <w:rPr>
                <w:sz w:val="13"/>
              </w:rPr>
              <w:t>/api/v1/sales-tracking/livemap</w:t>
            </w:r>
          </w:p>
        </w:tc>
        <w:tc>
          <w:tcPr>
            <w:tcW w:type="dxa" w:w="4561"/>
          </w:tcPr>
          <w:p>
            <w:pPr>
              <w:spacing w:after="0"/>
            </w:pPr>
            <w:r/>
            <w:r>
              <w:rPr>
                <w:sz w:val="13"/>
              </w:rPr>
              <w:t>Live map view of sales locations</w:t>
            </w:r>
          </w:p>
        </w:tc>
        <w:tc>
          <w:tcPr>
            <w:tcW w:type="dxa" w:w="855"/>
          </w:tcPr>
          <w:p>
            <w:pPr>
              <w:spacing w:after="0"/>
            </w:pPr>
            <w:r/>
            <w:r>
              <w:rPr>
                <w:sz w:val="13"/>
              </w:rPr>
              <w:t>bearer</w:t>
            </w:r>
          </w:p>
        </w:tc>
        <w:tc>
          <w:tcPr>
            <w:tcW w:type="dxa" w:w="3492"/>
          </w:tcPr>
          <w:p>
            <w:pPr>
              <w:spacing w:after="0"/>
            </w:pPr>
            <w:r/>
            <w:r>
              <w:rPr>
                <w:sz w:val="13"/>
              </w:rPr>
              <w:t>sales_tracking.locations.view</w:t>
            </w:r>
          </w:p>
        </w:tc>
      </w:tr>
      <w:tr>
        <w:trPr>
          <w:cantSplit/>
        </w:trPr>
        <w:tc>
          <w:tcPr>
            <w:tcW w:type="dxa" w:w="927"/>
          </w:tcPr>
          <w:p>
            <w:pPr>
              <w:spacing w:after="0"/>
            </w:pPr>
            <w:r/>
            <w:r>
              <w:rPr>
                <w:sz w:val="13"/>
              </w:rPr>
              <w:t>GET</w:t>
            </w:r>
          </w:p>
        </w:tc>
        <w:tc>
          <w:tcPr>
            <w:tcW w:type="dxa" w:w="4276"/>
          </w:tcPr>
          <w:p>
            <w:pPr>
              <w:spacing w:after="0"/>
            </w:pPr>
            <w:r/>
            <w:r>
              <w:rPr>
                <w:sz w:val="13"/>
              </w:rPr>
              <w:t>/api/v1/sales-tracking/locations</w:t>
            </w:r>
          </w:p>
        </w:tc>
        <w:tc>
          <w:tcPr>
            <w:tcW w:type="dxa" w:w="4561"/>
          </w:tcPr>
          <w:p>
            <w:pPr>
              <w:spacing w:after="0"/>
            </w:pPr>
            <w:r/>
            <w:r>
              <w:rPr>
                <w:sz w:val="13"/>
              </w:rPr>
              <w:t>List customer sites (tracking page)</w:t>
            </w:r>
          </w:p>
        </w:tc>
        <w:tc>
          <w:tcPr>
            <w:tcW w:type="dxa" w:w="855"/>
          </w:tcPr>
          <w:p>
            <w:pPr>
              <w:spacing w:after="0"/>
            </w:pPr>
            <w:r/>
            <w:r>
              <w:rPr>
                <w:sz w:val="13"/>
              </w:rPr>
              <w:t>bearer</w:t>
            </w:r>
          </w:p>
        </w:tc>
        <w:tc>
          <w:tcPr>
            <w:tcW w:type="dxa" w:w="3492"/>
          </w:tcPr>
          <w:p>
            <w:pPr>
              <w:spacing w:after="0"/>
            </w:pPr>
            <w:r/>
            <w:r>
              <w:rPr>
                <w:sz w:val="13"/>
              </w:rPr>
              <w:t>sales_tracking.locations.view</w:t>
            </w:r>
          </w:p>
        </w:tc>
      </w:tr>
      <w:tr>
        <w:trPr>
          <w:cantSplit/>
        </w:trPr>
        <w:tc>
          <w:tcPr>
            <w:tcW w:type="dxa" w:w="927"/>
          </w:tcPr>
          <w:p>
            <w:pPr>
              <w:spacing w:after="0"/>
            </w:pPr>
            <w:r/>
            <w:r>
              <w:rPr>
                <w:sz w:val="13"/>
              </w:rPr>
              <w:t>GET</w:t>
            </w:r>
          </w:p>
        </w:tc>
        <w:tc>
          <w:tcPr>
            <w:tcW w:type="dxa" w:w="4276"/>
          </w:tcPr>
          <w:p>
            <w:pPr>
              <w:spacing w:after="0"/>
            </w:pPr>
            <w:r/>
            <w:r>
              <w:rPr>
                <w:sz w:val="13"/>
              </w:rPr>
              <w:t>/api/v1/sales-tracking/locations/current</w:t>
            </w:r>
          </w:p>
        </w:tc>
        <w:tc>
          <w:tcPr>
            <w:tcW w:type="dxa" w:w="4561"/>
          </w:tcPr>
          <w:p>
            <w:pPr>
              <w:spacing w:after="0"/>
            </w:pPr>
            <w:r/>
            <w:r>
              <w:rPr>
                <w:sz w:val="13"/>
              </w:rPr>
              <w:t>Current sales locations (admin/sales)</w:t>
            </w:r>
          </w:p>
        </w:tc>
        <w:tc>
          <w:tcPr>
            <w:tcW w:type="dxa" w:w="855"/>
          </w:tcPr>
          <w:p>
            <w:pPr>
              <w:spacing w:after="0"/>
            </w:pPr>
            <w:r/>
            <w:r>
              <w:rPr>
                <w:sz w:val="13"/>
              </w:rPr>
              <w:t>bearer</w:t>
            </w:r>
          </w:p>
        </w:tc>
        <w:tc>
          <w:tcPr>
            <w:tcW w:type="dxa" w:w="3492"/>
          </w:tcPr>
          <w:p>
            <w:pPr>
              <w:spacing w:after="0"/>
            </w:pPr>
            <w:r/>
            <w:r>
              <w:rPr>
                <w:sz w:val="13"/>
              </w:rPr>
              <w:t>sales_tracking.locations.view</w:t>
            </w:r>
          </w:p>
        </w:tc>
      </w:tr>
      <w:tr>
        <w:trPr>
          <w:cantSplit/>
        </w:trPr>
        <w:tc>
          <w:tcPr>
            <w:tcW w:type="dxa" w:w="927"/>
          </w:tcPr>
          <w:p>
            <w:pPr>
              <w:spacing w:after="0"/>
            </w:pPr>
            <w:r/>
            <w:r>
              <w:rPr>
                <w:sz w:val="13"/>
              </w:rPr>
              <w:t>POST</w:t>
            </w:r>
          </w:p>
        </w:tc>
        <w:tc>
          <w:tcPr>
            <w:tcW w:type="dxa" w:w="4276"/>
          </w:tcPr>
          <w:p>
            <w:pPr>
              <w:spacing w:after="0"/>
            </w:pPr>
            <w:r/>
            <w:r>
              <w:rPr>
                <w:sz w:val="13"/>
              </w:rPr>
              <w:t>/api/v1/sales-tracking/locations/ping</w:t>
            </w:r>
          </w:p>
        </w:tc>
        <w:tc>
          <w:tcPr>
            <w:tcW w:type="dxa" w:w="4561"/>
          </w:tcPr>
          <w:p>
            <w:pPr>
              <w:spacing w:after="0"/>
            </w:pPr>
            <w:r/>
            <w:r>
              <w:rPr>
                <w:sz w:val="13"/>
              </w:rPr>
              <w:t>Bulk location ping (high-frequency; not activity-logged)</w:t>
            </w:r>
          </w:p>
        </w:tc>
        <w:tc>
          <w:tcPr>
            <w:tcW w:type="dxa" w:w="855"/>
          </w:tcPr>
          <w:p>
            <w:pPr>
              <w:spacing w:after="0"/>
            </w:pPr>
            <w:r/>
            <w:r>
              <w:rPr>
                <w:sz w:val="13"/>
              </w:rPr>
              <w:t>bearer</w:t>
            </w:r>
          </w:p>
        </w:tc>
        <w:tc>
          <w:tcPr>
            <w:tcW w:type="dxa" w:w="3492"/>
          </w:tcPr>
          <w:p>
            <w:pPr>
              <w:spacing w:after="0"/>
            </w:pPr>
            <w:r/>
            <w:r>
              <w:rPr>
                <w:sz w:val="13"/>
              </w:rPr>
              <w:t>sales_tracking.locations.ping</w:t>
            </w:r>
          </w:p>
        </w:tc>
      </w:tr>
      <w:tr>
        <w:trPr>
          <w:cantSplit/>
        </w:trPr>
        <w:tc>
          <w:tcPr>
            <w:tcW w:type="dxa" w:w="927"/>
          </w:tcPr>
          <w:p>
            <w:pPr>
              <w:spacing w:after="0"/>
            </w:pPr>
            <w:r/>
            <w:r>
              <w:rPr>
                <w:sz w:val="13"/>
              </w:rPr>
              <w:t>GET</w:t>
            </w:r>
          </w:p>
        </w:tc>
        <w:tc>
          <w:tcPr>
            <w:tcW w:type="dxa" w:w="4276"/>
          </w:tcPr>
          <w:p>
            <w:pPr>
              <w:spacing w:after="0"/>
            </w:pPr>
            <w:r/>
            <w:r>
              <w:rPr>
                <w:sz w:val="13"/>
              </w:rPr>
              <w:t>/api/v1/sales-tracking/routes</w:t>
            </w:r>
          </w:p>
        </w:tc>
        <w:tc>
          <w:tcPr>
            <w:tcW w:type="dxa" w:w="4561"/>
          </w:tcPr>
          <w:p>
            <w:pPr>
              <w:spacing w:after="0"/>
            </w:pPr>
            <w:r/>
            <w:r>
              <w:rPr>
                <w:sz w:val="13"/>
              </w:rPr>
              <w:t>List routes</w:t>
            </w:r>
          </w:p>
        </w:tc>
        <w:tc>
          <w:tcPr>
            <w:tcW w:type="dxa" w:w="855"/>
          </w:tcPr>
          <w:p>
            <w:pPr>
              <w:spacing w:after="0"/>
            </w:pPr>
            <w:r/>
            <w:r>
              <w:rPr>
                <w:sz w:val="13"/>
              </w:rPr>
              <w:t>bearer</w:t>
            </w:r>
          </w:p>
        </w:tc>
        <w:tc>
          <w:tcPr>
            <w:tcW w:type="dxa" w:w="3492"/>
          </w:tcPr>
          <w:p>
            <w:pPr>
              <w:spacing w:after="0"/>
            </w:pPr>
            <w:r/>
            <w:r>
              <w:rPr>
                <w:sz w:val="13"/>
              </w:rPr>
              <w:t>sales_tracking.routes.view</w:t>
            </w:r>
          </w:p>
        </w:tc>
      </w:tr>
      <w:tr>
        <w:trPr>
          <w:cantSplit/>
        </w:trPr>
        <w:tc>
          <w:tcPr>
            <w:tcW w:type="dxa" w:w="927"/>
          </w:tcPr>
          <w:p>
            <w:pPr>
              <w:spacing w:after="0"/>
            </w:pPr>
            <w:r/>
            <w:r>
              <w:rPr>
                <w:sz w:val="13"/>
              </w:rPr>
              <w:t>POST</w:t>
            </w:r>
          </w:p>
        </w:tc>
        <w:tc>
          <w:tcPr>
            <w:tcW w:type="dxa" w:w="4276"/>
          </w:tcPr>
          <w:p>
            <w:pPr>
              <w:spacing w:after="0"/>
            </w:pPr>
            <w:r/>
            <w:r>
              <w:rPr>
                <w:sz w:val="13"/>
              </w:rPr>
              <w:t>/api/v1/sales-tracking/routes</w:t>
            </w:r>
          </w:p>
        </w:tc>
        <w:tc>
          <w:tcPr>
            <w:tcW w:type="dxa" w:w="4561"/>
          </w:tcPr>
          <w:p>
            <w:pPr>
              <w:spacing w:after="0"/>
            </w:pPr>
            <w:r/>
            <w:r>
              <w:rPr>
                <w:sz w:val="13"/>
              </w:rPr>
              <w:t>Create a route</w:t>
            </w:r>
          </w:p>
        </w:tc>
        <w:tc>
          <w:tcPr>
            <w:tcW w:type="dxa" w:w="855"/>
          </w:tcPr>
          <w:p>
            <w:pPr>
              <w:spacing w:after="0"/>
            </w:pPr>
            <w:r/>
            <w:r>
              <w:rPr>
                <w:sz w:val="13"/>
              </w:rPr>
              <w:t>bearer</w:t>
            </w:r>
          </w:p>
        </w:tc>
        <w:tc>
          <w:tcPr>
            <w:tcW w:type="dxa" w:w="3492"/>
          </w:tcPr>
          <w:p>
            <w:pPr>
              <w:spacing w:after="0"/>
            </w:pPr>
            <w:r/>
            <w:r>
              <w:rPr>
                <w:sz w:val="13"/>
              </w:rPr>
              <w:t>sales_tracking.routes.create</w:t>
            </w:r>
          </w:p>
        </w:tc>
      </w:tr>
      <w:tr>
        <w:trPr>
          <w:cantSplit/>
        </w:trPr>
        <w:tc>
          <w:tcPr>
            <w:tcW w:type="dxa" w:w="927"/>
          </w:tcPr>
          <w:p>
            <w:pPr>
              <w:spacing w:after="0"/>
            </w:pPr>
            <w:r/>
            <w:r>
              <w:rPr>
                <w:sz w:val="13"/>
              </w:rPr>
              <w:t>GET</w:t>
            </w:r>
          </w:p>
        </w:tc>
        <w:tc>
          <w:tcPr>
            <w:tcW w:type="dxa" w:w="4276"/>
          </w:tcPr>
          <w:p>
            <w:pPr>
              <w:spacing w:after="0"/>
            </w:pPr>
            <w:r/>
            <w:r>
              <w:rPr>
                <w:sz w:val="13"/>
              </w:rPr>
              <w:t>/api/v1/sales-tracking/routes/me</w:t>
            </w:r>
          </w:p>
        </w:tc>
        <w:tc>
          <w:tcPr>
            <w:tcW w:type="dxa" w:w="4561"/>
          </w:tcPr>
          <w:p>
            <w:pPr>
              <w:spacing w:after="0"/>
            </w:pPr>
            <w:r/>
            <w:r>
              <w:rPr>
                <w:sz w:val="13"/>
              </w:rPr>
              <w:t>My routes</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/api/v1/sales-tracking/visits</w:t>
            </w:r>
          </w:p>
        </w:tc>
        <w:tc>
          <w:tcPr>
            <w:tcW w:type="dxa" w:w="4561"/>
          </w:tcPr>
          <w:p>
            <w:pPr>
              <w:spacing w:after="0"/>
            </w:pPr>
            <w:r/>
            <w:r>
              <w:rPr>
                <w:sz w:val="13"/>
              </w:rPr>
              <w:t>List visits</w:t>
            </w:r>
          </w:p>
        </w:tc>
        <w:tc>
          <w:tcPr>
            <w:tcW w:type="dxa" w:w="855"/>
          </w:tcPr>
          <w:p>
            <w:pPr>
              <w:spacing w:after="0"/>
            </w:pPr>
            <w:r/>
            <w:r>
              <w:rPr>
                <w:sz w:val="13"/>
              </w:rPr>
              <w:t>bearer</w:t>
            </w:r>
          </w:p>
        </w:tc>
        <w:tc>
          <w:tcPr>
            <w:tcW w:type="dxa" w:w="3492"/>
          </w:tcPr>
          <w:p>
            <w:pPr>
              <w:spacing w:after="0"/>
            </w:pPr>
            <w:r/>
            <w:r>
              <w:rPr>
                <w:sz w:val="13"/>
              </w:rPr>
              <w:t>sales_tracking.visits.view</w:t>
            </w:r>
          </w:p>
        </w:tc>
      </w:tr>
      <w:tr>
        <w:trPr>
          <w:cantSplit/>
        </w:trPr>
        <w:tc>
          <w:tcPr>
            <w:tcW w:type="dxa" w:w="927"/>
          </w:tcPr>
          <w:p>
            <w:pPr>
              <w:spacing w:after="0"/>
            </w:pPr>
            <w:r/>
            <w:r>
              <w:rPr>
                <w:sz w:val="13"/>
              </w:rPr>
              <w:t>POST</w:t>
            </w:r>
          </w:p>
        </w:tc>
        <w:tc>
          <w:tcPr>
            <w:tcW w:type="dxa" w:w="4276"/>
          </w:tcPr>
          <w:p>
            <w:pPr>
              <w:spacing w:after="0"/>
            </w:pPr>
            <w:r/>
            <w:r>
              <w:rPr>
                <w:sz w:val="13"/>
              </w:rPr>
              <w:t>/api/v1/sales-tracking/visits</w:t>
            </w:r>
          </w:p>
        </w:tc>
        <w:tc>
          <w:tcPr>
            <w:tcW w:type="dxa" w:w="4561"/>
          </w:tcPr>
          <w:p>
            <w:pPr>
              <w:spacing w:after="0"/>
            </w:pPr>
            <w:r/>
            <w:r>
              <w:rPr>
                <w:sz w:val="13"/>
              </w:rPr>
              <w:t>Create a visit</w:t>
            </w:r>
          </w:p>
        </w:tc>
        <w:tc>
          <w:tcPr>
            <w:tcW w:type="dxa" w:w="855"/>
          </w:tcPr>
          <w:p>
            <w:pPr>
              <w:spacing w:after="0"/>
            </w:pPr>
            <w:r/>
            <w:r>
              <w:rPr>
                <w:sz w:val="13"/>
              </w:rPr>
              <w:t>bearer</w:t>
            </w:r>
          </w:p>
        </w:tc>
        <w:tc>
          <w:tcPr>
            <w:tcW w:type="dxa" w:w="3492"/>
          </w:tcPr>
          <w:p>
            <w:pPr>
              <w:spacing w:after="0"/>
            </w:pPr>
            <w:r/>
            <w:r>
              <w:rPr>
                <w:sz w:val="13"/>
              </w:rPr>
              <w:t>sales_tracking.visits.create</w:t>
            </w:r>
          </w:p>
        </w:tc>
      </w:tr>
      <w:tr>
        <w:trPr>
          <w:cantSplit/>
        </w:trPr>
        <w:tc>
          <w:tcPr>
            <w:tcW w:type="dxa" w:w="927"/>
          </w:tcPr>
          <w:p>
            <w:pPr>
              <w:spacing w:after="0"/>
            </w:pPr>
            <w:r/>
            <w:r>
              <w:rPr>
                <w:sz w:val="13"/>
              </w:rPr>
              <w:t>GET</w:t>
            </w:r>
          </w:p>
        </w:tc>
        <w:tc>
          <w:tcPr>
            <w:tcW w:type="dxa" w:w="4276"/>
          </w:tcPr>
          <w:p>
            <w:pPr>
              <w:spacing w:after="0"/>
            </w:pPr>
            <w:r/>
            <w:r>
              <w:rPr>
                <w:sz w:val="13"/>
              </w:rPr>
              <w:t>/api/v1/sales-tracking/visits/me</w:t>
            </w:r>
          </w:p>
        </w:tc>
        <w:tc>
          <w:tcPr>
            <w:tcW w:type="dxa" w:w="4561"/>
          </w:tcPr>
          <w:p>
            <w:pPr>
              <w:spacing w:after="0"/>
            </w:pPr>
            <w:r/>
            <w:r>
              <w:rPr>
                <w:sz w:val="13"/>
              </w:rPr>
              <w:t>My visits</w:t>
            </w:r>
          </w:p>
        </w:tc>
        <w:tc>
          <w:tcPr>
            <w:tcW w:type="dxa" w:w="855"/>
          </w:tcPr>
          <w:p>
            <w:pPr>
              <w:spacing w:after="0"/>
            </w:pPr>
            <w:r/>
            <w:r>
              <w:rPr>
                <w:sz w:val="13"/>
              </w:rPr>
              <w:t>bearer</w:t>
            </w:r>
          </w:p>
        </w:tc>
        <w:tc>
          <w:tcPr>
            <w:tcW w:type="dxa" w:w="3492"/>
          </w:tcPr>
          <w:p>
            <w:pPr>
              <w:spacing w:after="0"/>
            </w:pPr>
            <w:r/>
            <w:r>
              <w:rPr>
                <w:sz w:val="13"/>
              </w:rPr>
              <w:t>sales_tracking.visits.view_own</w:t>
            </w:r>
          </w:p>
        </w:tc>
      </w:tr>
      <w:tr>
        <w:trPr>
          <w:cantSplit/>
        </w:trPr>
        <w:tc>
          <w:tcPr>
            <w:tcW w:type="dxa" w:w="927"/>
          </w:tcPr>
          <w:p>
            <w:pPr>
              <w:spacing w:after="0"/>
            </w:pPr>
            <w:r/>
            <w:r>
              <w:rPr>
                <w:sz w:val="13"/>
              </w:rPr>
              <w:t>GET</w:t>
            </w:r>
          </w:p>
        </w:tc>
        <w:tc>
          <w:tcPr>
            <w:tcW w:type="dxa" w:w="4276"/>
          </w:tcPr>
          <w:p>
            <w:pPr>
              <w:spacing w:after="0"/>
            </w:pPr>
            <w:r/>
            <w:r>
              <w:rPr>
                <w:sz w:val="13"/>
              </w:rPr>
              <w:t>/api/v1/sales-tracking/visits/sales-employees</w:t>
            </w:r>
          </w:p>
        </w:tc>
        <w:tc>
          <w:tcPr>
            <w:tcW w:type="dxa" w:w="4561"/>
          </w:tcPr>
          <w:p>
            <w:pPr>
              <w:spacing w:after="0"/>
            </w:pPr>
            <w:r/>
            <w:r>
              <w:rPr>
                <w:sz w:val="13"/>
              </w:rPr>
              <w:t>List sales employees</w:t>
            </w:r>
          </w:p>
        </w:tc>
        <w:tc>
          <w:tcPr>
            <w:tcW w:type="dxa" w:w="855"/>
          </w:tcPr>
          <w:p>
            <w:pPr>
              <w:spacing w:after="0"/>
            </w:pPr>
            <w:r/>
            <w:r>
              <w:rPr>
                <w:sz w:val="13"/>
              </w:rPr>
              <w:t>bearer</w:t>
            </w:r>
          </w:p>
        </w:tc>
        <w:tc>
          <w:tcPr>
            <w:tcW w:type="dxa" w:w="3492"/>
          </w:tcPr>
          <w:p>
            <w:pPr>
              <w:spacing w:after="0"/>
            </w:pPr>
            <w:r/>
            <w:r>
              <w:rPr>
                <w:sz w:val="13"/>
              </w:rPr>
              <w:t>sales_tracking.visits.create</w:t>
            </w:r>
          </w:p>
        </w:tc>
      </w:tr>
      <w:tr>
        <w:trPr>
          <w:cantSplit/>
        </w:trPr>
        <w:tc>
          <w:tcPr>
            <w:tcW w:type="dxa" w:w="927"/>
          </w:tcPr>
          <w:p>
            <w:pPr>
              <w:spacing w:after="0"/>
            </w:pPr>
            <w:r/>
            <w:r>
              <w:rPr>
                <w:sz w:val="13"/>
              </w:rPr>
              <w:t>GET</w:t>
            </w:r>
          </w:p>
        </w:tc>
        <w:tc>
          <w:tcPr>
            <w:tcW w:type="dxa" w:w="4276"/>
          </w:tcPr>
          <w:p>
            <w:pPr>
              <w:spacing w:after="0"/>
            </w:pPr>
            <w:r/>
            <w:r>
              <w:rPr>
                <w:sz w:val="13"/>
              </w:rPr>
              <w:t>/api/v1/sales-tracking/visits/{id}</w:t>
            </w:r>
          </w:p>
        </w:tc>
        <w:tc>
          <w:tcPr>
            <w:tcW w:type="dxa" w:w="4561"/>
          </w:tcPr>
          <w:p>
            <w:pPr>
              <w:spacing w:after="0"/>
            </w:pPr>
            <w:r/>
            <w:r>
              <w:rPr>
                <w:sz w:val="13"/>
              </w:rPr>
              <w:t>Get a visit</w:t>
            </w:r>
          </w:p>
        </w:tc>
        <w:tc>
          <w:tcPr>
            <w:tcW w:type="dxa" w:w="855"/>
          </w:tcPr>
          <w:p>
            <w:pPr>
              <w:spacing w:after="0"/>
            </w:pPr>
            <w:r/>
            <w:r>
              <w:rPr>
                <w:sz w:val="13"/>
              </w:rPr>
              <w:t>bearer</w:t>
            </w:r>
          </w:p>
        </w:tc>
        <w:tc>
          <w:tcPr>
            <w:tcW w:type="dxa" w:w="3492"/>
          </w:tcPr>
          <w:p>
            <w:pPr>
              <w:spacing w:after="0"/>
            </w:pPr>
            <w:r/>
            <w:r>
              <w:rPr>
                <w:sz w:val="13"/>
              </w:rPr>
              <w:t>sales_tracking.visits.view</w:t>
            </w:r>
          </w:p>
        </w:tc>
      </w:tr>
      <w:tr>
        <w:trPr>
          <w:cantSplit/>
        </w:trPr>
        <w:tc>
          <w:tcPr>
            <w:tcW w:type="dxa" w:w="927"/>
          </w:tcPr>
          <w:p>
            <w:pPr>
              <w:spacing w:after="0"/>
            </w:pPr>
            <w:r/>
            <w:r>
              <w:rPr>
                <w:sz w:val="13"/>
              </w:rPr>
              <w:t>POST</w:t>
            </w:r>
          </w:p>
        </w:tc>
        <w:tc>
          <w:tcPr>
            <w:tcW w:type="dxa" w:w="4276"/>
          </w:tcPr>
          <w:p>
            <w:pPr>
              <w:spacing w:after="0"/>
            </w:pPr>
            <w:r/>
            <w:r>
              <w:rPr>
                <w:sz w:val="13"/>
              </w:rPr>
              <w:t>/api/v1/sales-tracking/visits/{id}/checkin</w:t>
            </w:r>
          </w:p>
        </w:tc>
        <w:tc>
          <w:tcPr>
            <w:tcW w:type="dxa" w:w="4561"/>
          </w:tcPr>
          <w:p>
            <w:pPr>
              <w:spacing w:after="0"/>
            </w:pPr>
            <w:r/>
            <w:r>
              <w:rPr>
                <w:sz w:val="13"/>
              </w:rPr>
              <w:t>Check in to a visit (GPS)</w:t>
            </w:r>
          </w:p>
        </w:tc>
        <w:tc>
          <w:tcPr>
            <w:tcW w:type="dxa" w:w="855"/>
          </w:tcPr>
          <w:p>
            <w:pPr>
              <w:spacing w:after="0"/>
            </w:pPr>
            <w:r/>
            <w:r>
              <w:rPr>
                <w:sz w:val="13"/>
              </w:rPr>
              <w:t>bearer</w:t>
            </w:r>
          </w:p>
        </w:tc>
        <w:tc>
          <w:tcPr>
            <w:tcW w:type="dxa" w:w="3492"/>
          </w:tcPr>
          <w:p>
            <w:pPr>
              <w:spacing w:after="0"/>
            </w:pPr>
            <w:r/>
            <w:r>
              <w:rPr>
                <w:sz w:val="13"/>
              </w:rPr>
              <w:t>sales_tracking.visits.checkin</w:t>
            </w:r>
          </w:p>
        </w:tc>
      </w:tr>
      <w:tr>
        <w:trPr>
          <w:cantSplit/>
        </w:trPr>
        <w:tc>
          <w:tcPr>
            <w:tcW w:type="dxa" w:w="927"/>
          </w:tcPr>
          <w:p>
            <w:pPr>
              <w:spacing w:after="0"/>
            </w:pPr>
            <w:r/>
            <w:r>
              <w:rPr>
                <w:sz w:val="13"/>
              </w:rPr>
              <w:t>POST</w:t>
            </w:r>
          </w:p>
        </w:tc>
        <w:tc>
          <w:tcPr>
            <w:tcW w:type="dxa" w:w="4276"/>
          </w:tcPr>
          <w:p>
            <w:pPr>
              <w:spacing w:after="0"/>
            </w:pPr>
            <w:r/>
            <w:r>
              <w:rPr>
                <w:sz w:val="13"/>
              </w:rPr>
              <w:t>/api/v1/sales-tracking/visits/{id}/checkout</w:t>
            </w:r>
          </w:p>
        </w:tc>
        <w:tc>
          <w:tcPr>
            <w:tcW w:type="dxa" w:w="4561"/>
          </w:tcPr>
          <w:p>
            <w:pPr>
              <w:spacing w:after="0"/>
            </w:pPr>
            <w:r/>
            <w:r>
              <w:rPr>
                <w:sz w:val="13"/>
              </w:rPr>
              <w:t>Check out of a visit (GPS, duration)</w:t>
            </w:r>
          </w:p>
        </w:tc>
        <w:tc>
          <w:tcPr>
            <w:tcW w:type="dxa" w:w="855"/>
          </w:tcPr>
          <w:p>
            <w:pPr>
              <w:spacing w:after="0"/>
            </w:pPr>
            <w:r/>
            <w:r>
              <w:rPr>
                <w:sz w:val="13"/>
              </w:rPr>
              <w:t>bearer</w:t>
            </w:r>
          </w:p>
        </w:tc>
        <w:tc>
          <w:tcPr>
            <w:tcW w:type="dxa" w:w="3492"/>
          </w:tcPr>
          <w:p>
            <w:pPr>
              <w:spacing w:after="0"/>
            </w:pPr>
            <w:r/>
            <w:r>
              <w:rPr>
                <w:sz w:val="13"/>
              </w:rPr>
              <w:t>sales_tracking.visits.checkout</w:t>
            </w:r>
          </w:p>
        </w:tc>
      </w:tr>
    </w:tbl>
    <w:p>
      <w:bookmarkStart w:id="1253" w:name="_Toc1253"/>
      <w:pPr>
        <w:pStyle w:val="Heading3"/>
      </w:pPr>
      <w:r>
        <w:t>settings — 2 operations</w:t>
      </w:r>
      <w:bookmarkEnd w:id="1253"/>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/api/v1/settings</w:t>
            </w:r>
          </w:p>
        </w:tc>
        <w:tc>
          <w:tcPr>
            <w:tcW w:type="dxa" w:w="4561"/>
          </w:tcPr>
          <w:p>
            <w:pPr>
              <w:spacing w:after="0"/>
            </w:pPr>
            <w:r/>
            <w:r>
              <w:rPr>
                <w:sz w:val="13"/>
              </w:rPr>
              <w:t>Get store and application settings</w:t>
            </w:r>
          </w:p>
        </w:tc>
        <w:tc>
          <w:tcPr>
            <w:tcW w:type="dxa" w:w="855"/>
          </w:tcPr>
          <w:p>
            <w:pPr>
              <w:spacing w:after="0"/>
            </w:pPr>
            <w:r/>
            <w:r>
              <w:rPr>
                <w:sz w:val="13"/>
              </w:rPr>
              <w:t>bearer</w:t>
            </w:r>
          </w:p>
        </w:tc>
        <w:tc>
          <w:tcPr>
            <w:tcW w:type="dxa" w:w="3492"/>
          </w:tcPr>
          <w:p>
            <w:pPr>
              <w:spacing w:after="0"/>
            </w:pPr>
            <w:r/>
            <w:r>
              <w:rPr>
                <w:sz w:val="13"/>
              </w:rPr>
              <w:t>system.settings.view</w:t>
            </w:r>
          </w:p>
        </w:tc>
      </w:tr>
      <w:tr>
        <w:trPr>
          <w:cantSplit/>
        </w:trPr>
        <w:tc>
          <w:tcPr>
            <w:tcW w:type="dxa" w:w="927"/>
          </w:tcPr>
          <w:p>
            <w:pPr>
              <w:spacing w:after="0"/>
            </w:pPr>
            <w:r/>
            <w:r>
              <w:rPr>
                <w:sz w:val="13"/>
              </w:rPr>
              <w:t>PUT</w:t>
            </w:r>
          </w:p>
        </w:tc>
        <w:tc>
          <w:tcPr>
            <w:tcW w:type="dxa" w:w="4276"/>
          </w:tcPr>
          <w:p>
            <w:pPr>
              <w:spacing w:after="0"/>
            </w:pPr>
            <w:r/>
            <w:r>
              <w:rPr>
                <w:sz w:val="13"/>
              </w:rPr>
              <w:t>/api/v1/settings</w:t>
            </w:r>
          </w:p>
        </w:tc>
        <w:tc>
          <w:tcPr>
            <w:tcW w:type="dxa" w:w="4561"/>
          </w:tcPr>
          <w:p>
            <w:pPr>
              <w:spacing w:after="0"/>
            </w:pPr>
            <w:r/>
            <w:r>
              <w:rPr>
                <w:sz w:val="13"/>
              </w:rPr>
              <w:t>Update store and application settings</w:t>
            </w:r>
          </w:p>
        </w:tc>
        <w:tc>
          <w:tcPr>
            <w:tcW w:type="dxa" w:w="855"/>
          </w:tcPr>
          <w:p>
            <w:pPr>
              <w:spacing w:after="0"/>
            </w:pPr>
            <w:r/>
            <w:r>
              <w:rPr>
                <w:sz w:val="13"/>
              </w:rPr>
              <w:t>bearer</w:t>
            </w:r>
          </w:p>
        </w:tc>
        <w:tc>
          <w:tcPr>
            <w:tcW w:type="dxa" w:w="3492"/>
          </w:tcPr>
          <w:p>
            <w:pPr>
              <w:spacing w:after="0"/>
            </w:pPr>
            <w:r/>
            <w:r>
              <w:rPr>
                <w:sz w:val="13"/>
              </w:rPr>
              <w:t>system.settings.manage</w:t>
            </w:r>
          </w:p>
        </w:tc>
      </w:tr>
    </w:tbl>
    <w:p>
      <w:bookmarkStart w:id="1254" w:name="_Toc1254"/>
      <w:pPr>
        <w:pStyle w:val="Heading3"/>
      </w:pPr>
      <w:r>
        <w:t>stores — 8 operations</w:t>
      </w:r>
      <w:bookmarkEnd w:id="1254"/>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/api/v1/stores</w:t>
            </w:r>
          </w:p>
        </w:tc>
        <w:tc>
          <w:tcPr>
            <w:tcW w:type="dxa" w:w="4561"/>
          </w:tcPr>
          <w:p>
            <w:pPr>
              <w:spacing w:after="0"/>
            </w:pPr>
            <w:r/>
            <w:r>
              <w:rPr>
                <w:sz w:val="13"/>
              </w:rPr>
              <w:t>List tenant stores</w:t>
            </w:r>
          </w:p>
        </w:tc>
        <w:tc>
          <w:tcPr>
            <w:tcW w:type="dxa" w:w="855"/>
          </w:tcPr>
          <w:p>
            <w:pPr>
              <w:spacing w:after="0"/>
            </w:pPr>
            <w:r/>
            <w:r>
              <w:rPr>
                <w:sz w:val="13"/>
              </w:rPr>
              <w:t>bearer</w:t>
            </w:r>
          </w:p>
        </w:tc>
        <w:tc>
          <w:tcPr>
            <w:tcW w:type="dxa" w:w="3492"/>
          </w:tcPr>
          <w:p>
            <w:pPr>
              <w:spacing w:after="0"/>
            </w:pPr>
            <w:r/>
            <w:r>
              <w:rPr>
                <w:sz w:val="13"/>
              </w:rPr>
              <w:t>system.stores.view</w:t>
            </w:r>
          </w:p>
        </w:tc>
      </w:tr>
      <w:tr>
        <w:trPr>
          <w:cantSplit/>
        </w:trPr>
        <w:tc>
          <w:tcPr>
            <w:tcW w:type="dxa" w:w="927"/>
          </w:tcPr>
          <w:p>
            <w:pPr>
              <w:spacing w:after="0"/>
            </w:pPr>
            <w:r/>
            <w:r>
              <w:rPr>
                <w:sz w:val="13"/>
              </w:rPr>
              <w:t>POST</w:t>
            </w:r>
          </w:p>
        </w:tc>
        <w:tc>
          <w:tcPr>
            <w:tcW w:type="dxa" w:w="4276"/>
          </w:tcPr>
          <w:p>
            <w:pPr>
              <w:spacing w:after="0"/>
            </w:pPr>
            <w:r/>
            <w:r>
              <w:rPr>
                <w:sz w:val="13"/>
              </w:rPr>
              <w:t>/api/v1/stores</w:t>
            </w:r>
          </w:p>
        </w:tc>
        <w:tc>
          <w:tcPr>
            <w:tcW w:type="dxa" w:w="4561"/>
          </w:tcPr>
          <w:p>
            <w:pPr>
              <w:spacing w:after="0"/>
            </w:pPr>
            <w:r/>
            <w:r>
              <w:rPr>
                <w:sz w:val="13"/>
              </w:rPr>
              <w:t>Create a tenant store</w:t>
            </w:r>
          </w:p>
        </w:tc>
        <w:tc>
          <w:tcPr>
            <w:tcW w:type="dxa" w:w="855"/>
          </w:tcPr>
          <w:p>
            <w:pPr>
              <w:spacing w:after="0"/>
            </w:pPr>
            <w:r/>
            <w:r>
              <w:rPr>
                <w:sz w:val="13"/>
              </w:rPr>
              <w:t>bearer</w:t>
            </w:r>
          </w:p>
        </w:tc>
        <w:tc>
          <w:tcPr>
            <w:tcW w:type="dxa" w:w="3492"/>
          </w:tcPr>
          <w:p>
            <w:pPr>
              <w:spacing w:after="0"/>
            </w:pPr>
            <w:r/>
            <w:r>
              <w:rPr>
                <w:sz w:val="13"/>
              </w:rPr>
              <w:t>system.stores.create</w:t>
            </w:r>
          </w:p>
        </w:tc>
      </w:tr>
      <w:tr>
        <w:trPr>
          <w:cantSplit/>
        </w:trPr>
        <w:tc>
          <w:tcPr>
            <w:tcW w:type="dxa" w:w="927"/>
          </w:tcPr>
          <w:p>
            <w:pPr>
              <w:spacing w:after="0"/>
            </w:pPr>
            <w:r/>
            <w:r>
              <w:rPr>
                <w:sz w:val="13"/>
              </w:rPr>
              <w:t>DELETE</w:t>
            </w:r>
          </w:p>
        </w:tc>
        <w:tc>
          <w:tcPr>
            <w:tcW w:type="dxa" w:w="4276"/>
          </w:tcPr>
          <w:p>
            <w:pPr>
              <w:spacing w:after="0"/>
            </w:pPr>
            <w:r/>
            <w:r>
              <w:rPr>
                <w:sz w:val="13"/>
              </w:rPr>
              <w:t>/api/v1/stores/{id}</w:t>
            </w:r>
          </w:p>
        </w:tc>
        <w:tc>
          <w:tcPr>
            <w:tcW w:type="dxa" w:w="4561"/>
          </w:tcPr>
          <w:p>
            <w:pPr>
              <w:spacing w:after="0"/>
            </w:pPr>
            <w:r/>
            <w:r>
              <w:rPr>
                <w:sz w:val="13"/>
              </w:rPr>
              <w:t>Delete a store (fails when referenced)</w:t>
            </w:r>
          </w:p>
        </w:tc>
        <w:tc>
          <w:tcPr>
            <w:tcW w:type="dxa" w:w="855"/>
          </w:tcPr>
          <w:p>
            <w:pPr>
              <w:spacing w:after="0"/>
            </w:pPr>
            <w:r/>
            <w:r>
              <w:rPr>
                <w:sz w:val="13"/>
              </w:rPr>
              <w:t>bearer</w:t>
            </w:r>
          </w:p>
        </w:tc>
        <w:tc>
          <w:tcPr>
            <w:tcW w:type="dxa" w:w="3492"/>
          </w:tcPr>
          <w:p>
            <w:pPr>
              <w:spacing w:after="0"/>
            </w:pPr>
            <w:r/>
            <w:r>
              <w:rPr>
                <w:sz w:val="13"/>
              </w:rPr>
              <w:t>system.stores.delete</w:t>
            </w:r>
          </w:p>
        </w:tc>
      </w:tr>
      <w:tr>
        <w:trPr>
          <w:cantSplit/>
        </w:trPr>
        <w:tc>
          <w:tcPr>
            <w:tcW w:type="dxa" w:w="927"/>
          </w:tcPr>
          <w:p>
            <w:pPr>
              <w:spacing w:after="0"/>
            </w:pPr>
            <w:r/>
            <w:r>
              <w:rPr>
                <w:sz w:val="13"/>
              </w:rPr>
              <w:t>GET</w:t>
            </w:r>
          </w:p>
        </w:tc>
        <w:tc>
          <w:tcPr>
            <w:tcW w:type="dxa" w:w="4276"/>
          </w:tcPr>
          <w:p>
            <w:pPr>
              <w:spacing w:after="0"/>
            </w:pPr>
            <w:r/>
            <w:r>
              <w:rPr>
                <w:sz w:val="13"/>
              </w:rPr>
              <w:t>/api/v1/stores/{id}</w:t>
            </w:r>
          </w:p>
        </w:tc>
        <w:tc>
          <w:tcPr>
            <w:tcW w:type="dxa" w:w="4561"/>
          </w:tcPr>
          <w:p>
            <w:pPr>
              <w:spacing w:after="0"/>
            </w:pPr>
            <w:r/>
            <w:r>
              <w:rPr>
                <w:sz w:val="13"/>
              </w:rPr>
              <w:t>Get a store</w:t>
            </w:r>
          </w:p>
        </w:tc>
        <w:tc>
          <w:tcPr>
            <w:tcW w:type="dxa" w:w="855"/>
          </w:tcPr>
          <w:p>
            <w:pPr>
              <w:spacing w:after="0"/>
            </w:pPr>
            <w:r/>
            <w:r>
              <w:rPr>
                <w:sz w:val="13"/>
              </w:rPr>
              <w:t>bearer</w:t>
            </w:r>
          </w:p>
        </w:tc>
        <w:tc>
          <w:tcPr>
            <w:tcW w:type="dxa" w:w="3492"/>
          </w:tcPr>
          <w:p>
            <w:pPr>
              <w:spacing w:after="0"/>
            </w:pPr>
            <w:r/>
            <w:r>
              <w:rPr>
                <w:sz w:val="13"/>
              </w:rPr>
              <w:t>system.stores.view</w:t>
            </w:r>
          </w:p>
        </w:tc>
      </w:tr>
      <w:tr>
        <w:trPr>
          <w:cantSplit/>
        </w:trPr>
        <w:tc>
          <w:tcPr>
            <w:tcW w:type="dxa" w:w="927"/>
          </w:tcPr>
          <w:p>
            <w:pPr>
              <w:spacing w:after="0"/>
            </w:pPr>
            <w:r/>
            <w:r>
              <w:rPr>
                <w:sz w:val="13"/>
              </w:rPr>
              <w:t>PUT</w:t>
            </w:r>
          </w:p>
        </w:tc>
        <w:tc>
          <w:tcPr>
            <w:tcW w:type="dxa" w:w="4276"/>
          </w:tcPr>
          <w:p>
            <w:pPr>
              <w:spacing w:after="0"/>
            </w:pPr>
            <w:r/>
            <w:r>
              <w:rPr>
                <w:sz w:val="13"/>
              </w:rPr>
              <w:t>/api/v1/stores/{id}</w:t>
            </w:r>
          </w:p>
        </w:tc>
        <w:tc>
          <w:tcPr>
            <w:tcW w:type="dxa" w:w="4561"/>
          </w:tcPr>
          <w:p>
            <w:pPr>
              <w:spacing w:after="0"/>
            </w:pPr>
            <w:r/>
            <w:r>
              <w:rPr>
                <w:sz w:val="13"/>
              </w:rPr>
              <w:t>Update a store</w:t>
            </w:r>
          </w:p>
        </w:tc>
        <w:tc>
          <w:tcPr>
            <w:tcW w:type="dxa" w:w="855"/>
          </w:tcPr>
          <w:p>
            <w:pPr>
              <w:spacing w:after="0"/>
            </w:pPr>
            <w:r/>
            <w:r>
              <w:rPr>
                <w:sz w:val="13"/>
              </w:rPr>
              <w:t>bearer</w:t>
            </w:r>
          </w:p>
        </w:tc>
        <w:tc>
          <w:tcPr>
            <w:tcW w:type="dxa" w:w="3492"/>
          </w:tcPr>
          <w:p>
            <w:pPr>
              <w:spacing w:after="0"/>
            </w:pPr>
            <w:r/>
            <w:r>
              <w:rPr>
                <w:sz w:val="13"/>
              </w:rPr>
              <w:t>system.stores.update</w:t>
            </w:r>
          </w:p>
        </w:tc>
      </w:tr>
      <w:tr>
        <w:trPr>
          <w:cantSplit/>
        </w:trPr>
        <w:tc>
          <w:tcPr>
            <w:tcW w:type="dxa" w:w="927"/>
          </w:tcPr>
          <w:p>
            <w:pPr>
              <w:spacing w:after="0"/>
            </w:pPr>
            <w:r/>
            <w:r>
              <w:rPr>
                <w:sz w:val="13"/>
              </w:rPr>
              <w:t>GET</w:t>
            </w:r>
          </w:p>
        </w:tc>
        <w:tc>
          <w:tcPr>
            <w:tcW w:type="dxa" w:w="4276"/>
          </w:tcPr>
          <w:p>
            <w:pPr>
              <w:spacing w:after="0"/>
            </w:pPr>
            <w:r/>
            <w:r>
              <w:rPr>
                <w:sz w:val="13"/>
              </w:rPr>
              <w:t>/api/v1/stores/{id}/users</w:t>
            </w:r>
          </w:p>
        </w:tc>
        <w:tc>
          <w:tcPr>
            <w:tcW w:type="dxa" w:w="4561"/>
          </w:tcPr>
          <w:p>
            <w:pPr>
              <w:spacing w:after="0"/>
            </w:pPr>
            <w:r/>
            <w:r>
              <w:rPr>
                <w:sz w:val="13"/>
              </w:rPr>
              <w:t>List store user memberships</w:t>
            </w:r>
          </w:p>
        </w:tc>
        <w:tc>
          <w:tcPr>
            <w:tcW w:type="dxa" w:w="855"/>
          </w:tcPr>
          <w:p>
            <w:pPr>
              <w:spacing w:after="0"/>
            </w:pPr>
            <w:r/>
            <w:r>
              <w:rPr>
                <w:sz w:val="13"/>
              </w:rPr>
              <w:t>bearer</w:t>
            </w:r>
          </w:p>
        </w:tc>
        <w:tc>
          <w:tcPr>
            <w:tcW w:type="dxa" w:w="3492"/>
          </w:tcPr>
          <w:p>
            <w:pPr>
              <w:spacing w:after="0"/>
            </w:pPr>
            <w:r/>
            <w:r>
              <w:rPr>
                <w:sz w:val="13"/>
              </w:rPr>
              <w:t>system.users.view</w:t>
            </w:r>
          </w:p>
        </w:tc>
      </w:tr>
      <w:tr>
        <w:trPr>
          <w:cantSplit/>
        </w:trPr>
        <w:tc>
          <w:tcPr>
            <w:tcW w:type="dxa" w:w="927"/>
          </w:tcPr>
          <w:p>
            <w:pPr>
              <w:spacing w:after="0"/>
            </w:pPr>
            <w:r/>
            <w:r>
              <w:rPr>
                <w:sz w:val="13"/>
              </w:rPr>
              <w:t>POST</w:t>
            </w:r>
          </w:p>
        </w:tc>
        <w:tc>
          <w:tcPr>
            <w:tcW w:type="dxa" w:w="4276"/>
          </w:tcPr>
          <w:p>
            <w:pPr>
              <w:spacing w:after="0"/>
            </w:pPr>
            <w:r/>
            <w:r>
              <w:rPr>
                <w:sz w:val="13"/>
              </w:rPr>
              <w:t>/api/v1/stores/{id}/users</w:t>
            </w:r>
          </w:p>
        </w:tc>
        <w:tc>
          <w:tcPr>
            <w:tcW w:type="dxa" w:w="4561"/>
          </w:tcPr>
          <w:p>
            <w:pPr>
              <w:spacing w:after="0"/>
            </w:pPr>
            <w:r/>
            <w:r>
              <w:rPr>
                <w:sz w:val="13"/>
              </w:rPr>
              <w:t>Assign a user to the store</w:t>
            </w:r>
          </w:p>
        </w:tc>
        <w:tc>
          <w:tcPr>
            <w:tcW w:type="dxa" w:w="855"/>
          </w:tcPr>
          <w:p>
            <w:pPr>
              <w:spacing w:after="0"/>
            </w:pPr>
            <w:r/>
            <w:r>
              <w:rPr>
                <w:sz w:val="13"/>
              </w:rPr>
              <w:t>bearer</w:t>
            </w:r>
          </w:p>
        </w:tc>
        <w:tc>
          <w:tcPr>
            <w:tcW w:type="dxa" w:w="3492"/>
          </w:tcPr>
          <w:p>
            <w:pPr>
              <w:spacing w:after="0"/>
            </w:pPr>
            <w:r/>
            <w:r>
              <w:rPr>
                <w:sz w:val="13"/>
              </w:rPr>
              <w:t>system.stores.update</w:t>
            </w:r>
          </w:p>
        </w:tc>
      </w:tr>
      <w:tr>
        <w:trPr>
          <w:cantSplit/>
        </w:trPr>
        <w:tc>
          <w:tcPr>
            <w:tcW w:type="dxa" w:w="927"/>
          </w:tcPr>
          <w:p>
            <w:pPr>
              <w:spacing w:after="0"/>
            </w:pPr>
            <w:r/>
            <w:r>
              <w:rPr>
                <w:sz w:val="13"/>
              </w:rPr>
              <w:t>DELETE</w:t>
            </w:r>
          </w:p>
        </w:tc>
        <w:tc>
          <w:tcPr>
            <w:tcW w:type="dxa" w:w="4276"/>
          </w:tcPr>
          <w:p>
            <w:pPr>
              <w:spacing w:after="0"/>
            </w:pPr>
            <w:r/>
            <w:r>
              <w:rPr>
                <w:sz w:val="13"/>
              </w:rPr>
              <w:t>/api/v1/stores/{id}/users/{userID}</w:t>
            </w:r>
          </w:p>
        </w:tc>
        <w:tc>
          <w:tcPr>
            <w:tcW w:type="dxa" w:w="4561"/>
          </w:tcPr>
          <w:p>
            <w:pPr>
              <w:spacing w:after="0"/>
            </w:pPr>
            <w:r/>
            <w:r>
              <w:rPr>
                <w:sz w:val="13"/>
              </w:rPr>
              <w:t>Remove a user from the store</w:t>
            </w:r>
          </w:p>
        </w:tc>
        <w:tc>
          <w:tcPr>
            <w:tcW w:type="dxa" w:w="855"/>
          </w:tcPr>
          <w:p>
            <w:pPr>
              <w:spacing w:after="0"/>
            </w:pPr>
            <w:r/>
            <w:r>
              <w:rPr>
                <w:sz w:val="13"/>
              </w:rPr>
              <w:t>bearer</w:t>
            </w:r>
          </w:p>
        </w:tc>
        <w:tc>
          <w:tcPr>
            <w:tcW w:type="dxa" w:w="3492"/>
          </w:tcPr>
          <w:p>
            <w:pPr>
              <w:spacing w:after="0"/>
            </w:pPr>
            <w:r/>
            <w:r>
              <w:rPr>
                <w:sz w:val="13"/>
              </w:rPr>
              <w:t>system.stores.update</w:t>
            </w:r>
          </w:p>
        </w:tc>
      </w:tr>
    </w:tbl>
    <w:p>
      <w:bookmarkStart w:id="1255" w:name="_Toc1255"/>
      <w:pPr>
        <w:pStyle w:val="Heading3"/>
      </w:pPr>
      <w:r>
        <w:t>suppliers — 5 operations</w:t>
      </w:r>
      <w:bookmarkEnd w:id="1255"/>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/api/v1/suppliers</w:t>
            </w:r>
          </w:p>
        </w:tc>
        <w:tc>
          <w:tcPr>
            <w:tcW w:type="dxa" w:w="4561"/>
          </w:tcPr>
          <w:p>
            <w:pPr>
              <w:spacing w:after="0"/>
            </w:pPr>
            <w:r/>
            <w:r>
              <w:rPr>
                <w:sz w:val="13"/>
              </w:rPr>
              <w:t>List suppliers (paginated)</w:t>
            </w:r>
          </w:p>
        </w:tc>
        <w:tc>
          <w:tcPr>
            <w:tcW w:type="dxa" w:w="855"/>
          </w:tcPr>
          <w:p>
            <w:pPr>
              <w:spacing w:after="0"/>
            </w:pPr>
            <w:r/>
            <w:r>
              <w:rPr>
                <w:sz w:val="13"/>
              </w:rPr>
              <w:t>bearer</w:t>
            </w:r>
          </w:p>
        </w:tc>
        <w:tc>
          <w:tcPr>
            <w:tcW w:type="dxa" w:w="3492"/>
          </w:tcPr>
          <w:p>
            <w:pPr>
              <w:spacing w:after="0"/>
            </w:pPr>
            <w:r/>
            <w:r>
              <w:rPr>
                <w:sz w:val="13"/>
              </w:rPr>
              <w:t>masterdata.suppliers.view</w:t>
            </w:r>
          </w:p>
        </w:tc>
      </w:tr>
      <w:tr>
        <w:trPr>
          <w:cantSplit/>
        </w:trPr>
        <w:tc>
          <w:tcPr>
            <w:tcW w:type="dxa" w:w="927"/>
          </w:tcPr>
          <w:p>
            <w:pPr>
              <w:spacing w:after="0"/>
            </w:pPr>
            <w:r/>
            <w:r>
              <w:rPr>
                <w:sz w:val="13"/>
              </w:rPr>
              <w:t>POST</w:t>
            </w:r>
          </w:p>
        </w:tc>
        <w:tc>
          <w:tcPr>
            <w:tcW w:type="dxa" w:w="4276"/>
          </w:tcPr>
          <w:p>
            <w:pPr>
              <w:spacing w:after="0"/>
            </w:pPr>
            <w:r/>
            <w:r>
              <w:rPr>
                <w:sz w:val="13"/>
              </w:rPr>
              <w:t>/api/v1/suppliers</w:t>
            </w:r>
          </w:p>
        </w:tc>
        <w:tc>
          <w:tcPr>
            <w:tcW w:type="dxa" w:w="4561"/>
          </w:tcPr>
          <w:p>
            <w:pPr>
              <w:spacing w:after="0"/>
            </w:pPr>
            <w:r/>
            <w:r>
              <w:rPr>
                <w:sz w:val="13"/>
              </w:rPr>
              <w:t>Create a supplier</w:t>
            </w:r>
          </w:p>
        </w:tc>
        <w:tc>
          <w:tcPr>
            <w:tcW w:type="dxa" w:w="855"/>
          </w:tcPr>
          <w:p>
            <w:pPr>
              <w:spacing w:after="0"/>
            </w:pPr>
            <w:r/>
            <w:r>
              <w:rPr>
                <w:sz w:val="13"/>
              </w:rPr>
              <w:t>bearer</w:t>
            </w:r>
          </w:p>
        </w:tc>
        <w:tc>
          <w:tcPr>
            <w:tcW w:type="dxa" w:w="3492"/>
          </w:tcPr>
          <w:p>
            <w:pPr>
              <w:spacing w:after="0"/>
            </w:pPr>
            <w:r/>
            <w:r>
              <w:rPr>
                <w:sz w:val="13"/>
              </w:rPr>
              <w:t>masterdata.suppliers.create</w:t>
            </w:r>
          </w:p>
        </w:tc>
      </w:tr>
      <w:tr>
        <w:trPr>
          <w:cantSplit/>
        </w:trPr>
        <w:tc>
          <w:tcPr>
            <w:tcW w:type="dxa" w:w="927"/>
          </w:tcPr>
          <w:p>
            <w:pPr>
              <w:spacing w:after="0"/>
            </w:pPr>
            <w:r/>
            <w:r>
              <w:rPr>
                <w:sz w:val="13"/>
              </w:rPr>
              <w:t>DELETE</w:t>
            </w:r>
          </w:p>
        </w:tc>
        <w:tc>
          <w:tcPr>
            <w:tcW w:type="dxa" w:w="4276"/>
          </w:tcPr>
          <w:p>
            <w:pPr>
              <w:spacing w:after="0"/>
            </w:pPr>
            <w:r/>
            <w:r>
              <w:rPr>
                <w:sz w:val="13"/>
              </w:rPr>
              <w:t>/api/v1/suppliers/{id}</w:t>
            </w:r>
          </w:p>
        </w:tc>
        <w:tc>
          <w:tcPr>
            <w:tcW w:type="dxa" w:w="4561"/>
          </w:tcPr>
          <w:p>
            <w:pPr>
              <w:spacing w:after="0"/>
            </w:pPr>
            <w:r/>
            <w:r>
              <w:rPr>
                <w:sz w:val="13"/>
              </w:rPr>
              <w:t>Soft-delete a supplier</w:t>
            </w:r>
          </w:p>
        </w:tc>
        <w:tc>
          <w:tcPr>
            <w:tcW w:type="dxa" w:w="855"/>
          </w:tcPr>
          <w:p>
            <w:pPr>
              <w:spacing w:after="0"/>
            </w:pPr>
            <w:r/>
            <w:r>
              <w:rPr>
                <w:sz w:val="13"/>
              </w:rPr>
              <w:t>bearer</w:t>
            </w:r>
          </w:p>
        </w:tc>
        <w:tc>
          <w:tcPr>
            <w:tcW w:type="dxa" w:w="3492"/>
          </w:tcPr>
          <w:p>
            <w:pPr>
              <w:spacing w:after="0"/>
            </w:pPr>
            <w:r/>
            <w:r>
              <w:rPr>
                <w:sz w:val="13"/>
              </w:rPr>
              <w:t>masterdata.suppliers.delete</w:t>
            </w:r>
          </w:p>
        </w:tc>
      </w:tr>
      <w:tr>
        <w:trPr>
          <w:cantSplit/>
        </w:trPr>
        <w:tc>
          <w:tcPr>
            <w:tcW w:type="dxa" w:w="927"/>
          </w:tcPr>
          <w:p>
            <w:pPr>
              <w:spacing w:after="0"/>
            </w:pPr>
            <w:r/>
            <w:r>
              <w:rPr>
                <w:sz w:val="13"/>
              </w:rPr>
              <w:t>GET</w:t>
            </w:r>
          </w:p>
        </w:tc>
        <w:tc>
          <w:tcPr>
            <w:tcW w:type="dxa" w:w="4276"/>
          </w:tcPr>
          <w:p>
            <w:pPr>
              <w:spacing w:after="0"/>
            </w:pPr>
            <w:r/>
            <w:r>
              <w:rPr>
                <w:sz w:val="13"/>
              </w:rPr>
              <w:t>/api/v1/suppliers/{id}</w:t>
            </w:r>
          </w:p>
        </w:tc>
        <w:tc>
          <w:tcPr>
            <w:tcW w:type="dxa" w:w="4561"/>
          </w:tcPr>
          <w:p>
            <w:pPr>
              <w:spacing w:after="0"/>
            </w:pPr>
            <w:r/>
            <w:r>
              <w:rPr>
                <w:sz w:val="13"/>
              </w:rPr>
              <w:t>Get a supplier</w:t>
            </w:r>
          </w:p>
        </w:tc>
        <w:tc>
          <w:tcPr>
            <w:tcW w:type="dxa" w:w="855"/>
          </w:tcPr>
          <w:p>
            <w:pPr>
              <w:spacing w:after="0"/>
            </w:pPr>
            <w:r/>
            <w:r>
              <w:rPr>
                <w:sz w:val="13"/>
              </w:rPr>
              <w:t>bearer</w:t>
            </w:r>
          </w:p>
        </w:tc>
        <w:tc>
          <w:tcPr>
            <w:tcW w:type="dxa" w:w="3492"/>
          </w:tcPr>
          <w:p>
            <w:pPr>
              <w:spacing w:after="0"/>
            </w:pPr>
            <w:r/>
            <w:r>
              <w:rPr>
                <w:sz w:val="13"/>
              </w:rPr>
              <w:t>masterdata.suppliers.view</w:t>
            </w:r>
          </w:p>
        </w:tc>
      </w:tr>
      <w:tr>
        <w:trPr>
          <w:cantSplit/>
        </w:trPr>
        <w:tc>
          <w:tcPr>
            <w:tcW w:type="dxa" w:w="927"/>
          </w:tcPr>
          <w:p>
            <w:pPr>
              <w:spacing w:after="0"/>
            </w:pPr>
            <w:r/>
            <w:r>
              <w:rPr>
                <w:sz w:val="13"/>
              </w:rPr>
              <w:t>PUT</w:t>
            </w:r>
          </w:p>
        </w:tc>
        <w:tc>
          <w:tcPr>
            <w:tcW w:type="dxa" w:w="4276"/>
          </w:tcPr>
          <w:p>
            <w:pPr>
              <w:spacing w:after="0"/>
            </w:pPr>
            <w:r/>
            <w:r>
              <w:rPr>
                <w:sz w:val="13"/>
              </w:rPr>
              <w:t>/api/v1/suppliers/{id}</w:t>
            </w:r>
          </w:p>
        </w:tc>
        <w:tc>
          <w:tcPr>
            <w:tcW w:type="dxa" w:w="4561"/>
          </w:tcPr>
          <w:p>
            <w:pPr>
              <w:spacing w:after="0"/>
            </w:pPr>
            <w:r/>
            <w:r>
              <w:rPr>
                <w:sz w:val="13"/>
              </w:rPr>
              <w:t>Update a supplier</w:t>
            </w:r>
          </w:p>
        </w:tc>
        <w:tc>
          <w:tcPr>
            <w:tcW w:type="dxa" w:w="855"/>
          </w:tcPr>
          <w:p>
            <w:pPr>
              <w:spacing w:after="0"/>
            </w:pPr>
            <w:r/>
            <w:r>
              <w:rPr>
                <w:sz w:val="13"/>
              </w:rPr>
              <w:t>bearer</w:t>
            </w:r>
          </w:p>
        </w:tc>
        <w:tc>
          <w:tcPr>
            <w:tcW w:type="dxa" w:w="3492"/>
          </w:tcPr>
          <w:p>
            <w:pPr>
              <w:spacing w:after="0"/>
            </w:pPr>
            <w:r/>
            <w:r>
              <w:rPr>
                <w:sz w:val="13"/>
              </w:rPr>
              <w:t>masterdata.suppliers.update</w:t>
            </w:r>
          </w:p>
        </w:tc>
      </w:tr>
    </w:tbl>
    <w:p>
      <w:bookmarkStart w:id="1256" w:name="_Toc1256"/>
      <w:pPr>
        <w:pStyle w:val="Heading3"/>
      </w:pPr>
      <w:r>
        <w:t>system — 1 operations</w:t>
      </w:r>
      <w:bookmarkEnd w:id="1256"/>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/api/v1/notifications</w:t>
            </w:r>
          </w:p>
        </w:tc>
        <w:tc>
          <w:tcPr>
            <w:tcW w:type="dxa" w:w="4561"/>
          </w:tcPr>
          <w:p>
            <w:pPr>
              <w:spacing w:after="0"/>
            </w:pPr>
            <w:r/>
            <w:r>
              <w:rPr>
                <w:sz w:val="13"/>
              </w:rPr>
              <w:t>List live notifications (ERP/POS only)</w:t>
            </w:r>
          </w:p>
        </w:tc>
        <w:tc>
          <w:tcPr>
            <w:tcW w:type="dxa" w:w="855"/>
          </w:tcPr>
          <w:p>
            <w:pPr>
              <w:spacing w:after="0"/>
            </w:pPr>
            <w:r/>
            <w:r>
              <w:rPr>
                <w:sz w:val="13"/>
              </w:rPr>
              <w:t>bearer</w:t>
            </w:r>
          </w:p>
        </w:tc>
        <w:tc>
          <w:tcPr>
            <w:tcW w:type="dxa" w:w="3492"/>
          </w:tcPr>
          <w:p>
            <w:pPr>
              <w:spacing w:after="0"/>
            </w:pPr>
            <w:r/>
            <w:r>
              <w:rPr>
                <w:sz w:val="13"/>
              </w:rPr>
              <w:t>none (auth only)</w:t>
            </w:r>
          </w:p>
        </w:tc>
      </w:tr>
    </w:tbl>
    <w:p>
      <w:bookmarkStart w:id="1257" w:name="_Toc1257"/>
      <w:pPr>
        <w:pStyle w:val="Heading3"/>
      </w:pPr>
      <w:r>
        <w:t>tickets — 5 operations</w:t>
      </w:r>
      <w:bookmarkEnd w:id="1257"/>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/api/v1/tickets</w:t>
            </w:r>
          </w:p>
        </w:tc>
        <w:tc>
          <w:tcPr>
            <w:tcW w:type="dxa" w:w="4561"/>
          </w:tcPr>
          <w:p>
            <w:pPr>
              <w:spacing w:after="0"/>
            </w:pPr>
            <w:r/>
            <w:r>
              <w:rPr>
                <w:sz w:val="13"/>
              </w:rPr>
              <w:t>Daftar tiket kendala dan permohonan dukungan</w:t>
            </w:r>
          </w:p>
        </w:tc>
        <w:tc>
          <w:tcPr>
            <w:tcW w:type="dxa" w:w="855"/>
          </w:tcPr>
          <w:p>
            <w:pPr>
              <w:spacing w:after="0"/>
            </w:pPr>
            <w:r/>
            <w:r>
              <w:rPr>
                <w:sz w:val="13"/>
              </w:rPr>
              <w:t>bearer</w:t>
            </w:r>
          </w:p>
        </w:tc>
        <w:tc>
          <w:tcPr>
            <w:tcW w:type="dxa" w:w="3492"/>
          </w:tcPr>
          <w:p>
            <w:pPr>
              <w:spacing w:after="0"/>
            </w:pPr>
            <w:r/>
            <w:r>
              <w:rPr>
                <w:sz w:val="13"/>
              </w:rPr>
              <w:t>support.tickets.create | support.tickets.manage | support.tickets.view</w:t>
            </w:r>
          </w:p>
        </w:tc>
      </w:tr>
      <w:tr>
        <w:trPr>
          <w:cantSplit/>
        </w:trPr>
        <w:tc>
          <w:tcPr>
            <w:tcW w:type="dxa" w:w="927"/>
          </w:tcPr>
          <w:p>
            <w:pPr>
              <w:spacing w:after="0"/>
            </w:pPr>
            <w:r/>
            <w:r>
              <w:rPr>
                <w:sz w:val="13"/>
              </w:rPr>
              <w:t>POST</w:t>
            </w:r>
          </w:p>
        </w:tc>
        <w:tc>
          <w:tcPr>
            <w:tcW w:type="dxa" w:w="4276"/>
          </w:tcPr>
          <w:p>
            <w:pPr>
              <w:spacing w:after="0"/>
            </w:pPr>
            <w:r/>
            <w:r>
              <w:rPr>
                <w:sz w:val="13"/>
              </w:rPr>
              <w:t>/api/v1/tickets</w:t>
            </w:r>
          </w:p>
        </w:tc>
        <w:tc>
          <w:tcPr>
            <w:tcW w:type="dxa" w:w="4561"/>
          </w:tcPr>
          <w:p>
            <w:pPr>
              <w:spacing w:after="0"/>
            </w:pPr>
            <w:r/>
            <w:r>
              <w:rPr>
                <w:sz w:val="13"/>
              </w:rPr>
              <w:t>Buat tiket kendala / dukungan baru</w:t>
            </w:r>
          </w:p>
        </w:tc>
        <w:tc>
          <w:tcPr>
            <w:tcW w:type="dxa" w:w="855"/>
          </w:tcPr>
          <w:p>
            <w:pPr>
              <w:spacing w:after="0"/>
            </w:pPr>
            <w:r/>
            <w:r>
              <w:rPr>
                <w:sz w:val="13"/>
              </w:rPr>
              <w:t>bearer</w:t>
            </w:r>
          </w:p>
        </w:tc>
        <w:tc>
          <w:tcPr>
            <w:tcW w:type="dxa" w:w="3492"/>
          </w:tcPr>
          <w:p>
            <w:pPr>
              <w:spacing w:after="0"/>
            </w:pPr>
            <w:r/>
            <w:r>
              <w:rPr>
                <w:sz w:val="13"/>
              </w:rPr>
              <w:t>support.tickets.create</w:t>
            </w:r>
          </w:p>
        </w:tc>
      </w:tr>
      <w:tr>
        <w:trPr>
          <w:cantSplit/>
        </w:trPr>
        <w:tc>
          <w:tcPr>
            <w:tcW w:type="dxa" w:w="927"/>
          </w:tcPr>
          <w:p>
            <w:pPr>
              <w:spacing w:after="0"/>
            </w:pPr>
            <w:r/>
            <w:r>
              <w:rPr>
                <w:sz w:val="13"/>
              </w:rPr>
              <w:t>GET</w:t>
            </w:r>
          </w:p>
        </w:tc>
        <w:tc>
          <w:tcPr>
            <w:tcW w:type="dxa" w:w="4276"/>
          </w:tcPr>
          <w:p>
            <w:pPr>
              <w:spacing w:after="0"/>
            </w:pPr>
            <w:r/>
            <w:r>
              <w:rPr>
                <w:sz w:val="13"/>
              </w:rPr>
              <w:t>/api/v1/tickets/{id}</w:t>
            </w:r>
          </w:p>
        </w:tc>
        <w:tc>
          <w:tcPr>
            <w:tcW w:type="dxa" w:w="4561"/>
          </w:tcPr>
          <w:p>
            <w:pPr>
              <w:spacing w:after="0"/>
            </w:pPr>
            <w:r/>
            <w:r>
              <w:rPr>
                <w:sz w:val="13"/>
              </w:rPr>
              <w:t>Detail tiket kendala dan riwayat komentar</w:t>
            </w:r>
          </w:p>
        </w:tc>
        <w:tc>
          <w:tcPr>
            <w:tcW w:type="dxa" w:w="855"/>
          </w:tcPr>
          <w:p>
            <w:pPr>
              <w:spacing w:after="0"/>
            </w:pPr>
            <w:r/>
            <w:r>
              <w:rPr>
                <w:sz w:val="13"/>
              </w:rPr>
              <w:t>bearer</w:t>
            </w:r>
          </w:p>
        </w:tc>
        <w:tc>
          <w:tcPr>
            <w:tcW w:type="dxa" w:w="3492"/>
          </w:tcPr>
          <w:p>
            <w:pPr>
              <w:spacing w:after="0"/>
            </w:pPr>
            <w:r/>
            <w:r>
              <w:rPr>
                <w:sz w:val="13"/>
              </w:rPr>
              <w:t>support.tickets.create | support.tickets.manage | support.tickets.view</w:t>
            </w:r>
          </w:p>
        </w:tc>
      </w:tr>
      <w:tr>
        <w:trPr>
          <w:cantSplit/>
        </w:trPr>
        <w:tc>
          <w:tcPr>
            <w:tcW w:type="dxa" w:w="927"/>
          </w:tcPr>
          <w:p>
            <w:pPr>
              <w:spacing w:after="0"/>
            </w:pPr>
            <w:r/>
            <w:r>
              <w:rPr>
                <w:sz w:val="13"/>
              </w:rPr>
              <w:t>PATCH</w:t>
            </w:r>
          </w:p>
        </w:tc>
        <w:tc>
          <w:tcPr>
            <w:tcW w:type="dxa" w:w="4276"/>
          </w:tcPr>
          <w:p>
            <w:pPr>
              <w:spacing w:after="0"/>
            </w:pPr>
            <w:r/>
            <w:r>
              <w:rPr>
                <w:sz w:val="13"/>
              </w:rPr>
              <w:t>/api/v1/tickets/{id}</w:t>
            </w:r>
          </w:p>
        </w:tc>
        <w:tc>
          <w:tcPr>
            <w:tcW w:type="dxa" w:w="4561"/>
          </w:tcPr>
          <w:p>
            <w:pPr>
              <w:spacing w:after="0"/>
            </w:pPr>
            <w:r/>
            <w:r>
              <w:rPr>
                <w:sz w:val="13"/>
              </w:rPr>
              <w:t>Perbarui status, prioritas, atau penugasan tiket</w:t>
            </w:r>
          </w:p>
        </w:tc>
        <w:tc>
          <w:tcPr>
            <w:tcW w:type="dxa" w:w="855"/>
          </w:tcPr>
          <w:p>
            <w:pPr>
              <w:spacing w:after="0"/>
            </w:pPr>
            <w:r/>
            <w:r>
              <w:rPr>
                <w:sz w:val="13"/>
              </w:rPr>
              <w:t>bearer</w:t>
            </w:r>
          </w:p>
        </w:tc>
        <w:tc>
          <w:tcPr>
            <w:tcW w:type="dxa" w:w="3492"/>
          </w:tcPr>
          <w:p>
            <w:pPr>
              <w:spacing w:after="0"/>
            </w:pPr>
            <w:r/>
            <w:r>
              <w:rPr>
                <w:sz w:val="13"/>
              </w:rPr>
              <w:t>support.tickets.manage</w:t>
            </w:r>
          </w:p>
        </w:tc>
      </w:tr>
      <w:tr>
        <w:trPr>
          <w:cantSplit/>
        </w:trPr>
        <w:tc>
          <w:tcPr>
            <w:tcW w:type="dxa" w:w="927"/>
          </w:tcPr>
          <w:p>
            <w:pPr>
              <w:spacing w:after="0"/>
            </w:pPr>
            <w:r/>
            <w:r>
              <w:rPr>
                <w:sz w:val="13"/>
              </w:rPr>
              <w:t>POST</w:t>
            </w:r>
          </w:p>
        </w:tc>
        <w:tc>
          <w:tcPr>
            <w:tcW w:type="dxa" w:w="4276"/>
          </w:tcPr>
          <w:p>
            <w:pPr>
              <w:spacing w:after="0"/>
            </w:pPr>
            <w:r/>
            <w:r>
              <w:rPr>
                <w:sz w:val="13"/>
              </w:rPr>
              <w:t>/api/v1/tickets/{id}/comments</w:t>
            </w:r>
          </w:p>
        </w:tc>
        <w:tc>
          <w:tcPr>
            <w:tcW w:type="dxa" w:w="4561"/>
          </w:tcPr>
          <w:p>
            <w:pPr>
              <w:spacing w:after="0"/>
            </w:pPr>
            <w:r/>
            <w:r>
              <w:rPr>
                <w:sz w:val="13"/>
              </w:rPr>
              <w:t>Tambah komentar atau catatan ke tiket</w:t>
            </w:r>
          </w:p>
        </w:tc>
        <w:tc>
          <w:tcPr>
            <w:tcW w:type="dxa" w:w="855"/>
          </w:tcPr>
          <w:p>
            <w:pPr>
              <w:spacing w:after="0"/>
            </w:pPr>
            <w:r/>
            <w:r>
              <w:rPr>
                <w:sz w:val="13"/>
              </w:rPr>
              <w:t>bearer</w:t>
            </w:r>
          </w:p>
        </w:tc>
        <w:tc>
          <w:tcPr>
            <w:tcW w:type="dxa" w:w="3492"/>
          </w:tcPr>
          <w:p>
            <w:pPr>
              <w:spacing w:after="0"/>
            </w:pPr>
            <w:r/>
            <w:r>
              <w:rPr>
                <w:sz w:val="13"/>
              </w:rPr>
              <w:t>support.tickets.create | support.tickets.manage</w:t>
            </w:r>
          </w:p>
        </w:tc>
      </w:tr>
    </w:tbl>
    <w:p>
      <w:bookmarkStart w:id="1258" w:name="_Toc1258"/>
      <w:pPr>
        <w:pStyle w:val="Heading3"/>
      </w:pPr>
      <w:r>
        <w:t>uploads — 2 operations</w:t>
      </w:r>
      <w:bookmarkEnd w:id="1258"/>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POST</w:t>
            </w:r>
          </w:p>
        </w:tc>
        <w:tc>
          <w:tcPr>
            <w:tcW w:type="dxa" w:w="4276"/>
          </w:tcPr>
          <w:p>
            <w:pPr>
              <w:spacing w:after="0"/>
            </w:pPr>
            <w:r/>
            <w:r>
              <w:rPr>
                <w:sz w:val="13"/>
              </w:rPr>
              <w:t>/api/v1/uploads</w:t>
            </w:r>
          </w:p>
        </w:tc>
        <w:tc>
          <w:tcPr>
            <w:tcW w:type="dxa" w:w="4561"/>
          </w:tcPr>
          <w:p>
            <w:pPr>
              <w:spacing w:after="0"/>
            </w:pPr>
            <w:r/>
            <w:r>
              <w:rPr>
                <w:sz w:val="13"/>
              </w:rPr>
              <w:t>Upload an image (multipart/form-data) and receive its public URL</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GET</w:t>
            </w:r>
          </w:p>
        </w:tc>
        <w:tc>
          <w:tcPr>
            <w:tcW w:type="dxa" w:w="4276"/>
          </w:tcPr>
          <w:p>
            <w:pPr>
              <w:spacing w:after="0"/>
            </w:pPr>
            <w:r/>
            <w:r>
              <w:rPr>
                <w:sz w:val="13"/>
              </w:rPr>
              <w:t>/uploads/{key}</w:t>
            </w:r>
          </w:p>
        </w:tc>
        <w:tc>
          <w:tcPr>
            <w:tcW w:type="dxa" w:w="4561"/>
          </w:tcPr>
          <w:p>
            <w:pPr>
              <w:spacing w:after="0"/>
            </w:pPr>
            <w:r/>
            <w:r>
              <w:rPr>
                <w:sz w:val="13"/>
              </w:rPr>
              <w:t>Serve an uploaded object (public images, gated payment proofs)</w:t>
            </w:r>
          </w:p>
        </w:tc>
        <w:tc>
          <w:tcPr>
            <w:tcW w:type="dxa" w:w="855"/>
          </w:tcPr>
          <w:p>
            <w:pPr>
              <w:spacing w:after="0"/>
            </w:pPr>
            <w:r/>
            <w:r>
              <w:rPr>
                <w:sz w:val="13"/>
              </w:rPr>
              <w:t>public</w:t>
            </w:r>
          </w:p>
        </w:tc>
        <w:tc>
          <w:tcPr>
            <w:tcW w:type="dxa" w:w="3492"/>
          </w:tcPr>
          <w:p>
            <w:pPr>
              <w:spacing w:after="0"/>
            </w:pPr>
            <w:r/>
            <w:r>
              <w:rPr>
                <w:sz w:val="13"/>
              </w:rPr>
              <w:t>none (auth only)</w:t>
            </w:r>
          </w:p>
        </w:tc>
      </w:tr>
    </w:tbl>
    <w:p>
      <w:bookmarkStart w:id="1259" w:name="_Toc1259"/>
      <w:pPr>
        <w:pStyle w:val="Heading3"/>
      </w:pPr>
      <w:r>
        <w:t>users — 10 operations</w:t>
      </w:r>
      <w:bookmarkEnd w:id="1259"/>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/api/v1/roles</w:t>
            </w:r>
          </w:p>
        </w:tc>
        <w:tc>
          <w:tcPr>
            <w:tcW w:type="dxa" w:w="4561"/>
          </w:tcPr>
          <w:p>
            <w:pPr>
              <w:spacing w:after="0"/>
            </w:pPr>
            <w:r/>
            <w:r>
              <w:rPr>
                <w:sz w:val="13"/>
              </w:rPr>
              <w:t>List roles</w:t>
            </w:r>
          </w:p>
        </w:tc>
        <w:tc>
          <w:tcPr>
            <w:tcW w:type="dxa" w:w="855"/>
          </w:tcPr>
          <w:p>
            <w:pPr>
              <w:spacing w:after="0"/>
            </w:pPr>
            <w:r/>
            <w:r>
              <w:rPr>
                <w:sz w:val="13"/>
              </w:rPr>
              <w:t>bearer</w:t>
            </w:r>
          </w:p>
        </w:tc>
        <w:tc>
          <w:tcPr>
            <w:tcW w:type="dxa" w:w="3492"/>
          </w:tcPr>
          <w:p>
            <w:pPr>
              <w:spacing w:after="0"/>
            </w:pPr>
            <w:r/>
            <w:r>
              <w:rPr>
                <w:sz w:val="13"/>
              </w:rPr>
              <w:t>system.roles.view</w:t>
            </w:r>
          </w:p>
        </w:tc>
      </w:tr>
      <w:tr>
        <w:trPr>
          <w:cantSplit/>
        </w:trPr>
        <w:tc>
          <w:tcPr>
            <w:tcW w:type="dxa" w:w="927"/>
          </w:tcPr>
          <w:p>
            <w:pPr>
              <w:spacing w:after="0"/>
            </w:pPr>
            <w:r/>
            <w:r>
              <w:rPr>
                <w:sz w:val="13"/>
              </w:rPr>
              <w:t>POST</w:t>
            </w:r>
          </w:p>
        </w:tc>
        <w:tc>
          <w:tcPr>
            <w:tcW w:type="dxa" w:w="4276"/>
          </w:tcPr>
          <w:p>
            <w:pPr>
              <w:spacing w:after="0"/>
            </w:pPr>
            <w:r/>
            <w:r>
              <w:rPr>
                <w:sz w:val="13"/>
              </w:rPr>
              <w:t>/api/v1/roles</w:t>
            </w:r>
          </w:p>
        </w:tc>
        <w:tc>
          <w:tcPr>
            <w:tcW w:type="dxa" w:w="4561"/>
          </w:tcPr>
          <w:p>
            <w:pPr>
              <w:spacing w:after="0"/>
            </w:pPr>
            <w:r/>
            <w:r>
              <w:rPr>
                <w:sz w:val="13"/>
              </w:rPr>
              <w:t>Create a role</w:t>
            </w:r>
          </w:p>
        </w:tc>
        <w:tc>
          <w:tcPr>
            <w:tcW w:type="dxa" w:w="855"/>
          </w:tcPr>
          <w:p>
            <w:pPr>
              <w:spacing w:after="0"/>
            </w:pPr>
            <w:r/>
            <w:r>
              <w:rPr>
                <w:sz w:val="13"/>
              </w:rPr>
              <w:t>bearer</w:t>
            </w:r>
          </w:p>
        </w:tc>
        <w:tc>
          <w:tcPr>
            <w:tcW w:type="dxa" w:w="3492"/>
          </w:tcPr>
          <w:p>
            <w:pPr>
              <w:spacing w:after="0"/>
            </w:pPr>
            <w:r/>
            <w:r>
              <w:rPr>
                <w:sz w:val="13"/>
              </w:rPr>
              <w:t>admin-only (RequireAdmin)</w:t>
            </w:r>
          </w:p>
        </w:tc>
      </w:tr>
      <w:tr>
        <w:trPr>
          <w:cantSplit/>
        </w:trPr>
        <w:tc>
          <w:tcPr>
            <w:tcW w:type="dxa" w:w="927"/>
          </w:tcPr>
          <w:p>
            <w:pPr>
              <w:spacing w:after="0"/>
            </w:pPr>
            <w:r/>
            <w:r>
              <w:rPr>
                <w:sz w:val="13"/>
              </w:rPr>
              <w:t>DELETE</w:t>
            </w:r>
          </w:p>
        </w:tc>
        <w:tc>
          <w:tcPr>
            <w:tcW w:type="dxa" w:w="4276"/>
          </w:tcPr>
          <w:p>
            <w:pPr>
              <w:spacing w:after="0"/>
            </w:pPr>
            <w:r/>
            <w:r>
              <w:rPr>
                <w:sz w:val="13"/>
              </w:rPr>
              <w:t>/api/v1/roles/{id}</w:t>
            </w:r>
          </w:p>
        </w:tc>
        <w:tc>
          <w:tcPr>
            <w:tcW w:type="dxa" w:w="4561"/>
          </w:tcPr>
          <w:p>
            <w:pPr>
              <w:spacing w:after="0"/>
            </w:pPr>
            <w:r/>
            <w:r>
              <w:rPr>
                <w:sz w:val="13"/>
              </w:rPr>
              <w:t>Delete a role</w:t>
            </w:r>
          </w:p>
        </w:tc>
        <w:tc>
          <w:tcPr>
            <w:tcW w:type="dxa" w:w="855"/>
          </w:tcPr>
          <w:p>
            <w:pPr>
              <w:spacing w:after="0"/>
            </w:pPr>
            <w:r/>
            <w:r>
              <w:rPr>
                <w:sz w:val="13"/>
              </w:rPr>
              <w:t>bearer</w:t>
            </w:r>
          </w:p>
        </w:tc>
        <w:tc>
          <w:tcPr>
            <w:tcW w:type="dxa" w:w="3492"/>
          </w:tcPr>
          <w:p>
            <w:pPr>
              <w:spacing w:after="0"/>
            </w:pPr>
            <w:r/>
            <w:r>
              <w:rPr>
                <w:sz w:val="13"/>
              </w:rPr>
              <w:t>admin-only (RequireAdmin)</w:t>
            </w:r>
          </w:p>
        </w:tc>
      </w:tr>
      <w:tr>
        <w:trPr>
          <w:cantSplit/>
        </w:trPr>
        <w:tc>
          <w:tcPr>
            <w:tcW w:type="dxa" w:w="927"/>
          </w:tcPr>
          <w:p>
            <w:pPr>
              <w:spacing w:after="0"/>
            </w:pPr>
            <w:r/>
            <w:r>
              <w:rPr>
                <w:sz w:val="13"/>
              </w:rPr>
              <w:t>PUT</w:t>
            </w:r>
          </w:p>
        </w:tc>
        <w:tc>
          <w:tcPr>
            <w:tcW w:type="dxa" w:w="4276"/>
          </w:tcPr>
          <w:p>
            <w:pPr>
              <w:spacing w:after="0"/>
            </w:pPr>
            <w:r/>
            <w:r>
              <w:rPr>
                <w:sz w:val="13"/>
              </w:rPr>
              <w:t>/api/v1/roles/{id}</w:t>
            </w:r>
          </w:p>
        </w:tc>
        <w:tc>
          <w:tcPr>
            <w:tcW w:type="dxa" w:w="4561"/>
          </w:tcPr>
          <w:p>
            <w:pPr>
              <w:spacing w:after="0"/>
            </w:pPr>
            <w:r/>
            <w:r>
              <w:rPr>
                <w:sz w:val="13"/>
              </w:rPr>
              <w:t>Update a role</w:t>
            </w:r>
          </w:p>
        </w:tc>
        <w:tc>
          <w:tcPr>
            <w:tcW w:type="dxa" w:w="855"/>
          </w:tcPr>
          <w:p>
            <w:pPr>
              <w:spacing w:after="0"/>
            </w:pPr>
            <w:r/>
            <w:r>
              <w:rPr>
                <w:sz w:val="13"/>
              </w:rPr>
              <w:t>bearer</w:t>
            </w:r>
          </w:p>
        </w:tc>
        <w:tc>
          <w:tcPr>
            <w:tcW w:type="dxa" w:w="3492"/>
          </w:tcPr>
          <w:p>
            <w:pPr>
              <w:spacing w:after="0"/>
            </w:pPr>
            <w:r/>
            <w:r>
              <w:rPr>
                <w:sz w:val="13"/>
              </w:rPr>
              <w:t>admin-only (RequireAdmin)</w:t>
            </w:r>
          </w:p>
        </w:tc>
      </w:tr>
      <w:tr>
        <w:trPr>
          <w:cantSplit/>
        </w:trPr>
        <w:tc>
          <w:tcPr>
            <w:tcW w:type="dxa" w:w="927"/>
          </w:tcPr>
          <w:p>
            <w:pPr>
              <w:spacing w:after="0"/>
            </w:pPr>
            <w:r/>
            <w:r>
              <w:rPr>
                <w:sz w:val="13"/>
              </w:rPr>
              <w:t>GET</w:t>
            </w:r>
          </w:p>
        </w:tc>
        <w:tc>
          <w:tcPr>
            <w:tcW w:type="dxa" w:w="4276"/>
          </w:tcPr>
          <w:p>
            <w:pPr>
              <w:spacing w:after="0"/>
            </w:pPr>
            <w:r/>
            <w:r>
              <w:rPr>
                <w:sz w:val="13"/>
              </w:rPr>
              <w:t>/api/v1/users</w:t>
            </w:r>
          </w:p>
        </w:tc>
        <w:tc>
          <w:tcPr>
            <w:tcW w:type="dxa" w:w="4561"/>
          </w:tcPr>
          <w:p>
            <w:pPr>
              <w:spacing w:after="0"/>
            </w:pPr>
            <w:r/>
            <w:r>
              <w:rPr>
                <w:sz w:val="13"/>
              </w:rPr>
              <w:t>List users</w:t>
            </w:r>
          </w:p>
        </w:tc>
        <w:tc>
          <w:tcPr>
            <w:tcW w:type="dxa" w:w="855"/>
          </w:tcPr>
          <w:p>
            <w:pPr>
              <w:spacing w:after="0"/>
            </w:pPr>
            <w:r/>
            <w:r>
              <w:rPr>
                <w:sz w:val="13"/>
              </w:rPr>
              <w:t>bearer</w:t>
            </w:r>
          </w:p>
        </w:tc>
        <w:tc>
          <w:tcPr>
            <w:tcW w:type="dxa" w:w="3492"/>
          </w:tcPr>
          <w:p>
            <w:pPr>
              <w:spacing w:after="0"/>
            </w:pPr>
            <w:r/>
            <w:r>
              <w:rPr>
                <w:sz w:val="13"/>
              </w:rPr>
              <w:t>system.users.view</w:t>
            </w:r>
          </w:p>
        </w:tc>
      </w:tr>
      <w:tr>
        <w:trPr>
          <w:cantSplit/>
        </w:trPr>
        <w:tc>
          <w:tcPr>
            <w:tcW w:type="dxa" w:w="927"/>
          </w:tcPr>
          <w:p>
            <w:pPr>
              <w:spacing w:after="0"/>
            </w:pPr>
            <w:r/>
            <w:r>
              <w:rPr>
                <w:sz w:val="13"/>
              </w:rPr>
              <w:t>POST</w:t>
            </w:r>
          </w:p>
        </w:tc>
        <w:tc>
          <w:tcPr>
            <w:tcW w:type="dxa" w:w="4276"/>
          </w:tcPr>
          <w:p>
            <w:pPr>
              <w:spacing w:after="0"/>
            </w:pPr>
            <w:r/>
            <w:r>
              <w:rPr>
                <w:sz w:val="13"/>
              </w:rPr>
              <w:t>/api/v1/users</w:t>
            </w:r>
          </w:p>
        </w:tc>
        <w:tc>
          <w:tcPr>
            <w:tcW w:type="dxa" w:w="4561"/>
          </w:tcPr>
          <w:p>
            <w:pPr>
              <w:spacing w:after="0"/>
            </w:pPr>
            <w:r/>
            <w:r>
              <w:rPr>
                <w:sz w:val="13"/>
              </w:rPr>
              <w:t>Create a user</w:t>
            </w:r>
          </w:p>
        </w:tc>
        <w:tc>
          <w:tcPr>
            <w:tcW w:type="dxa" w:w="855"/>
          </w:tcPr>
          <w:p>
            <w:pPr>
              <w:spacing w:after="0"/>
            </w:pPr>
            <w:r/>
            <w:r>
              <w:rPr>
                <w:sz w:val="13"/>
              </w:rPr>
              <w:t>bearer</w:t>
            </w:r>
          </w:p>
        </w:tc>
        <w:tc>
          <w:tcPr>
            <w:tcW w:type="dxa" w:w="3492"/>
          </w:tcPr>
          <w:p>
            <w:pPr>
              <w:spacing w:after="0"/>
            </w:pPr>
            <w:r/>
            <w:r>
              <w:rPr>
                <w:sz w:val="13"/>
              </w:rPr>
              <w:t>system.users.create</w:t>
            </w:r>
          </w:p>
        </w:tc>
      </w:tr>
      <w:tr>
        <w:trPr>
          <w:cantSplit/>
        </w:trPr>
        <w:tc>
          <w:tcPr>
            <w:tcW w:type="dxa" w:w="927"/>
          </w:tcPr>
          <w:p>
            <w:pPr>
              <w:spacing w:after="0"/>
            </w:pPr>
            <w:r/>
            <w:r>
              <w:rPr>
                <w:sz w:val="13"/>
              </w:rPr>
              <w:t>DELETE</w:t>
            </w:r>
          </w:p>
        </w:tc>
        <w:tc>
          <w:tcPr>
            <w:tcW w:type="dxa" w:w="4276"/>
          </w:tcPr>
          <w:p>
            <w:pPr>
              <w:spacing w:after="0"/>
            </w:pPr>
            <w:r/>
            <w:r>
              <w:rPr>
                <w:sz w:val="13"/>
              </w:rPr>
              <w:t>/api/v1/users/{id}</w:t>
            </w:r>
          </w:p>
        </w:tc>
        <w:tc>
          <w:tcPr>
            <w:tcW w:type="dxa" w:w="4561"/>
          </w:tcPr>
          <w:p>
            <w:pPr>
              <w:spacing w:after="0"/>
            </w:pPr>
            <w:r/>
            <w:r>
              <w:rPr>
                <w:sz w:val="13"/>
              </w:rPr>
              <w:t>Delete a user</w:t>
            </w:r>
          </w:p>
        </w:tc>
        <w:tc>
          <w:tcPr>
            <w:tcW w:type="dxa" w:w="855"/>
          </w:tcPr>
          <w:p>
            <w:pPr>
              <w:spacing w:after="0"/>
            </w:pPr>
            <w:r/>
            <w:r>
              <w:rPr>
                <w:sz w:val="13"/>
              </w:rPr>
              <w:t>bearer</w:t>
            </w:r>
          </w:p>
        </w:tc>
        <w:tc>
          <w:tcPr>
            <w:tcW w:type="dxa" w:w="3492"/>
          </w:tcPr>
          <w:p>
            <w:pPr>
              <w:spacing w:after="0"/>
            </w:pPr>
            <w:r/>
            <w:r>
              <w:rPr>
                <w:sz w:val="13"/>
              </w:rPr>
              <w:t>system.users.delete</w:t>
            </w:r>
          </w:p>
        </w:tc>
      </w:tr>
      <w:tr>
        <w:trPr>
          <w:cantSplit/>
        </w:trPr>
        <w:tc>
          <w:tcPr>
            <w:tcW w:type="dxa" w:w="927"/>
          </w:tcPr>
          <w:p>
            <w:pPr>
              <w:spacing w:after="0"/>
            </w:pPr>
            <w:r/>
            <w:r>
              <w:rPr>
                <w:sz w:val="13"/>
              </w:rPr>
              <w:t>GET</w:t>
            </w:r>
          </w:p>
        </w:tc>
        <w:tc>
          <w:tcPr>
            <w:tcW w:type="dxa" w:w="4276"/>
          </w:tcPr>
          <w:p>
            <w:pPr>
              <w:spacing w:after="0"/>
            </w:pPr>
            <w:r/>
            <w:r>
              <w:rPr>
                <w:sz w:val="13"/>
              </w:rPr>
              <w:t>/api/v1/users/{id}</w:t>
            </w:r>
          </w:p>
        </w:tc>
        <w:tc>
          <w:tcPr>
            <w:tcW w:type="dxa" w:w="4561"/>
          </w:tcPr>
          <w:p>
            <w:pPr>
              <w:spacing w:after="0"/>
            </w:pPr>
            <w:r/>
            <w:r>
              <w:rPr>
                <w:sz w:val="13"/>
              </w:rPr>
              <w:t>Get a user</w:t>
            </w:r>
          </w:p>
        </w:tc>
        <w:tc>
          <w:tcPr>
            <w:tcW w:type="dxa" w:w="855"/>
          </w:tcPr>
          <w:p>
            <w:pPr>
              <w:spacing w:after="0"/>
            </w:pPr>
            <w:r/>
            <w:r>
              <w:rPr>
                <w:sz w:val="13"/>
              </w:rPr>
              <w:t>bearer</w:t>
            </w:r>
          </w:p>
        </w:tc>
        <w:tc>
          <w:tcPr>
            <w:tcW w:type="dxa" w:w="3492"/>
          </w:tcPr>
          <w:p>
            <w:pPr>
              <w:spacing w:after="0"/>
            </w:pPr>
            <w:r/>
            <w:r>
              <w:rPr>
                <w:sz w:val="13"/>
              </w:rPr>
              <w:t>system.users.view</w:t>
            </w:r>
          </w:p>
        </w:tc>
      </w:tr>
      <w:tr>
        <w:trPr>
          <w:cantSplit/>
        </w:trPr>
        <w:tc>
          <w:tcPr>
            <w:tcW w:type="dxa" w:w="927"/>
          </w:tcPr>
          <w:p>
            <w:pPr>
              <w:spacing w:after="0"/>
            </w:pPr>
            <w:r/>
            <w:r>
              <w:rPr>
                <w:sz w:val="13"/>
              </w:rPr>
              <w:t>PUT</w:t>
            </w:r>
          </w:p>
        </w:tc>
        <w:tc>
          <w:tcPr>
            <w:tcW w:type="dxa" w:w="4276"/>
          </w:tcPr>
          <w:p>
            <w:pPr>
              <w:spacing w:after="0"/>
            </w:pPr>
            <w:r/>
            <w:r>
              <w:rPr>
                <w:sz w:val="13"/>
              </w:rPr>
              <w:t>/api/v1/users/{id}</w:t>
            </w:r>
          </w:p>
        </w:tc>
        <w:tc>
          <w:tcPr>
            <w:tcW w:type="dxa" w:w="4561"/>
          </w:tcPr>
          <w:p>
            <w:pPr>
              <w:spacing w:after="0"/>
            </w:pPr>
            <w:r/>
            <w:r>
              <w:rPr>
                <w:sz w:val="13"/>
              </w:rPr>
              <w:t>Update a user</w:t>
            </w:r>
          </w:p>
        </w:tc>
        <w:tc>
          <w:tcPr>
            <w:tcW w:type="dxa" w:w="855"/>
          </w:tcPr>
          <w:p>
            <w:pPr>
              <w:spacing w:after="0"/>
            </w:pPr>
            <w:r/>
            <w:r>
              <w:rPr>
                <w:sz w:val="13"/>
              </w:rPr>
              <w:t>bearer</w:t>
            </w:r>
          </w:p>
        </w:tc>
        <w:tc>
          <w:tcPr>
            <w:tcW w:type="dxa" w:w="3492"/>
          </w:tcPr>
          <w:p>
            <w:pPr>
              <w:spacing w:after="0"/>
            </w:pPr>
            <w:r/>
            <w:r>
              <w:rPr>
                <w:sz w:val="13"/>
              </w:rPr>
              <w:t>system.users.update</w:t>
            </w:r>
          </w:p>
        </w:tc>
      </w:tr>
      <w:tr>
        <w:trPr>
          <w:cantSplit/>
        </w:trPr>
        <w:tc>
          <w:tcPr>
            <w:tcW w:type="dxa" w:w="927"/>
          </w:tcPr>
          <w:p>
            <w:pPr>
              <w:spacing w:after="0"/>
            </w:pPr>
            <w:r/>
            <w:r>
              <w:rPr>
                <w:sz w:val="13"/>
              </w:rPr>
              <w:t>POST</w:t>
            </w:r>
          </w:p>
        </w:tc>
        <w:tc>
          <w:tcPr>
            <w:tcW w:type="dxa" w:w="4276"/>
          </w:tcPr>
          <w:p>
            <w:pPr>
              <w:spacing w:after="0"/>
            </w:pPr>
            <w:r/>
            <w:r>
              <w:rPr>
                <w:sz w:val="13"/>
              </w:rPr>
              <w:t>/api/v1/users/{id}/toggle</w:t>
            </w:r>
          </w:p>
        </w:tc>
        <w:tc>
          <w:tcPr>
            <w:tcW w:type="dxa" w:w="4561"/>
          </w:tcPr>
          <w:p>
            <w:pPr>
              <w:spacing w:after="0"/>
            </w:pPr>
            <w:r/>
            <w:r>
              <w:rPr>
                <w:sz w:val="13"/>
              </w:rPr>
              <w:t>Toggle user active status</w:t>
            </w:r>
          </w:p>
        </w:tc>
        <w:tc>
          <w:tcPr>
            <w:tcW w:type="dxa" w:w="855"/>
          </w:tcPr>
          <w:p>
            <w:pPr>
              <w:spacing w:after="0"/>
            </w:pPr>
            <w:r/>
            <w:r>
              <w:rPr>
                <w:sz w:val="13"/>
              </w:rPr>
              <w:t>bearer</w:t>
            </w:r>
          </w:p>
        </w:tc>
        <w:tc>
          <w:tcPr>
            <w:tcW w:type="dxa" w:w="3492"/>
          </w:tcPr>
          <w:p>
            <w:pPr>
              <w:spacing w:after="0"/>
            </w:pPr>
            <w:r/>
            <w:r>
              <w:rPr>
                <w:sz w:val="13"/>
              </w:rPr>
              <w:t>system.users.update</w:t>
            </w:r>
          </w:p>
        </w:tc>
      </w:tr>
    </w:tbl>
    <w:p>
      <w:bookmarkStart w:id="1260" w:name="_Toc1260"/>
      <w:pPr>
        <w:pStyle w:val="Heading3"/>
      </w:pPr>
      <w:r>
        <w:t>warehouses — 6 operations</w:t>
      </w:r>
      <w:bookmarkEnd w:id="1260"/>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822"/>
        <w:gridCol w:w="2822"/>
        <w:gridCol w:w="2822"/>
        <w:gridCol w:w="2822"/>
        <w:gridCol w:w="2822"/>
      </w:tblGrid>
      <w:tr>
        <w:trPr>
          <w:tblHeader w:val="true"/>
        </w:trPr>
        <w:tc>
          <w:tcPr>
            <w:tcW w:type="dxa" w:w="927"/>
            <w:shd w:val="clear" w:color="auto" w:fill="1F3A5F"/>
          </w:tcPr>
          <w:p>
            <w:pPr>
              <w:spacing w:after="0"/>
            </w:pPr>
            <w:r/>
            <w:r>
              <w:rPr>
                <w:b/>
                <w:color w:val="FFFFFF"/>
                <w:sz w:val="13"/>
              </w:rPr>
              <w:t>Method</w:t>
            </w:r>
          </w:p>
        </w:tc>
        <w:tc>
          <w:tcPr>
            <w:tcW w:type="dxa" w:w="4276"/>
            <w:shd w:val="clear" w:color="auto" w:fill="1F3A5F"/>
          </w:tcPr>
          <w:p>
            <w:pPr>
              <w:spacing w:after="0"/>
            </w:pPr>
            <w:r/>
            <w:r>
              <w:rPr>
                <w:b/>
                <w:color w:val="FFFFFF"/>
                <w:sz w:val="13"/>
              </w:rPr>
              <w:t>Path</w:t>
            </w:r>
          </w:p>
        </w:tc>
        <w:tc>
          <w:tcPr>
            <w:tcW w:type="dxa" w:w="4561"/>
            <w:shd w:val="clear" w:color="auto" w:fill="1F3A5F"/>
          </w:tcPr>
          <w:p>
            <w:pPr>
              <w:spacing w:after="0"/>
            </w:pPr>
            <w:r/>
            <w:r>
              <w:rPr>
                <w:b/>
                <w:color w:val="FFFFFF"/>
                <w:sz w:val="13"/>
              </w:rPr>
              <w:t>Summary</w:t>
            </w:r>
          </w:p>
        </w:tc>
        <w:tc>
          <w:tcPr>
            <w:tcW w:type="dxa" w:w="855"/>
            <w:shd w:val="clear" w:color="auto" w:fill="1F3A5F"/>
          </w:tcPr>
          <w:p>
            <w:pPr>
              <w:spacing w:after="0"/>
            </w:pPr>
            <w:r/>
            <w:r>
              <w:rPr>
                <w:b/>
                <w:color w:val="FFFFFF"/>
                <w:sz w:val="13"/>
              </w:rPr>
              <w:t>Auth</w:t>
            </w:r>
          </w:p>
        </w:tc>
        <w:tc>
          <w:tcPr>
            <w:tcW w:type="dxa" w:w="3492"/>
            <w:shd w:val="clear" w:color="auto" w:fill="1F3A5F"/>
          </w:tcPr>
          <w:p>
            <w:pPr>
              <w:spacing w:after="0"/>
            </w:pPr>
            <w:r/>
            <w:r>
              <w:rPr>
                <w:b/>
                <w:color w:val="FFFFFF"/>
                <w:sz w:val="13"/>
              </w:rPr>
              <w:t>Permission gate</w:t>
            </w:r>
          </w:p>
        </w:tc>
      </w:tr>
      <w:tr>
        <w:trPr>
          <w:cantSplit/>
        </w:trPr>
        <w:tc>
          <w:tcPr>
            <w:tcW w:type="dxa" w:w="927"/>
          </w:tcPr>
          <w:p>
            <w:pPr>
              <w:spacing w:after="0"/>
            </w:pPr>
            <w:r/>
            <w:r>
              <w:rPr>
                <w:sz w:val="13"/>
              </w:rPr>
              <w:t>GET</w:t>
            </w:r>
          </w:p>
        </w:tc>
        <w:tc>
          <w:tcPr>
            <w:tcW w:type="dxa" w:w="4276"/>
          </w:tcPr>
          <w:p>
            <w:pPr>
              <w:spacing w:after="0"/>
            </w:pPr>
            <w:r/>
            <w:r>
              <w:rPr>
                <w:sz w:val="13"/>
              </w:rPr>
              <w:t>/api/v1/warehouses</w:t>
            </w:r>
          </w:p>
        </w:tc>
        <w:tc>
          <w:tcPr>
            <w:tcW w:type="dxa" w:w="4561"/>
          </w:tcPr>
          <w:p>
            <w:pPr>
              <w:spacing w:after="0"/>
            </w:pPr>
            <w:r/>
            <w:r>
              <w:rPr>
                <w:sz w:val="13"/>
              </w:rPr>
              <w:t>List warehouses (paginated)</w:t>
            </w:r>
          </w:p>
        </w:tc>
        <w:tc>
          <w:tcPr>
            <w:tcW w:type="dxa" w:w="855"/>
          </w:tcPr>
          <w:p>
            <w:pPr>
              <w:spacing w:after="0"/>
            </w:pPr>
            <w:r/>
            <w:r>
              <w:rPr>
                <w:sz w:val="13"/>
              </w:rPr>
              <w:t>bearer</w:t>
            </w:r>
          </w:p>
        </w:tc>
        <w:tc>
          <w:tcPr>
            <w:tcW w:type="dxa" w:w="3492"/>
          </w:tcPr>
          <w:p>
            <w:pPr>
              <w:spacing w:after="0"/>
            </w:pPr>
            <w:r/>
            <w:r>
              <w:rPr>
                <w:sz w:val="13"/>
              </w:rPr>
              <w:t>inventory.warehouses.view</w:t>
            </w:r>
          </w:p>
        </w:tc>
      </w:tr>
      <w:tr>
        <w:trPr>
          <w:cantSplit/>
        </w:trPr>
        <w:tc>
          <w:tcPr>
            <w:tcW w:type="dxa" w:w="927"/>
          </w:tcPr>
          <w:p>
            <w:pPr>
              <w:spacing w:after="0"/>
            </w:pPr>
            <w:r/>
            <w:r>
              <w:rPr>
                <w:sz w:val="13"/>
              </w:rPr>
              <w:t>POST</w:t>
            </w:r>
          </w:p>
        </w:tc>
        <w:tc>
          <w:tcPr>
            <w:tcW w:type="dxa" w:w="4276"/>
          </w:tcPr>
          <w:p>
            <w:pPr>
              <w:spacing w:after="0"/>
            </w:pPr>
            <w:r/>
            <w:r>
              <w:rPr>
                <w:sz w:val="13"/>
              </w:rPr>
              <w:t>/api/v1/warehouses</w:t>
            </w:r>
          </w:p>
        </w:tc>
        <w:tc>
          <w:tcPr>
            <w:tcW w:type="dxa" w:w="4561"/>
          </w:tcPr>
          <w:p>
            <w:pPr>
              <w:spacing w:after="0"/>
            </w:pPr>
            <w:r/>
            <w:r>
              <w:rPr>
                <w:sz w:val="13"/>
              </w:rPr>
              <w:t>Create a warehouse</w:t>
            </w:r>
          </w:p>
        </w:tc>
        <w:tc>
          <w:tcPr>
            <w:tcW w:type="dxa" w:w="855"/>
          </w:tcPr>
          <w:p>
            <w:pPr>
              <w:spacing w:after="0"/>
            </w:pPr>
            <w:r/>
            <w:r>
              <w:rPr>
                <w:sz w:val="13"/>
              </w:rPr>
              <w:t>bearer</w:t>
            </w:r>
          </w:p>
        </w:tc>
        <w:tc>
          <w:tcPr>
            <w:tcW w:type="dxa" w:w="3492"/>
          </w:tcPr>
          <w:p>
            <w:pPr>
              <w:spacing w:after="0"/>
            </w:pPr>
            <w:r/>
            <w:r>
              <w:rPr>
                <w:sz w:val="13"/>
              </w:rPr>
              <w:t>inventory.warehouses.create</w:t>
            </w:r>
          </w:p>
        </w:tc>
      </w:tr>
      <w:tr>
        <w:trPr>
          <w:cantSplit/>
        </w:trPr>
        <w:tc>
          <w:tcPr>
            <w:tcW w:type="dxa" w:w="927"/>
          </w:tcPr>
          <w:p>
            <w:pPr>
              <w:spacing w:after="0"/>
            </w:pPr>
            <w:r/>
            <w:r>
              <w:rPr>
                <w:sz w:val="13"/>
              </w:rPr>
              <w:t>GET</w:t>
            </w:r>
          </w:p>
        </w:tc>
        <w:tc>
          <w:tcPr>
            <w:tcW w:type="dxa" w:w="4276"/>
          </w:tcPr>
          <w:p>
            <w:pPr>
              <w:spacing w:after="0"/>
            </w:pPr>
            <w:r/>
            <w:r>
              <w:rPr>
                <w:sz w:val="13"/>
              </w:rPr>
              <w:t>/api/v1/warehouses/options</w:t>
            </w:r>
          </w:p>
        </w:tc>
        <w:tc>
          <w:tcPr>
            <w:tcW w:type="dxa" w:w="4561"/>
          </w:tcPr>
          <w:p>
            <w:pPr>
              <w:spacing w:after="0"/>
            </w:pPr>
            <w:r/>
            <w:r>
              <w:rPr>
                <w:sz w:val="13"/>
              </w:rPr>
              <w:t>List slim warehouse options for pickers (any authenticated user)</w:t>
            </w:r>
          </w:p>
        </w:tc>
        <w:tc>
          <w:tcPr>
            <w:tcW w:type="dxa" w:w="855"/>
          </w:tcPr>
          <w:p>
            <w:pPr>
              <w:spacing w:after="0"/>
            </w:pPr>
            <w:r/>
            <w:r>
              <w:rPr>
                <w:sz w:val="13"/>
              </w:rPr>
              <w:t>bearer</w:t>
            </w:r>
          </w:p>
        </w:tc>
        <w:tc>
          <w:tcPr>
            <w:tcW w:type="dxa" w:w="3492"/>
          </w:tcPr>
          <w:p>
            <w:pPr>
              <w:spacing w:after="0"/>
            </w:pPr>
            <w:r/>
            <w:r>
              <w:rPr>
                <w:sz w:val="13"/>
              </w:rPr>
              <w:t>none (auth only)</w:t>
            </w:r>
          </w:p>
        </w:tc>
      </w:tr>
      <w:tr>
        <w:trPr>
          <w:cantSplit/>
        </w:trPr>
        <w:tc>
          <w:tcPr>
            <w:tcW w:type="dxa" w:w="927"/>
          </w:tcPr>
          <w:p>
            <w:pPr>
              <w:spacing w:after="0"/>
            </w:pPr>
            <w:r/>
            <w:r>
              <w:rPr>
                <w:sz w:val="13"/>
              </w:rPr>
              <w:t>DELETE</w:t>
            </w:r>
          </w:p>
        </w:tc>
        <w:tc>
          <w:tcPr>
            <w:tcW w:type="dxa" w:w="4276"/>
          </w:tcPr>
          <w:p>
            <w:pPr>
              <w:spacing w:after="0"/>
            </w:pPr>
            <w:r/>
            <w:r>
              <w:rPr>
                <w:sz w:val="13"/>
              </w:rPr>
              <w:t>/api/v1/warehouses/{id}</w:t>
            </w:r>
          </w:p>
        </w:tc>
        <w:tc>
          <w:tcPr>
            <w:tcW w:type="dxa" w:w="4561"/>
          </w:tcPr>
          <w:p>
            <w:pPr>
              <w:spacing w:after="0"/>
            </w:pPr>
            <w:r/>
            <w:r>
              <w:rPr>
                <w:sz w:val="13"/>
              </w:rPr>
              <w:t>Delete a warehouse</w:t>
            </w:r>
          </w:p>
        </w:tc>
        <w:tc>
          <w:tcPr>
            <w:tcW w:type="dxa" w:w="855"/>
          </w:tcPr>
          <w:p>
            <w:pPr>
              <w:spacing w:after="0"/>
            </w:pPr>
            <w:r/>
            <w:r>
              <w:rPr>
                <w:sz w:val="13"/>
              </w:rPr>
              <w:t>bearer</w:t>
            </w:r>
          </w:p>
        </w:tc>
        <w:tc>
          <w:tcPr>
            <w:tcW w:type="dxa" w:w="3492"/>
          </w:tcPr>
          <w:p>
            <w:pPr>
              <w:spacing w:after="0"/>
            </w:pPr>
            <w:r/>
            <w:r>
              <w:rPr>
                <w:sz w:val="13"/>
              </w:rPr>
              <w:t>inventory.warehouses.delete</w:t>
            </w:r>
          </w:p>
        </w:tc>
      </w:tr>
      <w:tr>
        <w:trPr>
          <w:cantSplit/>
        </w:trPr>
        <w:tc>
          <w:tcPr>
            <w:tcW w:type="dxa" w:w="927"/>
          </w:tcPr>
          <w:p>
            <w:pPr>
              <w:spacing w:after="0"/>
            </w:pPr>
            <w:r/>
            <w:r>
              <w:rPr>
                <w:sz w:val="13"/>
              </w:rPr>
              <w:t>GET</w:t>
            </w:r>
          </w:p>
        </w:tc>
        <w:tc>
          <w:tcPr>
            <w:tcW w:type="dxa" w:w="4276"/>
          </w:tcPr>
          <w:p>
            <w:pPr>
              <w:spacing w:after="0"/>
            </w:pPr>
            <w:r/>
            <w:r>
              <w:rPr>
                <w:sz w:val="13"/>
              </w:rPr>
              <w:t>/api/v1/warehouses/{id}</w:t>
            </w:r>
          </w:p>
        </w:tc>
        <w:tc>
          <w:tcPr>
            <w:tcW w:type="dxa" w:w="4561"/>
          </w:tcPr>
          <w:p>
            <w:pPr>
              <w:spacing w:after="0"/>
            </w:pPr>
            <w:r/>
            <w:r>
              <w:rPr>
                <w:sz w:val="13"/>
              </w:rPr>
              <w:t>Get a warehouse</w:t>
            </w:r>
          </w:p>
        </w:tc>
        <w:tc>
          <w:tcPr>
            <w:tcW w:type="dxa" w:w="855"/>
          </w:tcPr>
          <w:p>
            <w:pPr>
              <w:spacing w:after="0"/>
            </w:pPr>
            <w:r/>
            <w:r>
              <w:rPr>
                <w:sz w:val="13"/>
              </w:rPr>
              <w:t>bearer</w:t>
            </w:r>
          </w:p>
        </w:tc>
        <w:tc>
          <w:tcPr>
            <w:tcW w:type="dxa" w:w="3492"/>
          </w:tcPr>
          <w:p>
            <w:pPr>
              <w:spacing w:after="0"/>
            </w:pPr>
            <w:r/>
            <w:r>
              <w:rPr>
                <w:sz w:val="13"/>
              </w:rPr>
              <w:t>inventory.warehouses.view</w:t>
            </w:r>
          </w:p>
        </w:tc>
      </w:tr>
      <w:tr>
        <w:trPr>
          <w:cantSplit/>
        </w:trPr>
        <w:tc>
          <w:tcPr>
            <w:tcW w:type="dxa" w:w="927"/>
          </w:tcPr>
          <w:p>
            <w:pPr>
              <w:spacing w:after="0"/>
            </w:pPr>
            <w:r/>
            <w:r>
              <w:rPr>
                <w:sz w:val="13"/>
              </w:rPr>
              <w:t>PUT</w:t>
            </w:r>
          </w:p>
        </w:tc>
        <w:tc>
          <w:tcPr>
            <w:tcW w:type="dxa" w:w="4276"/>
          </w:tcPr>
          <w:p>
            <w:pPr>
              <w:spacing w:after="0"/>
            </w:pPr>
            <w:r/>
            <w:r>
              <w:rPr>
                <w:sz w:val="13"/>
              </w:rPr>
              <w:t>/api/v1/warehouses/{id}</w:t>
            </w:r>
          </w:p>
        </w:tc>
        <w:tc>
          <w:tcPr>
            <w:tcW w:type="dxa" w:w="4561"/>
          </w:tcPr>
          <w:p>
            <w:pPr>
              <w:spacing w:after="0"/>
            </w:pPr>
            <w:r/>
            <w:r>
              <w:rPr>
                <w:sz w:val="13"/>
              </w:rPr>
              <w:t>Update a warehouse</w:t>
            </w:r>
          </w:p>
        </w:tc>
        <w:tc>
          <w:tcPr>
            <w:tcW w:type="dxa" w:w="855"/>
          </w:tcPr>
          <w:p>
            <w:pPr>
              <w:spacing w:after="0"/>
            </w:pPr>
            <w:r/>
            <w:r>
              <w:rPr>
                <w:sz w:val="13"/>
              </w:rPr>
              <w:t>bearer</w:t>
            </w:r>
          </w:p>
        </w:tc>
        <w:tc>
          <w:tcPr>
            <w:tcW w:type="dxa" w:w="3492"/>
          </w:tcPr>
          <w:p>
            <w:pPr>
              <w:spacing w:after="0"/>
            </w:pPr>
            <w:r/>
            <w:r>
              <w:rPr>
                <w:sz w:val="13"/>
              </w:rPr>
              <w:t>inventory.warehouses.update</w:t>
            </w:r>
          </w:p>
        </w:tc>
      </w:tr>
    </w:tbl>
    <w:p>
      <w:pPr>
        <w:sectPr>
          <w:pgSz w:w="15840" w:h="12240" w:orient="landscape"/>
          <w:pgMar w:top="1008" w:right="864" w:bottom="864" w:left="864" w:header="720" w:footer="720" w:gutter="0"/>
          <w:cols w:space="720"/>
          <w:docGrid w:linePitch="360"/>
        </w:sectPr>
      </w:pPr>
    </w:p>
    <w:p>
      <w:bookmarkStart w:id="1261" w:name="_Toc1261"/>
      <w:pPr>
        <w:pStyle w:val="Heading2"/>
      </w:pPr>
      <w:r>
        <w:t>20.5 Contract and frontend mapping</w:t>
      </w:r>
      <w:bookmarkEnd w:id="1261"/>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1872"/>
            <w:shd w:val="clear" w:color="auto" w:fill="1F3A5F"/>
          </w:tcPr>
          <w:p>
            <w:pPr>
              <w:spacing w:after="0"/>
            </w:pPr>
            <w:r/>
            <w:r>
              <w:rPr>
                <w:b/>
                <w:color w:val="FFFFFF"/>
                <w:sz w:val="16"/>
              </w:rPr>
              <w:t>Layer</w:t>
            </w:r>
          </w:p>
        </w:tc>
        <w:tc>
          <w:tcPr>
            <w:tcW w:type="dxa" w:w="3744"/>
            <w:shd w:val="clear" w:color="auto" w:fill="1F3A5F"/>
          </w:tcPr>
          <w:p>
            <w:pPr>
              <w:spacing w:after="0"/>
            </w:pPr>
            <w:r/>
            <w:r>
              <w:rPr>
                <w:b/>
                <w:color w:val="FFFFFF"/>
                <w:sz w:val="16"/>
              </w:rPr>
              <w:t>Artefact</w:t>
            </w:r>
          </w:p>
        </w:tc>
        <w:tc>
          <w:tcPr>
            <w:tcW w:type="dxa" w:w="3744"/>
            <w:shd w:val="clear" w:color="auto" w:fill="1F3A5F"/>
          </w:tcPr>
          <w:p>
            <w:pPr>
              <w:spacing w:after="0"/>
            </w:pPr>
            <w:r/>
            <w:r>
              <w:rPr>
                <w:b/>
                <w:color w:val="FFFFFF"/>
                <w:sz w:val="16"/>
              </w:rPr>
              <w:t>Reconciliation</w:t>
            </w:r>
          </w:p>
        </w:tc>
      </w:tr>
      <w:tr>
        <w:trPr>
          <w:cantSplit/>
        </w:trPr>
        <w:tc>
          <w:tcPr>
            <w:tcW w:type="dxa" w:w="1872"/>
          </w:tcPr>
          <w:p>
            <w:pPr>
              <w:spacing w:after="0"/>
            </w:pPr>
            <w:r/>
            <w:r>
              <w:rPr>
                <w:sz w:val="16"/>
              </w:rPr>
              <w:t>Backend router</w:t>
            </w:r>
          </w:p>
        </w:tc>
        <w:tc>
          <w:tcPr>
            <w:tcW w:type="dxa" w:w="3744"/>
          </w:tcPr>
          <w:p>
            <w:pPr>
              <w:spacing w:after="0"/>
            </w:pPr>
            <w:r/>
            <w:r>
              <w:rPr>
                <w:sz w:val="16"/>
              </w:rPr>
              <w:t>cmd/server/main.go + internal/system/handler.go</w:t>
            </w:r>
          </w:p>
        </w:tc>
        <w:tc>
          <w:tcPr>
            <w:tcW w:type="dxa" w:w="3744"/>
          </w:tcPr>
          <w:p>
            <w:pPr>
              <w:spacing w:after="0"/>
            </w:pPr>
            <w:r/>
            <w:r>
              <w:rPr>
                <w:sz w:val="16"/>
              </w:rPr>
              <w:t>373 operations (AST parse)</w:t>
            </w:r>
          </w:p>
        </w:tc>
      </w:tr>
      <w:tr>
        <w:trPr>
          <w:cantSplit/>
        </w:trPr>
        <w:tc>
          <w:tcPr>
            <w:tcW w:type="dxa" w:w="1872"/>
          </w:tcPr>
          <w:p>
            <w:pPr>
              <w:spacing w:after="0"/>
            </w:pPr>
            <w:r/>
            <w:r>
              <w:rPr>
                <w:sz w:val="16"/>
              </w:rPr>
              <w:t>OpenAPI contract</w:t>
            </w:r>
          </w:p>
        </w:tc>
        <w:tc>
          <w:tcPr>
            <w:tcW w:type="dxa" w:w="3744"/>
          </w:tcPr>
          <w:p>
            <w:pPr>
              <w:spacing w:after="0"/>
            </w:pPr>
            <w:r/>
            <w:r>
              <w:rPr>
                <w:sz w:val="16"/>
              </w:rPr>
              <w:t>apps/backend/docs/openapi.yaml</w:t>
            </w:r>
          </w:p>
        </w:tc>
        <w:tc>
          <w:tcPr>
            <w:tcW w:type="dxa" w:w="3744"/>
          </w:tcPr>
          <w:p>
            <w:pPr>
              <w:spacing w:after="0"/>
            </w:pPr>
            <w:r/>
            <w:r>
              <w:rPr>
                <w:sz w:val="16"/>
              </w:rPr>
              <w:t>373 operations — exact set equality with the router</w:t>
            </w:r>
          </w:p>
        </w:tc>
      </w:tr>
      <w:tr>
        <w:trPr>
          <w:cantSplit/>
        </w:trPr>
        <w:tc>
          <w:tcPr>
            <w:tcW w:type="dxa" w:w="1872"/>
          </w:tcPr>
          <w:p>
            <w:pPr>
              <w:spacing w:after="0"/>
            </w:pPr>
            <w:r/>
            <w:r>
              <w:rPr>
                <w:sz w:val="16"/>
              </w:rPr>
              <w:t>Generated contract</w:t>
            </w:r>
          </w:p>
        </w:tc>
        <w:tc>
          <w:tcPr>
            <w:tcW w:type="dxa" w:w="3744"/>
          </w:tcPr>
          <w:p>
            <w:pPr>
              <w:spacing w:after="0"/>
            </w:pPr>
            <w:r/>
            <w:r>
              <w:rPr>
                <w:sz w:val="16"/>
              </w:rPr>
              <w:t>packages/contracts/src/routes.txt / routes.js</w:t>
            </w:r>
          </w:p>
        </w:tc>
        <w:tc>
          <w:tcPr>
            <w:tcW w:type="dxa" w:w="3744"/>
          </w:tcPr>
          <w:p>
            <w:pPr>
              <w:spacing w:after="0"/>
            </w:pPr>
            <w:r/>
            <w:r>
              <w:rPr>
                <w:sz w:val="16"/>
              </w:rPr>
              <w:t>373 route strings — drift check passes</w:t>
            </w:r>
          </w:p>
        </w:tc>
      </w:tr>
      <w:tr>
        <w:trPr>
          <w:cantSplit/>
        </w:trPr>
        <w:tc>
          <w:tcPr>
            <w:tcW w:type="dxa" w:w="1872"/>
          </w:tcPr>
          <w:p>
            <w:pPr>
              <w:spacing w:after="0"/>
            </w:pPr>
            <w:r/>
            <w:r>
              <w:rPr>
                <w:sz w:val="16"/>
              </w:rPr>
              <w:t>Frontend guards</w:t>
            </w:r>
          </w:p>
        </w:tc>
        <w:tc>
          <w:tcPr>
            <w:tcW w:type="dxa" w:w="3744"/>
          </w:tcPr>
          <w:p>
            <w:pPr>
              <w:spacing w:after="0"/>
            </w:pPr>
            <w:r/>
            <w:r>
              <w:rPr>
                <w:sz w:val="16"/>
              </w:rPr>
              <w:t>erp/src/services/backendContract.js, pos/src/services/backendContract.js, b2b/app/services/backendContract.ts</w:t>
            </w:r>
          </w:p>
        </w:tc>
        <w:tc>
          <w:tcPr>
            <w:tcW w:type="dxa" w:w="3744"/>
          </w:tcPr>
          <w:p>
            <w:pPr>
              <w:spacing w:after="0"/>
            </w:pPr>
            <w:r/>
            <w:r>
              <w:rPr>
                <w:sz w:val="16"/>
              </w:rPr>
              <w:t>Each imports BACKEND_ROUTES and asserts every http.&lt;method&gt;( call found in its service layer is a documented route; a second lexer cross-checks that no call was silently dropped</w:t>
            </w:r>
          </w:p>
        </w:tc>
      </w:tr>
      <w:tr>
        <w:trPr>
          <w:cantSplit/>
        </w:trPr>
        <w:tc>
          <w:tcPr>
            <w:tcW w:type="dxa" w:w="1872"/>
          </w:tcPr>
          <w:p>
            <w:pPr>
              <w:spacing w:after="0"/>
            </w:pPr>
            <w:r/>
            <w:r>
              <w:rPr>
                <w:sz w:val="16"/>
              </w:rPr>
              <w:t>Frontend calls</w:t>
            </w:r>
          </w:p>
        </w:tc>
        <w:tc>
          <w:tcPr>
            <w:tcW w:type="dxa" w:w="3744"/>
          </w:tcPr>
          <w:p>
            <w:pPr>
              <w:spacing w:after="0"/>
            </w:pPr>
            <w:r/>
            <w:r>
              <w:rPr>
                <w:sz w:val="16"/>
              </w:rPr>
              <w:t>erp/src/services/apiCalls.js, pos/src/services/api/*, b2b/app/services/apiCalls.ts</w:t>
            </w:r>
          </w:p>
        </w:tc>
        <w:tc>
          <w:tcPr>
            <w:tcW w:type="dxa" w:w="3744"/>
          </w:tcPr>
          <w:p>
            <w:pPr>
              <w:spacing w:after="0"/>
            </w:pPr>
            <w:r/>
            <w:r>
              <w:rPr>
                <w:sz w:val="16"/>
              </w:rPr>
              <w:t>Call sites; the contract test in each app catches a call to an undocumented path</w:t>
            </w:r>
          </w:p>
        </w:tc>
      </w:tr>
    </w:tbl>
    <w:p>
      <w:pPr>
        <w:spacing w:after="200"/>
      </w:pPr>
      <w:r>
        <w:rPr>
          <w:i/>
          <w:color w:val="555F6D"/>
          <w:sz w:val="17"/>
        </w:rPr>
        <w:t>Table 61. Contract layers and their reconciliation result</w:t>
      </w:r>
    </w:p>
    <w:p>
      <w:bookmarkStart w:id="1262" w:name="_Toc1262"/>
      <w:pPr>
        <w:pStyle w:val="Heading1"/>
      </w:pPr>
      <w:r>
        <w:t>21. Authentication and authorization</w:t>
      </w:r>
      <w:bookmarkEnd w:id="1262"/>
    </w:p>
    <w:p>
      <w:bookmarkStart w:id="1263" w:name="_Toc1263"/>
      <w:pPr>
        <w:pStyle w:val="Heading2"/>
      </w:pPr>
      <w:r>
        <w:t>21.1 Token model</w:t>
      </w:r>
      <w:bookmarkEnd w:id="1263"/>
    </w:p>
    <w:p>
      <w:r>
        <w:rPr>
          <w:i w:val="0"/>
        </w:rPr>
        <w:t>There is no JWT and no refresh token. A login mints an opaque token with crypto/rand.Text (&gt;=128 bits of entropy) and stores only its sha256 hash in personal_access_tokens, together with an expiry (TOKEN_TTL_HOURS, default 24) and last_used_at. Every request looks the hash up; a missing, expired or revoked row is 401. Logout deletes the row, so revocation is immediate and stateless on the client.</w:t>
      </w:r>
    </w:p>
    <w:p>
      <w:pPr>
        <w:keepNext/>
        <w:spacing w:before="80" w:after="40"/>
        <w:jc w:val="center"/>
      </w:pPr>
      <w:r>
        <w:drawing>
          <wp:inline xmlns:a="http://schemas.openxmlformats.org/drawingml/2006/main" xmlns:pic="http://schemas.openxmlformats.org/drawingml/2006/picture">
            <wp:extent cx="5852160" cy="4974336"/>
            <wp:docPr id="26" name="Picture 26"/>
            <wp:cNvGraphicFramePr>
              <a:graphicFrameLocks noChangeAspect="1"/>
            </wp:cNvGraphicFramePr>
            <a:graphic>
              <a:graphicData uri="http://schemas.openxmlformats.org/drawingml/2006/picture">
                <pic:pic>
                  <pic:nvPicPr>
                    <pic:cNvPr id="0" name="fig-auth-lifecycle.png"/>
                    <pic:cNvPicPr/>
                  </pic:nvPicPr>
                  <pic:blipFill>
                    <a:blip r:embed="rId35"/>
                    <a:stretch>
                      <a:fillRect/>
                    </a:stretch>
                  </pic:blipFill>
                  <pic:spPr>
                    <a:xfrm>
                      <a:off x="0" y="0"/>
                      <a:ext cx="5852160" cy="4974336"/>
                    </a:xfrm>
                    <a:prstGeom prst="rect"/>
                  </pic:spPr>
                </pic:pic>
              </a:graphicData>
            </a:graphic>
          </wp:inline>
        </w:drawing>
      </w:r>
    </w:p>
    <w:p>
      <w:pPr>
        <w:spacing w:after="40"/>
        <w:jc w:val="center"/>
      </w:pPr>
      <w:r>
        <w:rPr>
          <w:i/>
          <w:color w:val="555F6D"/>
          <w:sz w:val="17"/>
        </w:rPr>
        <w:t>Figure 26. Login, session hydration and logout. The bcrypt comparison is equalised on the not-found path with a dummy hash to avoid a timing oracle.</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016"/>
            <w:shd w:val="clear" w:color="auto" w:fill="1F3A5F"/>
          </w:tcPr>
          <w:p>
            <w:pPr>
              <w:spacing w:after="0"/>
            </w:pPr>
            <w:r/>
            <w:r>
              <w:rPr>
                <w:b/>
                <w:color w:val="FFFFFF"/>
                <w:sz w:val="15"/>
              </w:rPr>
              <w:t>Aspect</w:t>
            </w:r>
          </w:p>
        </w:tc>
        <w:tc>
          <w:tcPr>
            <w:tcW w:type="dxa" w:w="4320"/>
            <w:shd w:val="clear" w:color="auto" w:fill="1F3A5F"/>
          </w:tcPr>
          <w:p>
            <w:pPr>
              <w:spacing w:after="0"/>
            </w:pPr>
            <w:r/>
            <w:r>
              <w:rPr>
                <w:b/>
                <w:color w:val="FFFFFF"/>
                <w:sz w:val="15"/>
              </w:rPr>
              <w:t>Implementation</w:t>
            </w:r>
          </w:p>
        </w:tc>
        <w:tc>
          <w:tcPr>
            <w:tcW w:type="dxa" w:w="3024"/>
            <w:shd w:val="clear" w:color="auto" w:fill="1F3A5F"/>
          </w:tcPr>
          <w:p>
            <w:pPr>
              <w:spacing w:after="0"/>
            </w:pPr>
            <w:r/>
            <w:r>
              <w:rPr>
                <w:b/>
                <w:color w:val="FFFFFF"/>
                <w:sz w:val="15"/>
              </w:rPr>
              <w:t>Notes</w:t>
            </w:r>
          </w:p>
        </w:tc>
      </w:tr>
      <w:tr>
        <w:trPr>
          <w:cantSplit/>
        </w:trPr>
        <w:tc>
          <w:tcPr>
            <w:tcW w:type="dxa" w:w="2016"/>
          </w:tcPr>
          <w:p>
            <w:pPr>
              <w:spacing w:after="0"/>
            </w:pPr>
            <w:r/>
            <w:r>
              <w:rPr>
                <w:sz w:val="15"/>
              </w:rPr>
              <w:t>Password storage</w:t>
            </w:r>
          </w:p>
        </w:tc>
        <w:tc>
          <w:tcPr>
            <w:tcW w:type="dxa" w:w="4320"/>
          </w:tcPr>
          <w:p>
            <w:pPr>
              <w:spacing w:after="0"/>
            </w:pPr>
            <w:r/>
            <w:r>
              <w:rPr>
                <w:sz w:val="15"/>
              </w:rPr>
              <w:t>bcrypt (cost from bcrypt.DefaultCost)</w:t>
            </w:r>
          </w:p>
        </w:tc>
        <w:tc>
          <w:tcPr>
            <w:tcW w:type="dxa" w:w="3024"/>
          </w:tcPr>
          <w:p>
            <w:pPr>
              <w:spacing w:after="0"/>
            </w:pPr>
            <w:r/>
            <w:r>
              <w:rPr>
                <w:sz w:val="15"/>
              </w:rPr>
              <w:t>users.password</w:t>
            </w:r>
          </w:p>
        </w:tc>
      </w:tr>
      <w:tr>
        <w:trPr>
          <w:cantSplit/>
        </w:trPr>
        <w:tc>
          <w:tcPr>
            <w:tcW w:type="dxa" w:w="2016"/>
          </w:tcPr>
          <w:p>
            <w:pPr>
              <w:spacing w:after="0"/>
            </w:pPr>
            <w:r/>
            <w:r>
              <w:rPr>
                <w:sz w:val="15"/>
              </w:rPr>
              <w:t>Login throttling</w:t>
            </w:r>
          </w:p>
        </w:tc>
        <w:tc>
          <w:tcPr>
            <w:tcW w:type="dxa" w:w="4320"/>
          </w:tcPr>
          <w:p>
            <w:pPr>
              <w:spacing w:after="0"/>
            </w:pPr>
            <w:r/>
            <w:r>
              <w:rPr>
                <w:sz w:val="15"/>
              </w:rPr>
              <w:t>10/min/IP, fail-closed</w:t>
            </w:r>
          </w:p>
        </w:tc>
        <w:tc>
          <w:tcPr>
            <w:tcW w:type="dxa" w:w="3024"/>
          </w:tcPr>
          <w:p>
            <w:pPr>
              <w:spacing w:after="0"/>
            </w:pPr>
            <w:r/>
            <w:r>
              <w:rPr>
                <w:sz w:val="15"/>
              </w:rPr>
              <w:t>Login, register, forgot, reset share the limiter</w:t>
            </w:r>
          </w:p>
        </w:tc>
      </w:tr>
      <w:tr>
        <w:trPr>
          <w:cantSplit/>
        </w:trPr>
        <w:tc>
          <w:tcPr>
            <w:tcW w:type="dxa" w:w="2016"/>
          </w:tcPr>
          <w:p>
            <w:pPr>
              <w:spacing w:after="0"/>
            </w:pPr>
            <w:r/>
            <w:r>
              <w:rPr>
                <w:sz w:val="15"/>
              </w:rPr>
              <w:t>Account state</w:t>
            </w:r>
          </w:p>
        </w:tc>
        <w:tc>
          <w:tcPr>
            <w:tcW w:type="dxa" w:w="4320"/>
          </w:tcPr>
          <w:p>
            <w:pPr>
              <w:spacing w:after="0"/>
            </w:pPr>
            <w:r/>
            <w:r>
              <w:rPr>
                <w:sz w:val="15"/>
              </w:rPr>
              <w:t>users.is_active; a disabled account gets 403 ACCOUNT_DISABLED</w:t>
            </w:r>
          </w:p>
        </w:tc>
        <w:tc>
          <w:tcPr>
            <w:tcW w:type="dxa" w:w="3024"/>
          </w:tcPr>
          <w:p>
            <w:pPr>
              <w:spacing w:after="0"/>
            </w:pPr>
            <w:r/>
            <w:r>
              <w:rPr>
                <w:sz w:val="15"/>
              </w:rPr>
              <w:t>Checked on every authenticate</w:t>
            </w:r>
          </w:p>
        </w:tc>
      </w:tr>
      <w:tr>
        <w:trPr>
          <w:cantSplit/>
        </w:trPr>
        <w:tc>
          <w:tcPr>
            <w:tcW w:type="dxa" w:w="2016"/>
          </w:tcPr>
          <w:p>
            <w:pPr>
              <w:spacing w:after="0"/>
            </w:pPr>
            <w:r/>
            <w:r>
              <w:rPr>
                <w:sz w:val="15"/>
              </w:rPr>
              <w:t>Token scope</w:t>
            </w:r>
          </w:p>
        </w:tc>
        <w:tc>
          <w:tcPr>
            <w:tcW w:type="dxa" w:w="4320"/>
          </w:tcPr>
          <w:p>
            <w:pPr>
              <w:spacing w:after="0"/>
            </w:pPr>
            <w:r/>
            <w:r>
              <w:rPr>
                <w:sz w:val="15"/>
              </w:rPr>
              <w:t>personal_access_tokens row per login; abilities column exists but is not enforced</w:t>
            </w:r>
          </w:p>
        </w:tc>
        <w:tc>
          <w:tcPr>
            <w:tcW w:type="dxa" w:w="3024"/>
          </w:tcPr>
          <w:p>
            <w:pPr>
              <w:spacing w:after="0"/>
            </w:pPr>
            <w:r/>
            <w:r>
              <w:rPr>
                <w:sz w:val="15"/>
              </w:rPr>
              <w:t>Unverified: no code reads abilities</w:t>
            </w:r>
          </w:p>
        </w:tc>
      </w:tr>
      <w:tr>
        <w:trPr>
          <w:cantSplit/>
        </w:trPr>
        <w:tc>
          <w:tcPr>
            <w:tcW w:type="dxa" w:w="2016"/>
          </w:tcPr>
          <w:p>
            <w:pPr>
              <w:spacing w:after="0"/>
            </w:pPr>
            <w:r/>
            <w:r>
              <w:rPr>
                <w:sz w:val="15"/>
              </w:rPr>
              <w:t>Session storage (client)</w:t>
            </w:r>
          </w:p>
        </w:tc>
        <w:tc>
          <w:tcPr>
            <w:tcW w:type="dxa" w:w="4320"/>
          </w:tcPr>
          <w:p>
            <w:pPr>
              <w:spacing w:after="0"/>
            </w:pPr>
            <w:r/>
            <w:r>
              <w:rPr>
                <w:sz w:val="15"/>
              </w:rPr>
              <w:t>ERP/POS: sessionStorage or localStorage (remember me); B2B: localStorage + km_auth_token cookie for SSR</w:t>
            </w:r>
          </w:p>
        </w:tc>
        <w:tc>
          <w:tcPr>
            <w:tcW w:type="dxa" w:w="3024"/>
          </w:tcPr>
          <w:p>
            <w:pPr>
              <w:spacing w:after="0"/>
            </w:pPr>
            <w:r/>
            <w:r>
              <w:rPr>
                <w:sz w:val="15"/>
              </w:rPr>
              <w:t>Cookie is converted to a bearer header by the Nitro proxy</w:t>
            </w:r>
          </w:p>
        </w:tc>
      </w:tr>
      <w:tr>
        <w:trPr>
          <w:cantSplit/>
        </w:trPr>
        <w:tc>
          <w:tcPr>
            <w:tcW w:type="dxa" w:w="2016"/>
          </w:tcPr>
          <w:p>
            <w:pPr>
              <w:spacing w:after="0"/>
            </w:pPr>
            <w:r/>
            <w:r>
              <w:rPr>
                <w:sz w:val="15"/>
              </w:rPr>
              <w:t>Password reset</w:t>
            </w:r>
          </w:p>
        </w:tc>
        <w:tc>
          <w:tcPr>
            <w:tcW w:type="dxa" w:w="4320"/>
          </w:tcPr>
          <w:p>
            <w:pPr>
              <w:spacing w:after="0"/>
            </w:pPr>
            <w:r/>
            <w:r>
              <w:rPr>
                <w:sz w:val="15"/>
              </w:rPr>
              <w:t>Single-use token in password_reset_tokens, delivered by SMTP (or logged in dev)</w:t>
            </w:r>
          </w:p>
        </w:tc>
        <w:tc>
          <w:tcPr>
            <w:tcW w:type="dxa" w:w="3024"/>
          </w:tcPr>
          <w:p>
            <w:pPr>
              <w:spacing w:after="0"/>
            </w:pPr>
            <w:r/>
            <w:r>
              <w:rPr>
                <w:sz w:val="15"/>
              </w:rPr>
              <w:t>Reset link points at B2B_BASE_URL</w:t>
            </w:r>
          </w:p>
        </w:tc>
      </w:tr>
      <w:tr>
        <w:trPr>
          <w:cantSplit/>
        </w:trPr>
        <w:tc>
          <w:tcPr>
            <w:tcW w:type="dxa" w:w="2016"/>
          </w:tcPr>
          <w:p>
            <w:pPr>
              <w:spacing w:after="0"/>
            </w:pPr>
            <w:r/>
            <w:r>
              <w:rPr>
                <w:sz w:val="15"/>
              </w:rPr>
              <w:t>CORS</w:t>
            </w:r>
          </w:p>
        </w:tc>
        <w:tc>
          <w:tcPr>
            <w:tcW w:type="dxa" w:w="4320"/>
          </w:tcPr>
          <w:p>
            <w:pPr>
              <w:spacing w:after="0"/>
            </w:pPr>
            <w:r/>
            <w:r>
              <w:rPr>
                <w:sz w:val="15"/>
              </w:rPr>
              <w:t>Allowlist; '*' allowed but non-credentialed</w:t>
            </w:r>
          </w:p>
        </w:tc>
        <w:tc>
          <w:tcPr>
            <w:tcW w:type="dxa" w:w="3024"/>
          </w:tcPr>
          <w:p>
            <w:pPr>
              <w:spacing w:after="0"/>
            </w:pPr>
            <w:r/>
            <w:r>
              <w:rPr>
                <w:sz w:val="15"/>
              </w:rPr>
              <w:t>Finding F-12</w:t>
            </w:r>
          </w:p>
        </w:tc>
      </w:tr>
      <w:tr>
        <w:trPr>
          <w:cantSplit/>
        </w:trPr>
        <w:tc>
          <w:tcPr>
            <w:tcW w:type="dxa" w:w="2016"/>
          </w:tcPr>
          <w:p>
            <w:pPr>
              <w:spacing w:after="0"/>
            </w:pPr>
            <w:r/>
            <w:r>
              <w:rPr>
                <w:sz w:val="15"/>
              </w:rPr>
              <w:t>CSRF</w:t>
            </w:r>
          </w:p>
        </w:tc>
        <w:tc>
          <w:tcPr>
            <w:tcW w:type="dxa" w:w="4320"/>
          </w:tcPr>
          <w:p>
            <w:pPr>
              <w:spacing w:after="0"/>
            </w:pPr>
            <w:r/>
            <w:r>
              <w:rPr>
                <w:sz w:val="15"/>
              </w:rPr>
              <w:t>Not applicable: no cookie-authenticated state-changing API calls (the B2B cookie is converted to a header server-side)</w:t>
            </w:r>
          </w:p>
        </w:tc>
        <w:tc>
          <w:tcPr>
            <w:tcW w:type="dxa" w:w="3024"/>
          </w:tcPr>
          <w:p>
            <w:pPr>
              <w:spacing w:after="0"/>
            </w:pPr>
            <w:r/>
            <w:r>
              <w:rPr>
                <w:sz w:val="15"/>
              </w:rPr>
              <w:t>Verified by reading the proxy</w:t>
            </w:r>
          </w:p>
        </w:tc>
      </w:tr>
      <w:tr>
        <w:trPr>
          <w:cantSplit/>
        </w:trPr>
        <w:tc>
          <w:tcPr>
            <w:tcW w:type="dxa" w:w="2016"/>
          </w:tcPr>
          <w:p>
            <w:pPr>
              <w:spacing w:after="0"/>
            </w:pPr>
            <w:r/>
            <w:r>
              <w:rPr>
                <w:sz w:val="15"/>
              </w:rPr>
              <w:t>Security headers</w:t>
            </w:r>
          </w:p>
        </w:tc>
        <w:tc>
          <w:tcPr>
            <w:tcW w:type="dxa" w:w="4320"/>
          </w:tcPr>
          <w:p>
            <w:pPr>
              <w:spacing w:after="0"/>
            </w:pPr>
            <w:r/>
            <w:r>
              <w:rPr>
                <w:sz w:val="15"/>
              </w:rPr>
              <w:t>nosniff, DENY framing, no-referrer, permissions policy</w:t>
            </w:r>
          </w:p>
        </w:tc>
        <w:tc>
          <w:tcPr>
            <w:tcW w:type="dxa" w:w="3024"/>
          </w:tcPr>
          <w:p>
            <w:pPr>
              <w:spacing w:after="0"/>
            </w:pPr>
            <w:r/>
            <w:r>
              <w:rPr>
                <w:sz w:val="15"/>
              </w:rPr>
              <w:t>pkg/middleware/security.go</w:t>
            </w:r>
          </w:p>
        </w:tc>
      </w:tr>
    </w:tbl>
    <w:p>
      <w:pPr>
        <w:spacing w:after="200"/>
      </w:pPr>
      <w:r>
        <w:rPr>
          <w:i/>
          <w:color w:val="555F6D"/>
          <w:sz w:val="17"/>
        </w:rPr>
        <w:t>Table 62. Authentication controls</w:t>
      </w:r>
    </w:p>
    <w:p>
      <w:bookmarkStart w:id="1264" w:name="_Toc1264"/>
      <w:pPr>
        <w:pStyle w:val="Heading2"/>
      </w:pPr>
      <w:r>
        <w:t>21.2 Authorisation model</w:t>
      </w:r>
      <w:bookmarkEnd w:id="1264"/>
    </w:p>
    <w:p>
      <w:pPr>
        <w:keepNext/>
        <w:spacing w:before="80" w:after="40"/>
        <w:jc w:val="center"/>
      </w:pPr>
      <w:r>
        <w:drawing>
          <wp:inline xmlns:a="http://schemas.openxmlformats.org/drawingml/2006/main" xmlns:pic="http://schemas.openxmlformats.org/drawingml/2006/picture">
            <wp:extent cx="6035040" cy="2541817"/>
            <wp:docPr id="27" name="Picture 27"/>
            <wp:cNvGraphicFramePr>
              <a:graphicFrameLocks noChangeAspect="1"/>
            </wp:cNvGraphicFramePr>
            <a:graphic>
              <a:graphicData uri="http://schemas.openxmlformats.org/drawingml/2006/picture">
                <pic:pic>
                  <pic:nvPicPr>
                    <pic:cNvPr id="0" name="fig-authz-model.png"/>
                    <pic:cNvPicPr/>
                  </pic:nvPicPr>
                  <pic:blipFill>
                    <a:blip r:embed="rId36"/>
                    <a:stretch>
                      <a:fillRect/>
                    </a:stretch>
                  </pic:blipFill>
                  <pic:spPr>
                    <a:xfrm>
                      <a:off x="0" y="0"/>
                      <a:ext cx="6035040" cy="2541817"/>
                    </a:xfrm>
                    <a:prstGeom prst="rect"/>
                  </pic:spPr>
                </pic:pic>
              </a:graphicData>
            </a:graphic>
          </wp:inline>
        </w:drawing>
      </w:r>
    </w:p>
    <w:p>
      <w:pPr>
        <w:spacing w:after="40"/>
        <w:jc w:val="center"/>
      </w:pPr>
      <w:r>
        <w:rPr>
          <w:i/>
          <w:color w:val="555F6D"/>
          <w:sz w:val="17"/>
        </w:rPr>
        <w:t>Figure 27. Permission evaluation: application scope, then admin bypass, then per-user override (exact or glob deny), then role globs.</w:t>
      </w:r>
    </w:p>
    <w:p>
      <w:r>
        <w:rPr>
          <w:i w:val="0"/>
        </w:rPr>
        <w:t>Two independent axes exist. The permission axis answers 'what may this identity do'; the application axis answers 'which frontend may it enter'. They are separate columns (users.role vs users.application_access) and separate checks (u.Can(perm) vs u.CanAccessApp(app)).</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736"/>
            <w:shd w:val="clear" w:color="auto" w:fill="1F3A5F"/>
          </w:tcPr>
          <w:p>
            <w:pPr>
              <w:spacing w:after="0"/>
            </w:pPr>
            <w:r/>
            <w:r>
              <w:rPr>
                <w:b/>
                <w:color w:val="FFFFFF"/>
                <w:sz w:val="15"/>
              </w:rPr>
              <w:t>Rule</w:t>
            </w:r>
          </w:p>
        </w:tc>
        <w:tc>
          <w:tcPr>
            <w:tcW w:type="dxa" w:w="3456"/>
            <w:shd w:val="clear" w:color="auto" w:fill="1F3A5F"/>
          </w:tcPr>
          <w:p>
            <w:pPr>
              <w:spacing w:after="0"/>
            </w:pPr>
            <w:r/>
            <w:r>
              <w:rPr>
                <w:b/>
                <w:color w:val="FFFFFF"/>
                <w:sz w:val="15"/>
              </w:rPr>
              <w:t>Implementation</w:t>
            </w:r>
          </w:p>
        </w:tc>
        <w:tc>
          <w:tcPr>
            <w:tcW w:type="dxa" w:w="3168"/>
            <w:shd w:val="clear" w:color="auto" w:fill="1F3A5F"/>
          </w:tcPr>
          <w:p>
            <w:pPr>
              <w:spacing w:after="0"/>
            </w:pPr>
            <w:r/>
            <w:r>
              <w:rPr>
                <w:b/>
                <w:color w:val="FFFFFF"/>
                <w:sz w:val="15"/>
              </w:rPr>
              <w:t>Consequence</w:t>
            </w:r>
          </w:p>
        </w:tc>
      </w:tr>
      <w:tr>
        <w:trPr>
          <w:cantSplit/>
        </w:trPr>
        <w:tc>
          <w:tcPr>
            <w:tcW w:type="dxa" w:w="2736"/>
          </w:tcPr>
          <w:p>
            <w:pPr>
              <w:spacing w:after="0"/>
            </w:pPr>
            <w:r/>
            <w:r>
              <w:rPr>
                <w:sz w:val="15"/>
              </w:rPr>
              <w:t>admin and owner bypass every permission</w:t>
            </w:r>
          </w:p>
        </w:tc>
        <w:tc>
          <w:tcPr>
            <w:tcW w:type="dxa" w:w="3456"/>
          </w:tcPr>
          <w:p>
            <w:pPr>
              <w:spacing w:after="0"/>
            </w:pPr>
            <w:r/>
            <w:r>
              <w:rPr>
                <w:sz w:val="15"/>
              </w:rPr>
              <w:t>u.Can returns true before any lookup</w:t>
            </w:r>
          </w:p>
        </w:tc>
        <w:tc>
          <w:tcPr>
            <w:tcW w:type="dxa" w:w="3168"/>
          </w:tcPr>
          <w:p>
            <w:pPr>
              <w:spacing w:after="0"/>
            </w:pPr>
            <w:r/>
            <w:r>
              <w:rPr>
                <w:sz w:val="15"/>
              </w:rPr>
              <w:t>They cannot be locked out of a permission; the UI still hides pages they lack navigation for</w:t>
            </w:r>
          </w:p>
        </w:tc>
      </w:tr>
      <w:tr>
        <w:trPr>
          <w:cantSplit/>
        </w:trPr>
        <w:tc>
          <w:tcPr>
            <w:tcW w:type="dxa" w:w="2736"/>
          </w:tcPr>
          <w:p>
            <w:pPr>
              <w:spacing w:after="0"/>
            </w:pPr>
            <w:r/>
            <w:r>
              <w:rPr>
                <w:sz w:val="15"/>
              </w:rPr>
              <w:t>A role absent from the matrix gets nothing</w:t>
            </w:r>
          </w:p>
        </w:tc>
        <w:tc>
          <w:tcPr>
            <w:tcW w:type="dxa" w:w="3456"/>
          </w:tcPr>
          <w:p>
            <w:pPr>
              <w:spacing w:after="0"/>
            </w:pPr>
            <w:r/>
            <w:r>
              <w:rPr>
                <w:sz w:val="15"/>
              </w:rPr>
              <w:t>globsFor returns nil; deny by omission</w:t>
            </w:r>
          </w:p>
        </w:tc>
        <w:tc>
          <w:tcPr>
            <w:tcW w:type="dxa" w:w="3168"/>
          </w:tcPr>
          <w:p>
            <w:pPr>
              <w:spacing w:after="0"/>
            </w:pPr>
            <w:r/>
            <w:r>
              <w:rPr>
                <w:sz w:val="15"/>
              </w:rPr>
              <w:t>A custom role created without rows is deny-all until rows are added</w:t>
            </w:r>
          </w:p>
        </w:tc>
      </w:tr>
      <w:tr>
        <w:trPr>
          <w:cantSplit/>
        </w:trPr>
        <w:tc>
          <w:tcPr>
            <w:tcW w:type="dxa" w:w="2736"/>
          </w:tcPr>
          <w:p>
            <w:pPr>
              <w:spacing w:after="0"/>
            </w:pPr>
            <w:r/>
            <w:r>
              <w:rPr>
                <w:sz w:val="15"/>
              </w:rPr>
              <w:t>Per-user override wins over role globs</w:t>
            </w:r>
          </w:p>
        </w:tc>
        <w:tc>
          <w:tcPr>
            <w:tcW w:type="dxa" w:w="3456"/>
          </w:tcPr>
          <w:p>
            <w:pPr>
              <w:spacing w:after="0"/>
            </w:pPr>
            <w:r/>
            <w:r>
              <w:rPr>
                <w:sz w:val="15"/>
              </w:rPr>
              <w:t>exact key first, then glob deny, then role globs</w:t>
            </w:r>
          </w:p>
        </w:tc>
        <w:tc>
          <w:tcPr>
            <w:tcW w:type="dxa" w:w="3168"/>
          </w:tcPr>
          <w:p>
            <w:pPr>
              <w:spacing w:after="0"/>
            </w:pPr>
            <w:r/>
            <w:r>
              <w:rPr>
                <w:sz w:val="15"/>
              </w:rPr>
              <w:t>An override can both grant and deny; a wildcard deny beats every role glob</w:t>
            </w:r>
          </w:p>
        </w:tc>
      </w:tr>
      <w:tr>
        <w:trPr>
          <w:cantSplit/>
        </w:trPr>
        <w:tc>
          <w:tcPr>
            <w:tcW w:type="dxa" w:w="2736"/>
          </w:tcPr>
          <w:p>
            <w:pPr>
              <w:spacing w:after="0"/>
            </w:pPr>
            <w:r/>
            <w:r>
              <w:rPr>
                <w:sz w:val="15"/>
              </w:rPr>
              <w:t>Out-of-scope tenant access returns 404</w:t>
            </w:r>
          </w:p>
        </w:tc>
        <w:tc>
          <w:tcPr>
            <w:tcW w:type="dxa" w:w="3456"/>
          </w:tcPr>
          <w:p>
            <w:pPr>
              <w:spacing w:after="0"/>
            </w:pPr>
            <w:r/>
            <w:r>
              <w:rPr>
                <w:sz w:val="15"/>
              </w:rPr>
              <w:t>ResolveStoreBinding / checkScope</w:t>
            </w:r>
          </w:p>
        </w:tc>
        <w:tc>
          <w:tcPr>
            <w:tcW w:type="dxa" w:w="3168"/>
          </w:tcPr>
          <w:p>
            <w:pPr>
              <w:spacing w:after="0"/>
            </w:pPr>
            <w:r/>
            <w:r>
              <w:rPr>
                <w:sz w:val="15"/>
              </w:rPr>
              <w:t>No existence oracle across outlets</w:t>
            </w:r>
          </w:p>
        </w:tc>
      </w:tr>
      <w:tr>
        <w:trPr>
          <w:cantSplit/>
        </w:trPr>
        <w:tc>
          <w:tcPr>
            <w:tcW w:type="dxa" w:w="2736"/>
          </w:tcPr>
          <w:p>
            <w:pPr>
              <w:spacing w:after="0"/>
            </w:pPr>
            <w:r/>
            <w:r>
              <w:rPr>
                <w:sz w:val="15"/>
              </w:rPr>
              <w:t>Route-level gate is the only server boundary</w:t>
            </w:r>
          </w:p>
        </w:tc>
        <w:tc>
          <w:tcPr>
            <w:tcW w:type="dxa" w:w="3456"/>
          </w:tcPr>
          <w:p>
            <w:pPr>
              <w:spacing w:after="0"/>
            </w:pPr>
            <w:r/>
            <w:r>
              <w:rPr>
                <w:sz w:val="15"/>
              </w:rPr>
              <w:t>RequirePermission / RequireAnyPermission / RequireApp / RequireAdmin</w:t>
            </w:r>
          </w:p>
        </w:tc>
        <w:tc>
          <w:tcPr>
            <w:tcW w:type="dxa" w:w="3168"/>
          </w:tcPr>
          <w:p>
            <w:pPr>
              <w:spacing w:after="0"/>
            </w:pPr>
            <w:r/>
            <w:r>
              <w:rPr>
                <w:sz w:val="15"/>
              </w:rPr>
              <w:t>Frontend guards are UX (stated in code comments)</w:t>
            </w:r>
          </w:p>
        </w:tc>
      </w:tr>
    </w:tbl>
    <w:p>
      <w:pPr>
        <w:spacing w:after="200"/>
      </w:pPr>
      <w:r>
        <w:rPr>
          <w:i/>
          <w:color w:val="555F6D"/>
          <w:sz w:val="17"/>
        </w:rPr>
        <w:t>Table 63. Authorisation rules and their consequences</w:t>
      </w:r>
    </w:p>
    <w:p>
      <w:bookmarkStart w:id="1265" w:name="_Toc1265"/>
      <w:pPr>
        <w:pStyle w:val="Heading2"/>
      </w:pPr>
      <w:r>
        <w:t>21.3 Application-access axis</w:t>
      </w:r>
      <w:bookmarkEnd w:id="1265"/>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304"/>
            <w:shd w:val="clear" w:color="auto" w:fill="1F3A5F"/>
          </w:tcPr>
          <w:p>
            <w:pPr>
              <w:spacing w:after="0"/>
            </w:pPr>
            <w:r/>
            <w:r>
              <w:rPr>
                <w:b/>
                <w:color w:val="FFFFFF"/>
                <w:sz w:val="16"/>
              </w:rPr>
              <w:t>application_access</w:t>
            </w:r>
          </w:p>
        </w:tc>
        <w:tc>
          <w:tcPr>
            <w:tcW w:type="dxa" w:w="3744"/>
            <w:shd w:val="clear" w:color="auto" w:fill="1F3A5F"/>
          </w:tcPr>
          <w:p>
            <w:pPr>
              <w:spacing w:after="0"/>
            </w:pPr>
            <w:r/>
            <w:r>
              <w:rPr>
                <w:b/>
                <w:color w:val="FFFFFF"/>
                <w:sz w:val="16"/>
              </w:rPr>
              <w:t>May enter</w:t>
            </w:r>
          </w:p>
        </w:tc>
        <w:tc>
          <w:tcPr>
            <w:tcW w:type="dxa" w:w="3312"/>
            <w:shd w:val="clear" w:color="auto" w:fill="1F3A5F"/>
          </w:tcPr>
          <w:p>
            <w:pPr>
              <w:spacing w:after="0"/>
            </w:pPr>
            <w:r/>
            <w:r>
              <w:rPr>
                <w:b/>
                <w:color w:val="FFFFFF"/>
                <w:sz w:val="16"/>
              </w:rPr>
              <w:t>Assigned to</w:t>
            </w:r>
          </w:p>
        </w:tc>
      </w:tr>
      <w:tr>
        <w:trPr>
          <w:cantSplit/>
        </w:trPr>
        <w:tc>
          <w:tcPr>
            <w:tcW w:type="dxa" w:w="2304"/>
          </w:tcPr>
          <w:p>
            <w:pPr>
              <w:spacing w:after="0"/>
            </w:pPr>
            <w:r/>
            <w:r>
              <w:rPr>
                <w:sz w:val="16"/>
              </w:rPr>
              <w:t>platform</w:t>
            </w:r>
          </w:p>
        </w:tc>
        <w:tc>
          <w:tcPr>
            <w:tcW w:type="dxa" w:w="3744"/>
          </w:tcPr>
          <w:p>
            <w:pPr>
              <w:spacing w:after="0"/>
            </w:pPr>
            <w:r/>
            <w:r>
              <w:rPr>
                <w:sz w:val="16"/>
              </w:rPr>
              <w:t>ERP, POS, B2B, admin console</w:t>
            </w:r>
          </w:p>
        </w:tc>
        <w:tc>
          <w:tcPr>
            <w:tcW w:type="dxa" w:w="3312"/>
          </w:tcPr>
          <w:p>
            <w:pPr>
              <w:spacing w:after="0"/>
            </w:pPr>
            <w:r/>
            <w:r>
              <w:rPr>
                <w:sz w:val="16"/>
              </w:rPr>
              <w:t>admin, owner</w:t>
            </w:r>
          </w:p>
        </w:tc>
      </w:tr>
      <w:tr>
        <w:trPr>
          <w:cantSplit/>
        </w:trPr>
        <w:tc>
          <w:tcPr>
            <w:tcW w:type="dxa" w:w="2304"/>
          </w:tcPr>
          <w:p>
            <w:pPr>
              <w:spacing w:after="0"/>
            </w:pPr>
            <w:r/>
            <w:r>
              <w:rPr>
                <w:sz w:val="16"/>
              </w:rPr>
              <w:t>erp</w:t>
            </w:r>
          </w:p>
        </w:tc>
        <w:tc>
          <w:tcPr>
            <w:tcW w:type="dxa" w:w="3744"/>
          </w:tcPr>
          <w:p>
            <w:pPr>
              <w:spacing w:after="0"/>
            </w:pPr>
            <w:r/>
            <w:r>
              <w:rPr>
                <w:sz w:val="16"/>
              </w:rPr>
              <w:t>ERP only</w:t>
            </w:r>
          </w:p>
        </w:tc>
        <w:tc>
          <w:tcPr>
            <w:tcW w:type="dxa" w:w="3312"/>
          </w:tcPr>
          <w:p>
            <w:pPr>
              <w:spacing w:after="0"/>
            </w:pPr>
            <w:r/>
            <w:r>
              <w:rPr>
                <w:sz w:val="16"/>
              </w:rPr>
              <w:t>gm, bm, spv, sales, finance, finance_head, warehouse, hr_manager, hr_staff, employee, store_manager, system</w:t>
            </w:r>
          </w:p>
        </w:tc>
      </w:tr>
      <w:tr>
        <w:trPr>
          <w:cantSplit/>
        </w:trPr>
        <w:tc>
          <w:tcPr>
            <w:tcW w:type="dxa" w:w="2304"/>
          </w:tcPr>
          <w:p>
            <w:pPr>
              <w:spacing w:after="0"/>
            </w:pPr>
            <w:r/>
            <w:r>
              <w:rPr>
                <w:sz w:val="16"/>
              </w:rPr>
              <w:t>pos</w:t>
            </w:r>
          </w:p>
        </w:tc>
        <w:tc>
          <w:tcPr>
            <w:tcW w:type="dxa" w:w="3744"/>
          </w:tcPr>
          <w:p>
            <w:pPr>
              <w:spacing w:after="0"/>
            </w:pPr>
            <w:r/>
            <w:r>
              <w:rPr>
                <w:sz w:val="16"/>
              </w:rPr>
              <w:t>POS only</w:t>
            </w:r>
          </w:p>
        </w:tc>
        <w:tc>
          <w:tcPr>
            <w:tcW w:type="dxa" w:w="3312"/>
          </w:tcPr>
          <w:p>
            <w:pPr>
              <w:spacing w:after="0"/>
            </w:pPr>
            <w:r/>
            <w:r>
              <w:rPr>
                <w:sz w:val="16"/>
              </w:rPr>
              <w:t>cashier</w:t>
            </w:r>
          </w:p>
        </w:tc>
      </w:tr>
      <w:tr>
        <w:trPr>
          <w:cantSplit/>
        </w:trPr>
        <w:tc>
          <w:tcPr>
            <w:tcW w:type="dxa" w:w="2304"/>
          </w:tcPr>
          <w:p>
            <w:pPr>
              <w:spacing w:after="0"/>
            </w:pPr>
            <w:r/>
            <w:r>
              <w:rPr>
                <w:sz w:val="16"/>
              </w:rPr>
              <w:t>ecommerce</w:t>
            </w:r>
          </w:p>
        </w:tc>
        <w:tc>
          <w:tcPr>
            <w:tcW w:type="dxa" w:w="3744"/>
          </w:tcPr>
          <w:p>
            <w:pPr>
              <w:spacing w:after="0"/>
            </w:pPr>
            <w:r/>
            <w:r>
              <w:rPr>
                <w:sz w:val="16"/>
              </w:rPr>
              <w:t>B2B storefront</w:t>
            </w:r>
          </w:p>
        </w:tc>
        <w:tc>
          <w:tcPr>
            <w:tcW w:type="dxa" w:w="3312"/>
          </w:tcPr>
          <w:p>
            <w:pPr>
              <w:spacing w:after="0"/>
            </w:pPr>
            <w:r/>
            <w:r>
              <w:rPr>
                <w:sz w:val="16"/>
              </w:rPr>
              <w:t>buyer</w:t>
            </w:r>
          </w:p>
        </w:tc>
      </w:tr>
      <w:tr>
        <w:trPr>
          <w:cantSplit/>
        </w:trPr>
        <w:tc>
          <w:tcPr>
            <w:tcW w:type="dxa" w:w="2304"/>
          </w:tcPr>
          <w:p>
            <w:pPr>
              <w:spacing w:after="0"/>
            </w:pPr>
            <w:r/>
            <w:r>
              <w:rPr>
                <w:sz w:val="16"/>
              </w:rPr>
              <w:t>ecommerce_admin</w:t>
            </w:r>
          </w:p>
        </w:tc>
        <w:tc>
          <w:tcPr>
            <w:tcW w:type="dxa" w:w="3744"/>
          </w:tcPr>
          <w:p>
            <w:pPr>
              <w:spacing w:after="0"/>
            </w:pPr>
            <w:r/>
            <w:r>
              <w:rPr>
                <w:sz w:val="16"/>
              </w:rPr>
              <w:t>B2B storefront + admin console</w:t>
            </w:r>
          </w:p>
        </w:tc>
        <w:tc>
          <w:tcPr>
            <w:tcW w:type="dxa" w:w="3312"/>
          </w:tcPr>
          <w:p>
            <w:pPr>
              <w:spacing w:after="0"/>
            </w:pPr>
            <w:r/>
            <w:r>
              <w:rPr>
                <w:sz w:val="16"/>
              </w:rPr>
              <w:t>a customer with is_ecommerce_admin = true</w:t>
            </w:r>
          </w:p>
        </w:tc>
      </w:tr>
    </w:tbl>
    <w:p>
      <w:pPr>
        <w:spacing w:after="200"/>
      </w:pPr>
      <w:r>
        <w:rPr>
          <w:i/>
          <w:color w:val="555F6D"/>
          <w:sz w:val="17"/>
        </w:rPr>
        <w:t>Table 64. Application access values</w:t>
      </w:r>
    </w:p>
    <w:p>
      <w:pPr>
        <w:spacing w:after="160"/>
        <w:ind w:left="216"/>
        <w:pBdr>
          <w:left w:val="single" w:sz="18" w:space="6" w:color="9B2C2C"/>
        </w:pBdr>
      </w:pPr>
      <w:r>
        <w:rPr>
          <w:b/>
          <w:color w:val="9B2C2C"/>
          <w:sz w:val="19"/>
        </w:rPr>
        <w:t xml:space="preserve">Measured state of the matrix: </w:t>
      </w:r>
      <w:r>
        <w:rPr>
          <w:sz w:val="19"/>
        </w:rPr>
        <w:t>After all 123 migrations the database holds 304 role_permissions rows across 14 roles; hr_staff and system hold none. 76 catalogue keys have no holder at all, and 71 of them are enforced on a live route, so on a fresh deployment those operations are reachable only by admin and owner. The detailed per-key consequence is in chapter 22.3 and finding F-22.</w:t>
      </w:r>
    </w:p>
    <w:p>
      <w:pPr>
        <w:spacing w:after="160"/>
        <w:ind w:left="216"/>
        <w:pBdr>
          <w:left w:val="single" w:sz="18" w:space="6" w:color="1E6B3A"/>
        </w:pBdr>
      </w:pPr>
      <w:r>
        <w:rPr>
          <w:b/>
          <w:color w:val="1E6B3A"/>
          <w:sz w:val="19"/>
        </w:rPr>
        <w:t xml:space="preserve">Enforcement reality: </w:t>
      </w:r>
      <w:r>
        <w:rPr>
          <w:sz w:val="19"/>
        </w:rPr>
        <w:t>RequireApp is mounted on 24 buyer routes plus two notifications routes. There is no RequireApp(AppERP) gate on internal routes, so a POS or buyer token is stopped only by the permission matrix — which is exactly what the ERP router guard's comment says. Treat the matrix as the boundary.</w:t>
      </w:r>
    </w:p>
    <w:p>
      <w:bookmarkStart w:id="1266" w:name="_Toc1266"/>
      <w:pPr>
        <w:pStyle w:val="Heading2"/>
      </w:pPr>
      <w:r>
        <w:t>21.4 Input validation, uploads and secrets</w:t>
      </w:r>
      <w:bookmarkEnd w:id="1266"/>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2160"/>
            <w:shd w:val="clear" w:color="auto" w:fill="1F3A5F"/>
          </w:tcPr>
          <w:p>
            <w:pPr>
              <w:spacing w:after="0"/>
            </w:pPr>
            <w:r/>
            <w:r>
              <w:rPr>
                <w:b/>
                <w:color w:val="FFFFFF"/>
                <w:sz w:val="16"/>
              </w:rPr>
              <w:t>Control</w:t>
            </w:r>
          </w:p>
        </w:tc>
        <w:tc>
          <w:tcPr>
            <w:tcW w:type="dxa" w:w="7200"/>
            <w:shd w:val="clear" w:color="auto" w:fill="1F3A5F"/>
          </w:tcPr>
          <w:p>
            <w:pPr>
              <w:spacing w:after="0"/>
            </w:pPr>
            <w:r/>
            <w:r>
              <w:rPr>
                <w:b/>
                <w:color w:val="FFFFFF"/>
                <w:sz w:val="16"/>
              </w:rPr>
              <w:t>Implementation</w:t>
            </w:r>
          </w:p>
        </w:tc>
      </w:tr>
      <w:tr>
        <w:trPr>
          <w:cantSplit/>
        </w:trPr>
        <w:tc>
          <w:tcPr>
            <w:tcW w:type="dxa" w:w="2160"/>
          </w:tcPr>
          <w:p>
            <w:pPr>
              <w:spacing w:after="0"/>
            </w:pPr>
            <w:r/>
            <w:r>
              <w:rPr>
                <w:sz w:val="16"/>
              </w:rPr>
              <w:t>JSON decoding</w:t>
            </w:r>
          </w:p>
        </w:tc>
        <w:tc>
          <w:tcPr>
            <w:tcW w:type="dxa" w:w="7200"/>
          </w:tcPr>
          <w:p>
            <w:pPr>
              <w:spacing w:after="0"/>
            </w:pPr>
            <w:r/>
            <w:r>
              <w:rPr>
                <w:sz w:val="16"/>
              </w:rPr>
              <w:t>DisallowUnknownFields is not used; handlers decode into typed structs and validate required fields explicitly</w:t>
            </w:r>
          </w:p>
        </w:tc>
      </w:tr>
      <w:tr>
        <w:trPr>
          <w:cantSplit/>
        </w:trPr>
        <w:tc>
          <w:tcPr>
            <w:tcW w:type="dxa" w:w="2160"/>
          </w:tcPr>
          <w:p>
            <w:pPr>
              <w:spacing w:after="0"/>
            </w:pPr>
            <w:r/>
            <w:r>
              <w:rPr>
                <w:sz w:val="16"/>
              </w:rPr>
              <w:t>Numeric bounds</w:t>
            </w:r>
          </w:p>
        </w:tc>
        <w:tc>
          <w:tcPr>
            <w:tcW w:type="dxa" w:w="7200"/>
          </w:tcPr>
          <w:p>
            <w:pPr>
              <w:spacing w:after="0"/>
            </w:pPr>
            <w:r/>
            <w:r>
              <w:rPr>
                <w:sz w:val="16"/>
              </w:rPr>
              <w:t>Tax 0-100, discount 0-100, quantities &gt; 0, cash ≥ total, negative amounts rejected per handler</w:t>
            </w:r>
          </w:p>
        </w:tc>
      </w:tr>
      <w:tr>
        <w:trPr>
          <w:cantSplit/>
        </w:trPr>
        <w:tc>
          <w:tcPr>
            <w:tcW w:type="dxa" w:w="2160"/>
          </w:tcPr>
          <w:p>
            <w:pPr>
              <w:spacing w:after="0"/>
            </w:pPr>
            <w:r/>
            <w:r>
              <w:rPr>
                <w:sz w:val="16"/>
              </w:rPr>
              <w:t>Body size</w:t>
            </w:r>
          </w:p>
        </w:tc>
        <w:tc>
          <w:tcPr>
            <w:tcW w:type="dxa" w:w="7200"/>
          </w:tcPr>
          <w:p>
            <w:pPr>
              <w:spacing w:after="0"/>
            </w:pPr>
            <w:r/>
            <w:r>
              <w:rPr>
                <w:sz w:val="16"/>
              </w:rPr>
              <w:t>BODY_SIZE_LIMIT_BYTES (10 MiB) enforced before the handler</w:t>
            </w:r>
          </w:p>
        </w:tc>
      </w:tr>
      <w:tr>
        <w:trPr>
          <w:cantSplit/>
        </w:trPr>
        <w:tc>
          <w:tcPr>
            <w:tcW w:type="dxa" w:w="2160"/>
          </w:tcPr>
          <w:p>
            <w:pPr>
              <w:spacing w:after="0"/>
            </w:pPr>
            <w:r/>
            <w:r>
              <w:rPr>
                <w:sz w:val="16"/>
              </w:rPr>
              <w:t>Uploads</w:t>
            </w:r>
          </w:p>
        </w:tc>
        <w:tc>
          <w:tcPr>
            <w:tcW w:type="dxa" w:w="7200"/>
          </w:tcPr>
          <w:p>
            <w:pPr>
              <w:spacing w:after="0"/>
            </w:pPr>
            <w:r/>
            <w:r>
              <w:rPr>
                <w:sz w:val="16"/>
              </w:rPr>
              <w:t>POST /api/v1/uploads requires a session; files land under UPLOAD_DIR and are served by GET /uploads/{key}; payment proofs are additionally checked against the payments table</w:t>
            </w:r>
          </w:p>
        </w:tc>
      </w:tr>
      <w:tr>
        <w:trPr>
          <w:cantSplit/>
        </w:trPr>
        <w:tc>
          <w:tcPr>
            <w:tcW w:type="dxa" w:w="2160"/>
          </w:tcPr>
          <w:p>
            <w:pPr>
              <w:spacing w:after="0"/>
            </w:pPr>
            <w:r/>
            <w:r>
              <w:rPr>
                <w:sz w:val="16"/>
              </w:rPr>
              <w:t>SQL injection</w:t>
            </w:r>
          </w:p>
        </w:tc>
        <w:tc>
          <w:tcPr>
            <w:tcW w:type="dxa" w:w="7200"/>
          </w:tcPr>
          <w:p>
            <w:pPr>
              <w:spacing w:after="0"/>
            </w:pPr>
            <w:r/>
            <w:r>
              <w:rPr>
                <w:sz w:val="16"/>
              </w:rPr>
              <w:t>All queries are parameterised (pgx placeholders); no string-built SQL with user input was found</w:t>
            </w:r>
          </w:p>
        </w:tc>
      </w:tr>
      <w:tr>
        <w:trPr>
          <w:cantSplit/>
        </w:trPr>
        <w:tc>
          <w:tcPr>
            <w:tcW w:type="dxa" w:w="2160"/>
          </w:tcPr>
          <w:p>
            <w:pPr>
              <w:spacing w:after="0"/>
            </w:pPr>
            <w:r/>
            <w:r>
              <w:rPr>
                <w:sz w:val="16"/>
              </w:rPr>
              <w:t>Secrets</w:t>
            </w:r>
          </w:p>
        </w:tc>
        <w:tc>
          <w:tcPr>
            <w:tcW w:type="dxa" w:w="7200"/>
          </w:tcPr>
          <w:p>
            <w:pPr>
              <w:spacing w:after="0"/>
            </w:pPr>
            <w:r/>
            <w:r>
              <w:rPr>
                <w:sz w:val="16"/>
              </w:rPr>
              <w:t>Read from environment only; never logged. The backend logs errors, not DSNs. MIDTRANS_SERVER_KEY absent disables the gateway rather than failing open</w:t>
            </w:r>
          </w:p>
        </w:tc>
      </w:tr>
      <w:tr>
        <w:trPr>
          <w:cantSplit/>
        </w:trPr>
        <w:tc>
          <w:tcPr>
            <w:tcW w:type="dxa" w:w="2160"/>
          </w:tcPr>
          <w:p>
            <w:pPr>
              <w:spacing w:after="0"/>
            </w:pPr>
            <w:r/>
            <w:r>
              <w:rPr>
                <w:sz w:val="16"/>
              </w:rPr>
              <w:t>Sensitive responses</w:t>
            </w:r>
          </w:p>
        </w:tc>
        <w:tc>
          <w:tcPr>
            <w:tcW w:type="dxa" w:w="7200"/>
          </w:tcPr>
          <w:p>
            <w:pPr>
              <w:spacing w:after="0"/>
            </w:pPr>
            <w:r/>
            <w:r>
              <w:rPr>
                <w:sz w:val="16"/>
              </w:rPr>
              <w:t>purchase_price gated by inventory.cost.view; payment proofs ownership-checked; buyer routes ownership-checked</w:t>
            </w:r>
          </w:p>
        </w:tc>
      </w:tr>
    </w:tbl>
    <w:p>
      <w:pPr>
        <w:spacing w:after="200"/>
      </w:pPr>
      <w:r>
        <w:rPr>
          <w:i/>
          <w:color w:val="555F6D"/>
          <w:sz w:val="17"/>
        </w:rPr>
        <w:t>Table 65. Input, upload and secret controls</w:t>
      </w:r>
    </w:p>
    <w:p>
      <w:bookmarkStart w:id="1267" w:name="_Toc1267"/>
      <w:pPr>
        <w:pStyle w:val="Heading1"/>
        <w:pageBreakBefore/>
      </w:pPr>
      <w:r>
        <w:t>22. User roles and permission matrix</w:t>
      </w:r>
      <w:bookmarkEnd w:id="1267"/>
    </w:p>
    <w:p>
      <w:bookmarkStart w:id="1268" w:name="_Toc1268"/>
      <w:pPr>
        <w:pStyle w:val="Heading2"/>
      </w:pPr>
      <w:r>
        <w:t>22.1 Permission catalogue</w:t>
      </w:r>
      <w:bookmarkEnd w:id="1268"/>
    </w:p>
    <w:p>
      <w:r>
        <w:rPr>
          <w:i w:val="0"/>
        </w:rPr>
        <w:t>The catalogue is compiled into the binary (internal/auth/catalog.go) and published by GET /api/v1/permissions, which the ERP role editor renders verbatim. The frontend holds no copy of the labels.</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7200" w:type="dxa"/>
      </w:tblPr>
      <w:tblGrid>
        <w:gridCol w:w="4824"/>
        <w:gridCol w:w="4824"/>
      </w:tblGrid>
      <w:tr>
        <w:trPr>
          <w:tblHeader w:val="true"/>
        </w:trPr>
        <w:tc>
          <w:tcPr>
            <w:tcW w:type="dxa" w:w="5760"/>
            <w:shd w:val="clear" w:color="auto" w:fill="1F3A5F"/>
          </w:tcPr>
          <w:p>
            <w:pPr>
              <w:spacing w:after="0"/>
            </w:pPr>
            <w:r/>
            <w:r>
              <w:rPr>
                <w:b/>
                <w:color w:val="FFFFFF"/>
                <w:sz w:val="16"/>
              </w:rPr>
              <w:t>Group</w:t>
            </w:r>
          </w:p>
        </w:tc>
        <w:tc>
          <w:tcPr>
            <w:tcW w:type="dxa" w:w="1440"/>
            <w:shd w:val="clear" w:color="auto" w:fill="1F3A5F"/>
          </w:tcPr>
          <w:p>
            <w:pPr>
              <w:spacing w:after="0"/>
            </w:pPr>
            <w:r/>
            <w:r>
              <w:rPr>
                <w:b/>
                <w:color w:val="FFFFFF"/>
                <w:sz w:val="16"/>
              </w:rPr>
              <w:t>Keys</w:t>
            </w:r>
          </w:p>
        </w:tc>
      </w:tr>
      <w:tr>
        <w:trPr>
          <w:cantSplit/>
        </w:trPr>
        <w:tc>
          <w:tcPr>
            <w:tcW w:type="dxa" w:w="5760"/>
          </w:tcPr>
          <w:p>
            <w:pPr>
              <w:spacing w:after="0"/>
            </w:pPr>
            <w:r/>
            <w:r>
              <w:rPr>
                <w:sz w:val="16"/>
              </w:rPr>
              <w:t>Sistem — Pengguna, Peran &amp; Toko</w:t>
            </w:r>
          </w:p>
        </w:tc>
        <w:tc>
          <w:tcPr>
            <w:tcW w:type="dxa" w:w="1440"/>
          </w:tcPr>
          <w:p>
            <w:pPr>
              <w:spacing w:after="0"/>
            </w:pPr>
            <w:r/>
            <w:r>
              <w:rPr>
                <w:sz w:val="16"/>
              </w:rPr>
              <w:t>19</w:t>
            </w:r>
          </w:p>
        </w:tc>
      </w:tr>
      <w:tr>
        <w:trPr>
          <w:cantSplit/>
        </w:trPr>
        <w:tc>
          <w:tcPr>
            <w:tcW w:type="dxa" w:w="5760"/>
          </w:tcPr>
          <w:p>
            <w:pPr>
              <w:spacing w:after="0"/>
            </w:pPr>
            <w:r/>
            <w:r>
              <w:rPr>
                <w:sz w:val="16"/>
              </w:rPr>
              <w:t>Master Data</w:t>
            </w:r>
          </w:p>
        </w:tc>
        <w:tc>
          <w:tcPr>
            <w:tcW w:type="dxa" w:w="1440"/>
          </w:tcPr>
          <w:p>
            <w:pPr>
              <w:spacing w:after="0"/>
            </w:pPr>
            <w:r/>
            <w:r>
              <w:rPr>
                <w:sz w:val="16"/>
              </w:rPr>
              <w:t>29</w:t>
            </w:r>
          </w:p>
        </w:tc>
      </w:tr>
      <w:tr>
        <w:trPr>
          <w:cantSplit/>
        </w:trPr>
        <w:tc>
          <w:tcPr>
            <w:tcW w:type="dxa" w:w="5760"/>
          </w:tcPr>
          <w:p>
            <w:pPr>
              <w:spacing w:after="0"/>
            </w:pPr>
            <w:r/>
            <w:r>
              <w:rPr>
                <w:sz w:val="16"/>
              </w:rPr>
              <w:t>Keanggotaan</w:t>
            </w:r>
          </w:p>
        </w:tc>
        <w:tc>
          <w:tcPr>
            <w:tcW w:type="dxa" w:w="1440"/>
          </w:tcPr>
          <w:p>
            <w:pPr>
              <w:spacing w:after="0"/>
            </w:pPr>
            <w:r/>
            <w:r>
              <w:rPr>
                <w:sz w:val="16"/>
              </w:rPr>
              <w:t>5</w:t>
            </w:r>
          </w:p>
        </w:tc>
      </w:tr>
      <w:tr>
        <w:trPr>
          <w:cantSplit/>
        </w:trPr>
        <w:tc>
          <w:tcPr>
            <w:tcW w:type="dxa" w:w="5760"/>
          </w:tcPr>
          <w:p>
            <w:pPr>
              <w:spacing w:after="0"/>
            </w:pPr>
            <w:r/>
            <w:r>
              <w:rPr>
                <w:sz w:val="16"/>
              </w:rPr>
              <w:t>Inventory &amp; Purchasing</w:t>
            </w:r>
          </w:p>
        </w:tc>
        <w:tc>
          <w:tcPr>
            <w:tcW w:type="dxa" w:w="1440"/>
          </w:tcPr>
          <w:p>
            <w:pPr>
              <w:spacing w:after="0"/>
            </w:pPr>
            <w:r/>
            <w:r>
              <w:rPr>
                <w:sz w:val="16"/>
              </w:rPr>
              <w:t>28</w:t>
            </w:r>
          </w:p>
        </w:tc>
      </w:tr>
      <w:tr>
        <w:trPr>
          <w:cantSplit/>
        </w:trPr>
        <w:tc>
          <w:tcPr>
            <w:tcW w:type="dxa" w:w="5760"/>
          </w:tcPr>
          <w:p>
            <w:pPr>
              <w:spacing w:after="0"/>
            </w:pPr>
            <w:r/>
            <w:r>
              <w:rPr>
                <w:sz w:val="16"/>
              </w:rPr>
              <w:t>Sales &amp; Finance</w:t>
            </w:r>
          </w:p>
        </w:tc>
        <w:tc>
          <w:tcPr>
            <w:tcW w:type="dxa" w:w="1440"/>
          </w:tcPr>
          <w:p>
            <w:pPr>
              <w:spacing w:after="0"/>
            </w:pPr>
            <w:r/>
            <w:r>
              <w:rPr>
                <w:sz w:val="16"/>
              </w:rPr>
              <w:t>35</w:t>
            </w:r>
          </w:p>
        </w:tc>
      </w:tr>
      <w:tr>
        <w:trPr>
          <w:cantSplit/>
        </w:trPr>
        <w:tc>
          <w:tcPr>
            <w:tcW w:type="dxa" w:w="5760"/>
          </w:tcPr>
          <w:p>
            <w:pPr>
              <w:spacing w:after="0"/>
            </w:pPr>
            <w:r/>
            <w:r>
              <w:rPr>
                <w:sz w:val="16"/>
              </w:rPr>
              <w:t>HR &amp; Tracking</w:t>
            </w:r>
          </w:p>
        </w:tc>
        <w:tc>
          <w:tcPr>
            <w:tcW w:type="dxa" w:w="1440"/>
          </w:tcPr>
          <w:p>
            <w:pPr>
              <w:spacing w:after="0"/>
            </w:pPr>
            <w:r/>
            <w:r>
              <w:rPr>
                <w:sz w:val="16"/>
              </w:rPr>
              <w:t>33</w:t>
            </w:r>
          </w:p>
        </w:tc>
      </w:tr>
      <w:tr>
        <w:trPr>
          <w:cantSplit/>
        </w:trPr>
        <w:tc>
          <w:tcPr>
            <w:tcW w:type="dxa" w:w="5760"/>
          </w:tcPr>
          <w:p>
            <w:pPr>
              <w:spacing w:after="0"/>
            </w:pPr>
            <w:r/>
            <w:r>
              <w:rPr>
                <w:sz w:val="16"/>
              </w:rPr>
              <w:t>Kasir &amp; Galon (POS)</w:t>
            </w:r>
          </w:p>
        </w:tc>
        <w:tc>
          <w:tcPr>
            <w:tcW w:type="dxa" w:w="1440"/>
          </w:tcPr>
          <w:p>
            <w:pPr>
              <w:spacing w:after="0"/>
            </w:pPr>
            <w:r/>
            <w:r>
              <w:rPr>
                <w:sz w:val="16"/>
              </w:rPr>
              <w:t>12</w:t>
            </w:r>
          </w:p>
        </w:tc>
      </w:tr>
      <w:tr>
        <w:trPr>
          <w:cantSplit/>
        </w:trPr>
        <w:tc>
          <w:tcPr>
            <w:tcW w:type="dxa" w:w="5760"/>
          </w:tcPr>
          <w:p>
            <w:pPr>
              <w:spacing w:after="0"/>
            </w:pPr>
            <w:r/>
            <w:r>
              <w:rPr>
                <w:sz w:val="16"/>
              </w:rPr>
              <w:t>Akuntansi</w:t>
            </w:r>
          </w:p>
        </w:tc>
        <w:tc>
          <w:tcPr>
            <w:tcW w:type="dxa" w:w="1440"/>
          </w:tcPr>
          <w:p>
            <w:pPr>
              <w:spacing w:after="0"/>
            </w:pPr>
            <w:r/>
            <w:r>
              <w:rPr>
                <w:sz w:val="16"/>
              </w:rPr>
              <w:t>18</w:t>
            </w:r>
          </w:p>
        </w:tc>
      </w:tr>
      <w:tr>
        <w:trPr>
          <w:cantSplit/>
        </w:trPr>
        <w:tc>
          <w:tcPr>
            <w:tcW w:type="dxa" w:w="5760"/>
          </w:tcPr>
          <w:p>
            <w:pPr>
              <w:spacing w:after="0"/>
            </w:pPr>
            <w:r/>
            <w:r>
              <w:rPr>
                <w:sz w:val="16"/>
              </w:rPr>
              <w:t>Distribusi</w:t>
            </w:r>
          </w:p>
        </w:tc>
        <w:tc>
          <w:tcPr>
            <w:tcW w:type="dxa" w:w="1440"/>
          </w:tcPr>
          <w:p>
            <w:pPr>
              <w:spacing w:after="0"/>
            </w:pPr>
            <w:r/>
            <w:r>
              <w:rPr>
                <w:sz w:val="16"/>
              </w:rPr>
              <w:t>13</w:t>
            </w:r>
          </w:p>
        </w:tc>
      </w:tr>
      <w:tr>
        <w:trPr>
          <w:cantSplit/>
        </w:trPr>
        <w:tc>
          <w:tcPr>
            <w:tcW w:type="dxa" w:w="5760"/>
          </w:tcPr>
          <w:p>
            <w:pPr>
              <w:spacing w:after="0"/>
            </w:pPr>
            <w:r/>
            <w:r>
              <w:rPr>
                <w:sz w:val="16"/>
              </w:rPr>
              <w:t>Dasbor &amp; Laporan</w:t>
            </w:r>
          </w:p>
        </w:tc>
        <w:tc>
          <w:tcPr>
            <w:tcW w:type="dxa" w:w="1440"/>
          </w:tcPr>
          <w:p>
            <w:pPr>
              <w:spacing w:after="0"/>
            </w:pPr>
            <w:r/>
            <w:r>
              <w:rPr>
                <w:sz w:val="16"/>
              </w:rPr>
              <w:t>4</w:t>
            </w:r>
          </w:p>
        </w:tc>
      </w:tr>
      <w:tr>
        <w:trPr>
          <w:cantSplit/>
        </w:trPr>
        <w:tc>
          <w:tcPr>
            <w:tcW w:type="dxa" w:w="5760"/>
          </w:tcPr>
          <w:p>
            <w:pPr>
              <w:spacing w:after="0"/>
            </w:pPr>
            <w:r/>
            <w:r>
              <w:rPr>
                <w:sz w:val="16"/>
              </w:rPr>
              <w:t>Keranjang</w:t>
            </w:r>
          </w:p>
        </w:tc>
        <w:tc>
          <w:tcPr>
            <w:tcW w:type="dxa" w:w="1440"/>
          </w:tcPr>
          <w:p>
            <w:pPr>
              <w:spacing w:after="0"/>
            </w:pPr>
            <w:r/>
            <w:r>
              <w:rPr>
                <w:sz w:val="16"/>
              </w:rPr>
              <w:t>2</w:t>
            </w:r>
          </w:p>
        </w:tc>
      </w:tr>
      <w:tr>
        <w:trPr>
          <w:cantSplit/>
        </w:trPr>
        <w:tc>
          <w:tcPr>
            <w:tcW w:type="dxa" w:w="5760"/>
          </w:tcPr>
          <w:p>
            <w:pPr>
              <w:spacing w:after="0"/>
            </w:pPr>
            <w:r/>
            <w:r>
              <w:rPr>
                <w:sz w:val="16"/>
              </w:rPr>
              <w:t>Layanan Bantuan &amp; Tiket Kendala</w:t>
            </w:r>
          </w:p>
        </w:tc>
        <w:tc>
          <w:tcPr>
            <w:tcW w:type="dxa" w:w="1440"/>
          </w:tcPr>
          <w:p>
            <w:pPr>
              <w:spacing w:after="0"/>
            </w:pPr>
            <w:r/>
            <w:r>
              <w:rPr>
                <w:sz w:val="16"/>
              </w:rPr>
              <w:t>3</w:t>
            </w:r>
          </w:p>
        </w:tc>
      </w:tr>
      <w:tr>
        <w:trPr>
          <w:cantSplit/>
        </w:trPr>
        <w:tc>
          <w:tcPr>
            <w:tcW w:type="dxa" w:w="5760"/>
          </w:tcPr>
          <w:p>
            <w:pPr>
              <w:spacing w:after="0"/>
            </w:pPr>
            <w:r/>
            <w:r>
              <w:rPr>
                <w:sz w:val="16"/>
              </w:rPr>
              <w:t>Total</w:t>
            </w:r>
          </w:p>
        </w:tc>
        <w:tc>
          <w:tcPr>
            <w:tcW w:type="dxa" w:w="1440"/>
          </w:tcPr>
          <w:p>
            <w:pPr>
              <w:spacing w:after="0"/>
            </w:pPr>
            <w:r/>
            <w:r>
              <w:rPr>
                <w:sz w:val="16"/>
              </w:rPr>
              <w:t>201</w:t>
            </w:r>
          </w:p>
        </w:tc>
      </w:tr>
    </w:tbl>
    <w:p>
      <w:pPr>
        <w:spacing w:after="200"/>
      </w:pPr>
      <w:r>
        <w:rPr>
          <w:i/>
          <w:color w:val="555F6D"/>
          <w:sz w:val="17"/>
        </w:rPr>
        <w:t>Table 66. Permission catalogue groups</w:t>
      </w:r>
    </w:p>
    <w:p>
      <w:bookmarkStart w:id="1269" w:name="_Toc1269"/>
      <w:pPr>
        <w:pStyle w:val="Heading2"/>
      </w:pPr>
      <w:r>
        <w:t>22.2 Roles</w:t>
      </w:r>
      <w:bookmarkEnd w:id="1269"/>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1872"/>
            <w:shd w:val="clear" w:color="auto" w:fill="1F3A5F"/>
          </w:tcPr>
          <w:p>
            <w:pPr>
              <w:spacing w:after="0"/>
            </w:pPr>
            <w:r/>
            <w:r>
              <w:rPr>
                <w:b/>
                <w:color w:val="FFFFFF"/>
                <w:sz w:val="15"/>
              </w:rPr>
              <w:t>Role</w:t>
            </w:r>
          </w:p>
        </w:tc>
        <w:tc>
          <w:tcPr>
            <w:tcW w:type="dxa" w:w="1296"/>
            <w:shd w:val="clear" w:color="auto" w:fill="1F3A5F"/>
          </w:tcPr>
          <w:p>
            <w:pPr>
              <w:spacing w:after="0"/>
            </w:pPr>
            <w:r/>
            <w:r>
              <w:rPr>
                <w:b/>
                <w:color w:val="FFFFFF"/>
                <w:sz w:val="15"/>
              </w:rPr>
              <w:t>Permission rows</w:t>
            </w:r>
          </w:p>
        </w:tc>
        <w:tc>
          <w:tcPr>
            <w:tcW w:type="dxa" w:w="6192"/>
            <w:shd w:val="clear" w:color="auto" w:fill="1F3A5F"/>
          </w:tcPr>
          <w:p>
            <w:pPr>
              <w:spacing w:after="0"/>
            </w:pPr>
            <w:r/>
            <w:r>
              <w:rPr>
                <w:b/>
                <w:color w:val="FFFFFF"/>
                <w:sz w:val="15"/>
              </w:rPr>
              <w:t>Intent</w:t>
            </w:r>
          </w:p>
        </w:tc>
      </w:tr>
      <w:tr>
        <w:trPr>
          <w:cantSplit/>
        </w:trPr>
        <w:tc>
          <w:tcPr>
            <w:tcW w:type="dxa" w:w="1872"/>
          </w:tcPr>
          <w:p>
            <w:pPr>
              <w:spacing w:after="0"/>
            </w:pPr>
            <w:r/>
            <w:r>
              <w:rPr>
                <w:sz w:val="15"/>
              </w:rPr>
              <w:t>admin</w:t>
            </w:r>
          </w:p>
        </w:tc>
        <w:tc>
          <w:tcPr>
            <w:tcW w:type="dxa" w:w="1296"/>
          </w:tcPr>
          <w:p>
            <w:pPr>
              <w:spacing w:after="0"/>
            </w:pPr>
            <w:r/>
            <w:r>
              <w:rPr>
                <w:sz w:val="15"/>
              </w:rPr>
              <w:t>2</w:t>
            </w:r>
          </w:p>
        </w:tc>
        <w:tc>
          <w:tcPr>
            <w:tcW w:type="dxa" w:w="6192"/>
          </w:tcPr>
          <w:p>
            <w:pPr>
              <w:spacing w:after="0"/>
            </w:pPr>
            <w:r/>
            <w:r>
              <w:rPr>
                <w:sz w:val="15"/>
              </w:rPr>
              <w:t>Technical superuser; bypasses every check.</w:t>
            </w:r>
          </w:p>
        </w:tc>
      </w:tr>
      <w:tr>
        <w:trPr>
          <w:cantSplit/>
        </w:trPr>
        <w:tc>
          <w:tcPr>
            <w:tcW w:type="dxa" w:w="1872"/>
          </w:tcPr>
          <w:p>
            <w:pPr>
              <w:spacing w:after="0"/>
            </w:pPr>
            <w:r/>
            <w:r>
              <w:rPr>
                <w:sz w:val="15"/>
              </w:rPr>
              <w:t>owner</w:t>
            </w:r>
          </w:p>
        </w:tc>
        <w:tc>
          <w:tcPr>
            <w:tcW w:type="dxa" w:w="1296"/>
          </w:tcPr>
          <w:p>
            <w:pPr>
              <w:spacing w:after="0"/>
            </w:pPr>
            <w:r/>
            <w:r>
              <w:rPr>
                <w:sz w:val="15"/>
              </w:rPr>
              <w:t>2</w:t>
            </w:r>
          </w:p>
        </w:tc>
        <w:tc>
          <w:tcPr>
            <w:tcW w:type="dxa" w:w="6192"/>
          </w:tcPr>
          <w:p>
            <w:pPr>
              <w:spacing w:after="0"/>
            </w:pPr>
            <w:r/>
            <w:r>
              <w:rPr>
                <w:sz w:val="15"/>
              </w:rPr>
              <w:t>Business owner; bypasses every check.</w:t>
            </w:r>
          </w:p>
        </w:tc>
      </w:tr>
      <w:tr>
        <w:trPr>
          <w:cantSplit/>
        </w:trPr>
        <w:tc>
          <w:tcPr>
            <w:tcW w:type="dxa" w:w="1872"/>
          </w:tcPr>
          <w:p>
            <w:pPr>
              <w:spacing w:after="0"/>
            </w:pPr>
            <w:r/>
            <w:r>
              <w:rPr>
                <w:sz w:val="15"/>
              </w:rPr>
              <w:t>gm</w:t>
            </w:r>
          </w:p>
        </w:tc>
        <w:tc>
          <w:tcPr>
            <w:tcW w:type="dxa" w:w="1296"/>
          </w:tcPr>
          <w:p>
            <w:pPr>
              <w:spacing w:after="0"/>
            </w:pPr>
            <w:r/>
            <w:r>
              <w:rPr>
                <w:sz w:val="15"/>
              </w:rPr>
              <w:t>29</w:t>
            </w:r>
          </w:p>
        </w:tc>
        <w:tc>
          <w:tcPr>
            <w:tcW w:type="dxa" w:w="6192"/>
          </w:tcPr>
          <w:p>
            <w:pPr>
              <w:spacing w:after="0"/>
            </w:pPr>
            <w:r/>
            <w:r>
              <w:rPr>
                <w:sz w:val="15"/>
              </w:rPr>
              <w:t>General manager: catalogue, outlets, membership tiers, consolidated reporting.</w:t>
            </w:r>
          </w:p>
        </w:tc>
      </w:tr>
      <w:tr>
        <w:trPr>
          <w:cantSplit/>
        </w:trPr>
        <w:tc>
          <w:tcPr>
            <w:tcW w:type="dxa" w:w="1872"/>
          </w:tcPr>
          <w:p>
            <w:pPr>
              <w:spacing w:after="0"/>
            </w:pPr>
            <w:r/>
            <w:r>
              <w:rPr>
                <w:sz w:val="15"/>
              </w:rPr>
              <w:t>bm</w:t>
            </w:r>
          </w:p>
        </w:tc>
        <w:tc>
          <w:tcPr>
            <w:tcW w:type="dxa" w:w="1296"/>
          </w:tcPr>
          <w:p>
            <w:pPr>
              <w:spacing w:after="0"/>
            </w:pPr>
            <w:r/>
            <w:r>
              <w:rPr>
                <w:sz w:val="15"/>
              </w:rPr>
              <w:t>25</w:t>
            </w:r>
          </w:p>
        </w:tc>
        <w:tc>
          <w:tcPr>
            <w:tcW w:type="dxa" w:w="6192"/>
          </w:tcPr>
          <w:p>
            <w:pPr>
              <w:spacing w:after="0"/>
            </w:pPr>
            <w:r/>
            <w:r>
              <w:rPr>
                <w:sz w:val="15"/>
              </w:rPr>
              <w:t>Branch manager: distribution, invoicing, sales supervision.</w:t>
            </w:r>
          </w:p>
        </w:tc>
      </w:tr>
      <w:tr>
        <w:trPr>
          <w:cantSplit/>
        </w:trPr>
        <w:tc>
          <w:tcPr>
            <w:tcW w:type="dxa" w:w="1872"/>
          </w:tcPr>
          <w:p>
            <w:pPr>
              <w:spacing w:after="0"/>
            </w:pPr>
            <w:r/>
            <w:r>
              <w:rPr>
                <w:sz w:val="15"/>
              </w:rPr>
              <w:t>spv</w:t>
            </w:r>
          </w:p>
        </w:tc>
        <w:tc>
          <w:tcPr>
            <w:tcW w:type="dxa" w:w="1296"/>
          </w:tcPr>
          <w:p>
            <w:pPr>
              <w:spacing w:after="0"/>
            </w:pPr>
            <w:r/>
            <w:r>
              <w:rPr>
                <w:sz w:val="15"/>
              </w:rPr>
              <w:t>19</w:t>
            </w:r>
          </w:p>
        </w:tc>
        <w:tc>
          <w:tcPr>
            <w:tcW w:type="dxa" w:w="6192"/>
          </w:tcPr>
          <w:p>
            <w:pPr>
              <w:spacing w:after="0"/>
            </w:pPr>
            <w:r/>
            <w:r>
              <w:rPr>
                <w:sz w:val="15"/>
              </w:rPr>
              <w:t>Supervisor: sales-order supervision and tracking.</w:t>
            </w:r>
          </w:p>
        </w:tc>
      </w:tr>
      <w:tr>
        <w:trPr>
          <w:cantSplit/>
        </w:trPr>
        <w:tc>
          <w:tcPr>
            <w:tcW w:type="dxa" w:w="1872"/>
          </w:tcPr>
          <w:p>
            <w:pPr>
              <w:spacing w:after="0"/>
            </w:pPr>
            <w:r/>
            <w:r>
              <w:rPr>
                <w:sz w:val="15"/>
              </w:rPr>
              <w:t>sales</w:t>
            </w:r>
          </w:p>
        </w:tc>
        <w:tc>
          <w:tcPr>
            <w:tcW w:type="dxa" w:w="1296"/>
          </w:tcPr>
          <w:p>
            <w:pPr>
              <w:spacing w:after="0"/>
            </w:pPr>
            <w:r/>
            <w:r>
              <w:rPr>
                <w:sz w:val="15"/>
              </w:rPr>
              <w:t>20</w:t>
            </w:r>
          </w:p>
        </w:tc>
        <w:tc>
          <w:tcPr>
            <w:tcW w:type="dxa" w:w="6192"/>
          </w:tcPr>
          <w:p>
            <w:pPr>
              <w:spacing w:after="0"/>
            </w:pPr>
            <w:r/>
            <w:r>
              <w:rPr>
                <w:sz w:val="15"/>
              </w:rPr>
              <w:t>Field sales: own orders, visits, customers.</w:t>
            </w:r>
          </w:p>
        </w:tc>
      </w:tr>
      <w:tr>
        <w:trPr>
          <w:cantSplit/>
        </w:trPr>
        <w:tc>
          <w:tcPr>
            <w:tcW w:type="dxa" w:w="1872"/>
          </w:tcPr>
          <w:p>
            <w:pPr>
              <w:spacing w:after="0"/>
            </w:pPr>
            <w:r/>
            <w:r>
              <w:rPr>
                <w:sz w:val="15"/>
              </w:rPr>
              <w:t>store_manager</w:t>
            </w:r>
          </w:p>
        </w:tc>
        <w:tc>
          <w:tcPr>
            <w:tcW w:type="dxa" w:w="1296"/>
          </w:tcPr>
          <w:p>
            <w:pPr>
              <w:spacing w:after="0"/>
            </w:pPr>
            <w:r/>
            <w:r>
              <w:rPr>
                <w:sz w:val="15"/>
              </w:rPr>
              <w:t>48</w:t>
            </w:r>
          </w:p>
        </w:tc>
        <w:tc>
          <w:tcPr>
            <w:tcW w:type="dxa" w:w="6192"/>
          </w:tcPr>
          <w:p>
            <w:pPr>
              <w:spacing w:after="0"/>
            </w:pPr>
            <w:r/>
            <w:r>
              <w:rPr>
                <w:sz w:val="15"/>
              </w:rPr>
              <w:t>Outlet head: outlet stock, outlet cashier accounts, outlet reports.</w:t>
            </w:r>
          </w:p>
        </w:tc>
      </w:tr>
      <w:tr>
        <w:trPr>
          <w:cantSplit/>
        </w:trPr>
        <w:tc>
          <w:tcPr>
            <w:tcW w:type="dxa" w:w="1872"/>
          </w:tcPr>
          <w:p>
            <w:pPr>
              <w:spacing w:after="0"/>
            </w:pPr>
            <w:r/>
            <w:r>
              <w:rPr>
                <w:sz w:val="15"/>
              </w:rPr>
              <w:t>cashier</w:t>
            </w:r>
          </w:p>
        </w:tc>
        <w:tc>
          <w:tcPr>
            <w:tcW w:type="dxa" w:w="1296"/>
          </w:tcPr>
          <w:p>
            <w:pPr>
              <w:spacing w:after="0"/>
            </w:pPr>
            <w:r/>
            <w:r>
              <w:rPr>
                <w:sz w:val="15"/>
              </w:rPr>
              <w:t>36</w:t>
            </w:r>
          </w:p>
        </w:tc>
        <w:tc>
          <w:tcPr>
            <w:tcW w:type="dxa" w:w="6192"/>
          </w:tcPr>
          <w:p>
            <w:pPr>
              <w:spacing w:after="0"/>
            </w:pPr>
            <w:r/>
            <w:r>
              <w:rPr>
                <w:sz w:val="15"/>
              </w:rPr>
              <w:t>Cashier: sell, return, shift, customer enrolment.</w:t>
            </w:r>
          </w:p>
        </w:tc>
      </w:tr>
      <w:tr>
        <w:trPr>
          <w:cantSplit/>
        </w:trPr>
        <w:tc>
          <w:tcPr>
            <w:tcW w:type="dxa" w:w="1872"/>
          </w:tcPr>
          <w:p>
            <w:pPr>
              <w:spacing w:after="0"/>
            </w:pPr>
            <w:r/>
            <w:r>
              <w:rPr>
                <w:sz w:val="15"/>
              </w:rPr>
              <w:t>buyer</w:t>
            </w:r>
          </w:p>
        </w:tc>
        <w:tc>
          <w:tcPr>
            <w:tcW w:type="dxa" w:w="1296"/>
          </w:tcPr>
          <w:p>
            <w:pPr>
              <w:spacing w:after="0"/>
            </w:pPr>
            <w:r/>
            <w:r>
              <w:rPr>
                <w:sz w:val="15"/>
              </w:rPr>
              <w:t>6</w:t>
            </w:r>
          </w:p>
        </w:tc>
        <w:tc>
          <w:tcPr>
            <w:tcW w:type="dxa" w:w="6192"/>
          </w:tcPr>
          <w:p>
            <w:pPr>
              <w:spacing w:after="0"/>
            </w:pPr>
            <w:r/>
            <w:r>
              <w:rPr>
                <w:sz w:val="15"/>
              </w:rPr>
              <w:t>Storefront buyer: own cart, orders, invoices, returns.</w:t>
            </w:r>
          </w:p>
        </w:tc>
      </w:tr>
      <w:tr>
        <w:trPr>
          <w:cantSplit/>
        </w:trPr>
        <w:tc>
          <w:tcPr>
            <w:tcW w:type="dxa" w:w="1872"/>
          </w:tcPr>
          <w:p>
            <w:pPr>
              <w:spacing w:after="0"/>
            </w:pPr>
            <w:r/>
            <w:r>
              <w:rPr>
                <w:sz w:val="15"/>
              </w:rPr>
              <w:t>finance</w:t>
            </w:r>
          </w:p>
        </w:tc>
        <w:tc>
          <w:tcPr>
            <w:tcW w:type="dxa" w:w="1296"/>
          </w:tcPr>
          <w:p>
            <w:pPr>
              <w:spacing w:after="0"/>
            </w:pPr>
            <w:r/>
            <w:r>
              <w:rPr>
                <w:sz w:val="15"/>
              </w:rPr>
              <w:t>41</w:t>
            </w:r>
          </w:p>
        </w:tc>
        <w:tc>
          <w:tcPr>
            <w:tcW w:type="dxa" w:w="6192"/>
          </w:tcPr>
          <w:p>
            <w:pPr>
              <w:spacing w:after="0"/>
            </w:pPr>
            <w:r/>
            <w:r>
              <w:rPr>
                <w:sz w:val="15"/>
              </w:rPr>
              <w:t>Finance operator: invoices, payments, cashflow, journals, reports.</w:t>
            </w:r>
          </w:p>
        </w:tc>
      </w:tr>
      <w:tr>
        <w:trPr>
          <w:cantSplit/>
        </w:trPr>
        <w:tc>
          <w:tcPr>
            <w:tcW w:type="dxa" w:w="1872"/>
          </w:tcPr>
          <w:p>
            <w:pPr>
              <w:spacing w:after="0"/>
            </w:pPr>
            <w:r/>
            <w:r>
              <w:rPr>
                <w:sz w:val="15"/>
              </w:rPr>
              <w:t>finance_head</w:t>
            </w:r>
          </w:p>
        </w:tc>
        <w:tc>
          <w:tcPr>
            <w:tcW w:type="dxa" w:w="1296"/>
          </w:tcPr>
          <w:p>
            <w:pPr>
              <w:spacing w:after="0"/>
            </w:pPr>
            <w:r/>
            <w:r>
              <w:rPr>
                <w:sz w:val="15"/>
              </w:rPr>
              <w:t>39</w:t>
            </w:r>
          </w:p>
        </w:tc>
        <w:tc>
          <w:tcPr>
            <w:tcW w:type="dxa" w:w="6192"/>
          </w:tcPr>
          <w:p>
            <w:pPr>
              <w:spacing w:after="0"/>
            </w:pPr>
            <w:r/>
            <w:r>
              <w:rPr>
                <w:sz w:val="15"/>
              </w:rPr>
              <w:t>Head of finance: same as finance plus approvals.</w:t>
            </w:r>
          </w:p>
        </w:tc>
      </w:tr>
      <w:tr>
        <w:trPr>
          <w:cantSplit/>
        </w:trPr>
        <w:tc>
          <w:tcPr>
            <w:tcW w:type="dxa" w:w="1872"/>
          </w:tcPr>
          <w:p>
            <w:pPr>
              <w:spacing w:after="0"/>
            </w:pPr>
            <w:r/>
            <w:r>
              <w:rPr>
                <w:sz w:val="15"/>
              </w:rPr>
              <w:t>warehouse</w:t>
            </w:r>
          </w:p>
        </w:tc>
        <w:tc>
          <w:tcPr>
            <w:tcW w:type="dxa" w:w="1296"/>
          </w:tcPr>
          <w:p>
            <w:pPr>
              <w:spacing w:after="0"/>
            </w:pPr>
            <w:r/>
            <w:r>
              <w:rPr>
                <w:sz w:val="15"/>
              </w:rPr>
              <w:t>29</w:t>
            </w:r>
          </w:p>
        </w:tc>
        <w:tc>
          <w:tcPr>
            <w:tcW w:type="dxa" w:w="6192"/>
          </w:tcPr>
          <w:p>
            <w:pPr>
              <w:spacing w:after="0"/>
            </w:pPr>
            <w:r/>
            <w:r>
              <w:rPr>
                <w:sz w:val="15"/>
              </w:rPr>
              <w:t>Warehouse operator: stock in/out, opname, transfers, goods receipts.</w:t>
            </w:r>
          </w:p>
        </w:tc>
      </w:tr>
      <w:tr>
        <w:trPr>
          <w:cantSplit/>
        </w:trPr>
        <w:tc>
          <w:tcPr>
            <w:tcW w:type="dxa" w:w="1872"/>
          </w:tcPr>
          <w:p>
            <w:pPr>
              <w:spacing w:after="0"/>
            </w:pPr>
            <w:r/>
            <w:r>
              <w:rPr>
                <w:sz w:val="15"/>
              </w:rPr>
              <w:t>hr_manager</w:t>
            </w:r>
          </w:p>
        </w:tc>
        <w:tc>
          <w:tcPr>
            <w:tcW w:type="dxa" w:w="1296"/>
          </w:tcPr>
          <w:p>
            <w:pPr>
              <w:spacing w:after="0"/>
            </w:pPr>
            <w:r/>
            <w:r>
              <w:rPr>
                <w:sz w:val="15"/>
              </w:rPr>
              <w:t>6</w:t>
            </w:r>
          </w:p>
        </w:tc>
        <w:tc>
          <w:tcPr>
            <w:tcW w:type="dxa" w:w="6192"/>
          </w:tcPr>
          <w:p>
            <w:pPr>
              <w:spacing w:after="0"/>
            </w:pPr>
            <w:r/>
            <w:r>
              <w:rPr>
                <w:sz w:val="15"/>
              </w:rPr>
              <w:t>HR manager: employees, attendance, leave, payroll, performance.</w:t>
            </w:r>
          </w:p>
        </w:tc>
      </w:tr>
      <w:tr>
        <w:trPr>
          <w:cantSplit/>
        </w:trPr>
        <w:tc>
          <w:tcPr>
            <w:tcW w:type="dxa" w:w="1872"/>
          </w:tcPr>
          <w:p>
            <w:pPr>
              <w:spacing w:after="0"/>
            </w:pPr>
            <w:r/>
            <w:r>
              <w:rPr>
                <w:sz w:val="15"/>
              </w:rPr>
              <w:t>hr_staff</w:t>
            </w:r>
          </w:p>
        </w:tc>
        <w:tc>
          <w:tcPr>
            <w:tcW w:type="dxa" w:w="1296"/>
          </w:tcPr>
          <w:p>
            <w:pPr>
              <w:spacing w:after="0"/>
            </w:pPr>
            <w:r/>
            <w:r>
              <w:rPr>
                <w:sz w:val="15"/>
              </w:rPr>
              <w:t>0</w:t>
            </w:r>
          </w:p>
        </w:tc>
        <w:tc>
          <w:tcPr>
            <w:tcW w:type="dxa" w:w="6192"/>
          </w:tcPr>
          <w:p>
            <w:pPr>
              <w:spacing w:after="0"/>
            </w:pPr>
            <w:r/>
            <w:r>
              <w:rPr>
                <w:sz w:val="15"/>
              </w:rPr>
              <w:t>HR staff: no rows after the launch reset — deny-all until granted.</w:t>
            </w:r>
          </w:p>
        </w:tc>
      </w:tr>
      <w:tr>
        <w:trPr>
          <w:cantSplit/>
        </w:trPr>
        <w:tc>
          <w:tcPr>
            <w:tcW w:type="dxa" w:w="1872"/>
          </w:tcPr>
          <w:p>
            <w:pPr>
              <w:spacing w:after="0"/>
            </w:pPr>
            <w:r/>
            <w:r>
              <w:rPr>
                <w:sz w:val="15"/>
              </w:rPr>
              <w:t>employee</w:t>
            </w:r>
          </w:p>
        </w:tc>
        <w:tc>
          <w:tcPr>
            <w:tcW w:type="dxa" w:w="1296"/>
          </w:tcPr>
          <w:p>
            <w:pPr>
              <w:spacing w:after="0"/>
            </w:pPr>
            <w:r/>
            <w:r>
              <w:rPr>
                <w:sz w:val="15"/>
              </w:rPr>
              <w:t>2</w:t>
            </w:r>
          </w:p>
        </w:tc>
        <w:tc>
          <w:tcPr>
            <w:tcW w:type="dxa" w:w="6192"/>
          </w:tcPr>
          <w:p>
            <w:pPr>
              <w:spacing w:after="0"/>
            </w:pPr>
            <w:r/>
            <w:r>
              <w:rPr>
                <w:sz w:val="15"/>
              </w:rPr>
              <w:t>Employee: self-service only (clock in/out, own attendance, own payslips).</w:t>
            </w:r>
          </w:p>
        </w:tc>
      </w:tr>
      <w:tr>
        <w:trPr>
          <w:cantSplit/>
        </w:trPr>
        <w:tc>
          <w:tcPr>
            <w:tcW w:type="dxa" w:w="1872"/>
          </w:tcPr>
          <w:p>
            <w:pPr>
              <w:spacing w:after="0"/>
            </w:pPr>
            <w:r/>
            <w:r>
              <w:rPr>
                <w:sz w:val="15"/>
              </w:rPr>
              <w:t>system</w:t>
            </w:r>
          </w:p>
        </w:tc>
        <w:tc>
          <w:tcPr>
            <w:tcW w:type="dxa" w:w="1296"/>
          </w:tcPr>
          <w:p>
            <w:pPr>
              <w:spacing w:after="0"/>
            </w:pPr>
            <w:r/>
            <w:r>
              <w:rPr>
                <w:sz w:val="15"/>
              </w:rPr>
              <w:t>0</w:t>
            </w:r>
          </w:p>
        </w:tc>
        <w:tc>
          <w:tcPr>
            <w:tcW w:type="dxa" w:w="6192"/>
          </w:tcPr>
          <w:p>
            <w:pPr>
              <w:spacing w:after="0"/>
            </w:pPr>
            <w:r/>
            <w:r>
              <w:rPr>
                <w:sz w:val="15"/>
              </w:rPr>
              <w:t>System integration identity: no rows after the launch reset — deny-all until granted.</w:t>
            </w:r>
          </w:p>
        </w:tc>
      </w:tr>
    </w:tbl>
    <w:p>
      <w:pPr>
        <w:spacing w:after="200"/>
      </w:pPr>
      <w:r>
        <w:rPr>
          <w:i/>
          <w:color w:val="555F6D"/>
          <w:sz w:val="17"/>
        </w:rPr>
        <w:t>Table 67. Seeded roles and their row counts (from role_permissions after all migrations)</w:t>
      </w:r>
    </w:p>
    <w:p>
      <w:pPr>
        <w:spacing w:after="160"/>
        <w:ind w:left="216"/>
        <w:pBdr>
          <w:left w:val="single" w:sz="18" w:space="6" w:color="1F4E79"/>
        </w:pBdr>
      </w:pPr>
      <w:r>
        <w:rPr>
          <w:b/>
          <w:color w:val="1F4E79"/>
          <w:sz w:val="19"/>
        </w:rPr>
        <w:t xml:space="preserve">Row counts are not capability counts: </w:t>
      </w:r>
      <w:r>
        <w:rPr>
          <w:sz w:val="19"/>
        </w:rPr>
        <w:t>A single glob row such as 'hr.*' expands to many keys at evaluation time, so hr_manager's 6 rows cover the whole HR surface while store_manager's 48 rows are mostly explicit keys. Count rows, never infer breadth from them.</w:t>
      </w:r>
    </w:p>
    <w:p>
      <w:bookmarkStart w:id="1270" w:name="_Toc1270"/>
      <w:pPr>
        <w:pStyle w:val="Heading2"/>
      </w:pPr>
      <w:r>
        <w:t>22.3 Role × capability matrix (measured)</w:t>
      </w:r>
      <w:bookmarkEnd w:id="1270"/>
    </w:p>
    <w:p>
      <w:r>
        <w:rPr>
          <w:i w:val="0"/>
        </w:rPr>
        <w:t>This matrix is not a design intent. It was computed by expanding every role_permissions row with the same glob rule the backend uses (internal/auth/matrix.go globsFor + matchesAnyGlob) on a database with all 123 migrations applied. A dash means the role holds no grant for that key, so the API answers 403. admin and owner are omitted because they bypass every check.</w:t>
      </w:r>
    </w:p>
    <w:p>
      <w:pPr>
        <w:sectPr>
          <w:pgSz w:w="12240" w:h="15840"/>
          <w:pgMar w:top="1224" w:right="1296" w:bottom="1152" w:left="1296" w:header="720" w:footer="720" w:gutter="0"/>
          <w:cols w:space="720"/>
          <w:docGrid w:linePitch="360"/>
        </w:sectPr>
      </w:pP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1176"/>
        <w:gridCol w:w="1176"/>
        <w:gridCol w:w="1176"/>
        <w:gridCol w:w="1176"/>
        <w:gridCol w:w="1176"/>
        <w:gridCol w:w="1176"/>
        <w:gridCol w:w="1176"/>
        <w:gridCol w:w="1176"/>
        <w:gridCol w:w="1176"/>
        <w:gridCol w:w="1176"/>
        <w:gridCol w:w="1176"/>
        <w:gridCol w:w="1176"/>
      </w:tblGrid>
      <w:tr>
        <w:trPr>
          <w:tblHeader w:val="true"/>
        </w:trPr>
        <w:tc>
          <w:tcPr>
            <w:tcW w:type="dxa" w:w="4311"/>
            <w:shd w:val="clear" w:color="auto" w:fill="1F3A5F"/>
          </w:tcPr>
          <w:p>
            <w:pPr>
              <w:spacing w:after="0"/>
            </w:pPr>
            <w:r/>
            <w:r>
              <w:rPr>
                <w:b/>
                <w:color w:val="FFFFFF"/>
                <w:sz w:val="14"/>
              </w:rPr>
              <w:t>Surface (permission key)</w:t>
            </w:r>
          </w:p>
        </w:tc>
        <w:tc>
          <w:tcPr>
            <w:tcW w:type="dxa" w:w="891"/>
            <w:shd w:val="clear" w:color="auto" w:fill="1F3A5F"/>
          </w:tcPr>
          <w:p>
            <w:pPr>
              <w:spacing w:after="0"/>
            </w:pPr>
            <w:r/>
            <w:r>
              <w:rPr>
                <w:b/>
                <w:color w:val="FFFFFF"/>
                <w:sz w:val="14"/>
              </w:rPr>
              <w:t>gm</w:t>
            </w:r>
          </w:p>
        </w:tc>
        <w:tc>
          <w:tcPr>
            <w:tcW w:type="dxa" w:w="891"/>
            <w:shd w:val="clear" w:color="auto" w:fill="1F3A5F"/>
          </w:tcPr>
          <w:p>
            <w:pPr>
              <w:spacing w:after="0"/>
            </w:pPr>
            <w:r/>
            <w:r>
              <w:rPr>
                <w:b/>
                <w:color w:val="FFFFFF"/>
                <w:sz w:val="14"/>
              </w:rPr>
              <w:t>bm</w:t>
            </w:r>
          </w:p>
        </w:tc>
        <w:tc>
          <w:tcPr>
            <w:tcW w:type="dxa" w:w="891"/>
            <w:shd w:val="clear" w:color="auto" w:fill="1F3A5F"/>
          </w:tcPr>
          <w:p>
            <w:pPr>
              <w:spacing w:after="0"/>
            </w:pPr>
            <w:r/>
            <w:r>
              <w:rPr>
                <w:b/>
                <w:color w:val="FFFFFF"/>
                <w:sz w:val="14"/>
              </w:rPr>
              <w:t>spv</w:t>
            </w:r>
          </w:p>
        </w:tc>
        <w:tc>
          <w:tcPr>
            <w:tcW w:type="dxa" w:w="891"/>
            <w:shd w:val="clear" w:color="auto" w:fill="1F3A5F"/>
          </w:tcPr>
          <w:p>
            <w:pPr>
              <w:spacing w:after="0"/>
            </w:pPr>
            <w:r/>
            <w:r>
              <w:rPr>
                <w:b/>
                <w:color w:val="FFFFFF"/>
                <w:sz w:val="14"/>
              </w:rPr>
              <w:t>store_manager</w:t>
            </w:r>
          </w:p>
        </w:tc>
        <w:tc>
          <w:tcPr>
            <w:tcW w:type="dxa" w:w="891"/>
            <w:shd w:val="clear" w:color="auto" w:fill="1F3A5F"/>
          </w:tcPr>
          <w:p>
            <w:pPr>
              <w:spacing w:after="0"/>
            </w:pPr>
            <w:r/>
            <w:r>
              <w:rPr>
                <w:b/>
                <w:color w:val="FFFFFF"/>
                <w:sz w:val="14"/>
              </w:rPr>
              <w:t>cashier</w:t>
            </w:r>
          </w:p>
        </w:tc>
        <w:tc>
          <w:tcPr>
            <w:tcW w:type="dxa" w:w="891"/>
            <w:shd w:val="clear" w:color="auto" w:fill="1F3A5F"/>
          </w:tcPr>
          <w:p>
            <w:pPr>
              <w:spacing w:after="0"/>
            </w:pPr>
            <w:r/>
            <w:r>
              <w:rPr>
                <w:b/>
                <w:color w:val="FFFFFF"/>
                <w:sz w:val="14"/>
              </w:rPr>
              <w:t>finance</w:t>
            </w:r>
          </w:p>
        </w:tc>
        <w:tc>
          <w:tcPr>
            <w:tcW w:type="dxa" w:w="891"/>
            <w:shd w:val="clear" w:color="auto" w:fill="1F3A5F"/>
          </w:tcPr>
          <w:p>
            <w:pPr>
              <w:spacing w:after="0"/>
            </w:pPr>
            <w:r/>
            <w:r>
              <w:rPr>
                <w:b/>
                <w:color w:val="FFFFFF"/>
                <w:sz w:val="14"/>
              </w:rPr>
              <w:t>finance_head</w:t>
            </w:r>
          </w:p>
        </w:tc>
        <w:tc>
          <w:tcPr>
            <w:tcW w:type="dxa" w:w="891"/>
            <w:shd w:val="clear" w:color="auto" w:fill="1F3A5F"/>
          </w:tcPr>
          <w:p>
            <w:pPr>
              <w:spacing w:after="0"/>
            </w:pPr>
            <w:r/>
            <w:r>
              <w:rPr>
                <w:b/>
                <w:color w:val="FFFFFF"/>
                <w:sz w:val="14"/>
              </w:rPr>
              <w:t>warehouse</w:t>
            </w:r>
          </w:p>
        </w:tc>
        <w:tc>
          <w:tcPr>
            <w:tcW w:type="dxa" w:w="891"/>
            <w:shd w:val="clear" w:color="auto" w:fill="1F3A5F"/>
          </w:tcPr>
          <w:p>
            <w:pPr>
              <w:spacing w:after="0"/>
            </w:pPr>
            <w:r/>
            <w:r>
              <w:rPr>
                <w:b/>
                <w:color w:val="FFFFFF"/>
                <w:sz w:val="14"/>
              </w:rPr>
              <w:t>hr_manager</w:t>
            </w:r>
          </w:p>
        </w:tc>
        <w:tc>
          <w:tcPr>
            <w:tcW w:type="dxa" w:w="891"/>
            <w:shd w:val="clear" w:color="auto" w:fill="1F3A5F"/>
          </w:tcPr>
          <w:p>
            <w:pPr>
              <w:spacing w:after="0"/>
            </w:pPr>
            <w:r/>
            <w:r>
              <w:rPr>
                <w:b/>
                <w:color w:val="FFFFFF"/>
                <w:sz w:val="14"/>
              </w:rPr>
              <w:t>sales</w:t>
            </w:r>
          </w:p>
        </w:tc>
        <w:tc>
          <w:tcPr>
            <w:tcW w:type="dxa" w:w="891"/>
            <w:shd w:val="clear" w:color="auto" w:fill="1F3A5F"/>
          </w:tcPr>
          <w:p>
            <w:pPr>
              <w:spacing w:after="0"/>
            </w:pPr>
            <w:r/>
            <w:r>
              <w:rPr>
                <w:b/>
                <w:color w:val="FFFFFF"/>
                <w:sz w:val="14"/>
              </w:rPr>
              <w:t>buyer</w:t>
            </w:r>
          </w:p>
        </w:tc>
      </w:tr>
      <w:tr>
        <w:trPr>
          <w:cantSplit/>
        </w:trPr>
        <w:tc>
          <w:tcPr>
            <w:tcW w:type="dxa" w:w="4311"/>
          </w:tcPr>
          <w:p>
            <w:pPr>
              <w:spacing w:after="0"/>
            </w:pPr>
            <w:r/>
            <w:r>
              <w:rPr>
                <w:sz w:val="14"/>
              </w:rPr>
              <w:t>Catalogue write (product) — masterdata.products.create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Category / unit / brand write — masterdata.categories.create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Supplier write — masterdata.suppliers.create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Supplier read — masterdata.suppliers.view</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Customer write — masterdata.customers.create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Stock in / out — inventory.stock-in.create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Opname — inventory.opnames.create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Transfer — inventory.transfers.create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Warehouse master write — inventory.warehouses.create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Purchase order — purchasing.purchase-orders.create</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PO approve — purchasing.purchase-orders.approve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Goods receipt — purchasing.goods-receipts.create</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Sales order create — sales.sales-orders.create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POS sale — sales.pos.create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Return — sales.returns.create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Sales voucher read — sales.sales-vouchers.view</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Invoice — fakturisasi.invoices.create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Payment verify — fakturisasi.payments.verify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Cashflow write — finance.cashflows.create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Financial reports — finance.reports.view</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Journal create — accounting.journals.create</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w:t>
            </w:r>
          </w:p>
        </w:tc>
      </w:tr>
      <w:tr>
        <w:trPr>
          <w:cantSplit/>
        </w:trPr>
        <w:tc>
          <w:tcPr>
            <w:tcW w:type="dxa" w:w="4311"/>
          </w:tcPr>
          <w:p>
            <w:pPr>
              <w:spacing w:after="0"/>
            </w:pPr>
            <w:r/>
            <w:r>
              <w:rPr>
                <w:sz w:val="14"/>
              </w:rPr>
              <w:t>Journal post — accounting.journals.post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COA read — accounting.accounts.view</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Payroll — hr.payrolls.generate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User management — system.users.create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Role matrix — system.roles.create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Activity log — system.activity-logs.view</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Store management — system.stores.create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Report template — system.reports.manage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Delivery order — distribution.delivery-orders.create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Dispatch — distribution.dispatches.create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Shipment deliver — distribution.shipments.deliver</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Sales tracking map — sales_tracking.locations.view</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Cost visibility — inventory.cost.view</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Tier pricing — masterdata.memberships.tiers.manage</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r>
      <w:tr>
        <w:trPr>
          <w:cantSplit/>
        </w:trPr>
        <w:tc>
          <w:tcPr>
            <w:tcW w:type="dxa" w:w="4311"/>
          </w:tcPr>
          <w:p>
            <w:pPr>
              <w:spacing w:after="0"/>
            </w:pPr>
            <w:r/>
            <w:r>
              <w:rPr>
                <w:sz w:val="14"/>
              </w:rPr>
              <w:t>Membership enrol — masterdata.memberships.create</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Y</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w:t>
            </w:r>
          </w:p>
        </w:tc>
        <w:tc>
          <w:tcPr>
            <w:tcW w:type="dxa" w:w="891"/>
          </w:tcPr>
          <w:p>
            <w:pPr>
              <w:spacing w:after="0"/>
            </w:pPr>
            <w:r/>
            <w:r>
              <w:rPr>
                <w:sz w:val="14"/>
              </w:rPr>
              <w:t>Y</w:t>
            </w:r>
          </w:p>
        </w:tc>
        <w:tc>
          <w:tcPr>
            <w:tcW w:type="dxa" w:w="891"/>
          </w:tcPr>
          <w:p>
            <w:pPr>
              <w:spacing w:after="0"/>
            </w:pPr>
            <w:r/>
            <w:r>
              <w:rPr>
                <w:sz w:val="14"/>
              </w:rPr>
              <w:t>—</w:t>
            </w:r>
          </w:p>
        </w:tc>
      </w:tr>
    </w:tbl>
    <w:p>
      <w:pPr>
        <w:spacing w:after="200"/>
      </w:pPr>
      <w:r>
        <w:rPr>
          <w:i/>
          <w:color w:val="555F6D"/>
          <w:sz w:val="17"/>
        </w:rPr>
        <w:t>Table 68. Role × capability matrix, measured from role_permissions after all migrations</w:t>
      </w:r>
    </w:p>
    <w:p>
      <w:pPr>
        <w:sectPr>
          <w:pgSz w:w="15840" w:h="12240" w:orient="landscape"/>
          <w:pgMar w:top="1008" w:right="864" w:bottom="864" w:left="864" w:header="720" w:footer="720" w:gutter="0"/>
          <w:cols w:space="720"/>
          <w:docGrid w:linePitch="360"/>
        </w:sectPr>
      </w:pPr>
    </w:p>
    <w:p>
      <w:pPr>
        <w:spacing w:after="160"/>
        <w:ind w:left="216"/>
        <w:pBdr>
          <w:left w:val="single" w:sz="18" w:space="6" w:color="9B2C2C"/>
        </w:pBdr>
      </w:pPr>
      <w:r>
        <w:rPr>
          <w:b/>
          <w:color w:val="9B2C2C"/>
          <w:sz w:val="19"/>
        </w:rPr>
        <w:t xml:space="preserve">Read this before planning any rollout: </w:t>
      </w:r>
      <w:r>
        <w:rPr>
          <w:sz w:val="19"/>
        </w:rPr>
        <w:t>76 of the 201 catalogue keys are held by no role at all after a clean migration, and 71 of those are gated on a live route: the whole catalogue-write family, supplier read, every financial report, the chart of accounts, user/role administration, the activity log, store administration and every distribution key. On a fresh deployment only admin and owner can perform those actions. See findings F-22 and F-23; the intended matrix is recoverable from the pre-000061 state (860 rows) through PUT /role-permissions.</w:t>
      </w:r>
    </w:p>
    <w:p>
      <w:bookmarkStart w:id="1271" w:name="_Toc1271"/>
      <w:pPr>
        <w:pStyle w:val="Heading2"/>
      </w:pPr>
      <w:r>
        <w:t>22.4 UI visibility vs backend enforcement</w:t>
      </w:r>
      <w:bookmarkEnd w:id="1271"/>
    </w:p>
    <w:p>
      <w:r>
        <w:rPr>
          <w:i w:val="0"/>
        </w:rPr>
        <w:t>The ERP hides a page when auth.can(meta.perm) is false; the POS redirects to /pos when the permission is missing. Neither is a security control. The server decides: a hidden page can still be called by URL or by curl, and the API answers 403. Conversely, a visible page can fail with 403 if the matrix changed after the session hydrated — the ERP re-syncs /auth/me on navigation to reduce that window.</w:t>
      </w:r>
    </w:p>
    <w:p>
      <w:bookmarkStart w:id="1272" w:name="_Toc1272"/>
      <w:pPr>
        <w:pStyle w:val="Heading1"/>
      </w:pPr>
      <w:r>
        <w:t>23. Configuration and environment variables</w:t>
      </w:r>
      <w:bookmarkEnd w:id="1272"/>
    </w:p>
    <w:p>
      <w:bookmarkStart w:id="1273" w:name="_Toc1273"/>
      <w:pPr>
        <w:pStyle w:val="Heading2"/>
      </w:pPr>
      <w:r>
        <w:t>23.1 Backend variables</w:t>
      </w:r>
      <w:bookmarkEnd w:id="1273"/>
    </w:p>
    <w:p>
      <w:r>
        <w:rPr>
          <w:i w:val="0"/>
        </w:rPr>
        <w:t>Every variable read by pkg/config.Load(), with its default, whether it is required, whether it carries a secret, and what happens when it is missing or invalid. No real value is reproduced here.</w:t>
      </w:r>
    </w:p>
    <w:p>
      <w:pPr>
        <w:sectPr>
          <w:pgSz w:w="12240" w:h="15840"/>
          <w:pgMar w:top="1224" w:right="1296" w:bottom="1152" w:left="1296" w:header="720" w:footer="720" w:gutter="0"/>
          <w:cols w:space="720"/>
          <w:docGrid w:linePitch="360"/>
        </w:sectPr>
      </w:pP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352"/>
        <w:gridCol w:w="2352"/>
        <w:gridCol w:w="2352"/>
        <w:gridCol w:w="2352"/>
        <w:gridCol w:w="2352"/>
        <w:gridCol w:w="2352"/>
      </w:tblGrid>
      <w:tr>
        <w:trPr>
          <w:tblHeader w:val="true"/>
        </w:trPr>
        <w:tc>
          <w:tcPr>
            <w:tcW w:type="dxa" w:w="2851"/>
            <w:shd w:val="clear" w:color="auto" w:fill="1F3A5F"/>
          </w:tcPr>
          <w:p>
            <w:pPr>
              <w:spacing w:after="0"/>
            </w:pPr>
            <w:r/>
            <w:r>
              <w:rPr>
                <w:b/>
                <w:color w:val="FFFFFF"/>
                <w:sz w:val="13"/>
              </w:rPr>
              <w:t>Variable</w:t>
            </w:r>
          </w:p>
        </w:tc>
        <w:tc>
          <w:tcPr>
            <w:tcW w:type="dxa" w:w="2138"/>
            <w:shd w:val="clear" w:color="auto" w:fill="1F3A5F"/>
          </w:tcPr>
          <w:p>
            <w:pPr>
              <w:spacing w:after="0"/>
            </w:pPr>
            <w:r/>
            <w:r>
              <w:rPr>
                <w:b/>
                <w:color w:val="FFFFFF"/>
                <w:sz w:val="13"/>
              </w:rPr>
              <w:t>Default</w:t>
            </w:r>
          </w:p>
        </w:tc>
        <w:tc>
          <w:tcPr>
            <w:tcW w:type="dxa" w:w="641"/>
            <w:shd w:val="clear" w:color="auto" w:fill="1F3A5F"/>
          </w:tcPr>
          <w:p>
            <w:pPr>
              <w:spacing w:after="0"/>
            </w:pPr>
            <w:r/>
            <w:r>
              <w:rPr>
                <w:b/>
                <w:color w:val="FFFFFF"/>
                <w:sz w:val="13"/>
              </w:rPr>
              <w:t>Req.</w:t>
            </w:r>
          </w:p>
        </w:tc>
        <w:tc>
          <w:tcPr>
            <w:tcW w:type="dxa" w:w="713"/>
            <w:shd w:val="clear" w:color="auto" w:fill="1F3A5F"/>
          </w:tcPr>
          <w:p>
            <w:pPr>
              <w:spacing w:after="0"/>
            </w:pPr>
            <w:r/>
            <w:r>
              <w:rPr>
                <w:b/>
                <w:color w:val="FFFFFF"/>
                <w:sz w:val="13"/>
              </w:rPr>
              <w:t>Secret</w:t>
            </w:r>
          </w:p>
        </w:tc>
        <w:tc>
          <w:tcPr>
            <w:tcW w:type="dxa" w:w="4134"/>
            <w:shd w:val="clear" w:color="auto" w:fill="1F3A5F"/>
          </w:tcPr>
          <w:p>
            <w:pPr>
              <w:spacing w:after="0"/>
            </w:pPr>
            <w:r/>
            <w:r>
              <w:rPr>
                <w:b/>
                <w:color w:val="FFFFFF"/>
                <w:sz w:val="13"/>
              </w:rPr>
              <w:t>Purpose</w:t>
            </w:r>
          </w:p>
        </w:tc>
        <w:tc>
          <w:tcPr>
            <w:tcW w:type="dxa" w:w="3635"/>
            <w:shd w:val="clear" w:color="auto" w:fill="1F3A5F"/>
          </w:tcPr>
          <w:p>
            <w:pPr>
              <w:spacing w:after="0"/>
            </w:pPr>
            <w:r/>
            <w:r>
              <w:rPr>
                <w:b/>
                <w:color w:val="FFFFFF"/>
                <w:sz w:val="13"/>
              </w:rPr>
              <w:t>Failure mode</w:t>
            </w:r>
          </w:p>
        </w:tc>
      </w:tr>
      <w:tr>
        <w:trPr>
          <w:cantSplit/>
        </w:trPr>
        <w:tc>
          <w:tcPr>
            <w:tcW w:type="dxa" w:w="2851"/>
          </w:tcPr>
          <w:p>
            <w:pPr>
              <w:spacing w:after="0"/>
            </w:pPr>
            <w:r/>
            <w:r>
              <w:rPr>
                <w:sz w:val="13"/>
              </w:rPr>
              <w:t>APP_ENV</w:t>
            </w:r>
          </w:p>
        </w:tc>
        <w:tc>
          <w:tcPr>
            <w:tcW w:type="dxa" w:w="2138"/>
          </w:tcPr>
          <w:p>
            <w:pPr>
              <w:spacing w:after="0"/>
            </w:pPr>
            <w:r/>
            <w:r>
              <w:rPr>
                <w:sz w:val="13"/>
              </w:rPr>
              <w:t>local</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Environment label served by /health and the X-Environment header</w:t>
            </w:r>
          </w:p>
        </w:tc>
        <w:tc>
          <w:tcPr>
            <w:tcW w:type="dxa" w:w="3635"/>
          </w:tcPr>
          <w:p>
            <w:pPr>
              <w:spacing w:after="0"/>
            </w:pPr>
            <w:r/>
            <w:r>
              <w:rPr>
                <w:sz w:val="13"/>
              </w:rPr>
              <w:t>Labelled 'local'; no behavioural change</w:t>
            </w:r>
          </w:p>
        </w:tc>
      </w:tr>
      <w:tr>
        <w:trPr>
          <w:cantSplit/>
        </w:trPr>
        <w:tc>
          <w:tcPr>
            <w:tcW w:type="dxa" w:w="2851"/>
          </w:tcPr>
          <w:p>
            <w:pPr>
              <w:spacing w:after="0"/>
            </w:pPr>
            <w:r/>
            <w:r>
              <w:rPr>
                <w:sz w:val="13"/>
              </w:rPr>
              <w:t>APP_PORT</w:t>
            </w:r>
          </w:p>
        </w:tc>
        <w:tc>
          <w:tcPr>
            <w:tcW w:type="dxa" w:w="2138"/>
          </w:tcPr>
          <w:p>
            <w:pPr>
              <w:spacing w:after="0"/>
            </w:pPr>
            <w:r/>
            <w:r>
              <w:rPr>
                <w:sz w:val="13"/>
              </w:rPr>
              <w:t>8080</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HTTP listen port</w:t>
            </w:r>
          </w:p>
        </w:tc>
        <w:tc>
          <w:tcPr>
            <w:tcW w:type="dxa" w:w="3635"/>
          </w:tcPr>
          <w:p>
            <w:pPr>
              <w:spacing w:after="0"/>
            </w:pPr>
            <w:r/>
            <w:r>
              <w:rPr>
                <w:sz w:val="13"/>
              </w:rPr>
              <w:t>Binds 8080</w:t>
            </w:r>
          </w:p>
        </w:tc>
      </w:tr>
      <w:tr>
        <w:trPr>
          <w:cantSplit/>
        </w:trPr>
        <w:tc>
          <w:tcPr>
            <w:tcW w:type="dxa" w:w="2851"/>
          </w:tcPr>
          <w:p>
            <w:pPr>
              <w:spacing w:after="0"/>
            </w:pPr>
            <w:r/>
            <w:r>
              <w:rPr>
                <w:sz w:val="13"/>
              </w:rPr>
              <w:t>TIMEZONE</w:t>
            </w:r>
          </w:p>
        </w:tc>
        <w:tc>
          <w:tcPr>
            <w:tcW w:type="dxa" w:w="2138"/>
          </w:tcPr>
          <w:p>
            <w:pPr>
              <w:spacing w:after="0"/>
            </w:pPr>
            <w:r/>
            <w:r>
              <w:rPr>
                <w:sz w:val="13"/>
              </w:rPr>
              <w:t>Asia/Jakarta</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Document dates, document-number buckets, receipt timestamps</w:t>
            </w:r>
          </w:p>
        </w:tc>
        <w:tc>
          <w:tcPr>
            <w:tcW w:type="dxa" w:w="3635"/>
          </w:tcPr>
          <w:p>
            <w:pPr>
              <w:spacing w:after="0"/>
            </w:pPr>
            <w:r/>
            <w:r>
              <w:rPr>
                <w:sz w:val="13"/>
              </w:rPr>
              <w:t>Falls back to UTC if the zone cannot be loaded</w:t>
            </w:r>
          </w:p>
        </w:tc>
      </w:tr>
      <w:tr>
        <w:trPr>
          <w:cantSplit/>
        </w:trPr>
        <w:tc>
          <w:tcPr>
            <w:tcW w:type="dxa" w:w="2851"/>
          </w:tcPr>
          <w:p>
            <w:pPr>
              <w:spacing w:after="0"/>
            </w:pPr>
            <w:r/>
            <w:r>
              <w:rPr>
                <w:sz w:val="13"/>
              </w:rPr>
              <w:t>DATABASE_URL</w:t>
            </w:r>
          </w:p>
        </w:tc>
        <w:tc>
          <w:tcPr>
            <w:tcW w:type="dxa" w:w="2138"/>
          </w:tcPr>
          <w:p>
            <w:pPr>
              <w:spacing w:after="0"/>
            </w:pPr>
            <w:r/>
            <w:r>
              <w:rPr>
                <w:sz w:val="13"/>
              </w:rPr>
              <w:t>(empty)</w:t>
            </w:r>
          </w:p>
        </w:tc>
        <w:tc>
          <w:tcPr>
            <w:tcW w:type="dxa" w:w="641"/>
          </w:tcPr>
          <w:p>
            <w:pPr>
              <w:spacing w:after="0"/>
            </w:pPr>
            <w:r/>
            <w:r>
              <w:rPr>
                <w:sz w:val="13"/>
              </w:rPr>
              <w:t>yes (for data routes)</w:t>
            </w:r>
          </w:p>
        </w:tc>
        <w:tc>
          <w:tcPr>
            <w:tcW w:type="dxa" w:w="713"/>
          </w:tcPr>
          <w:p>
            <w:pPr>
              <w:spacing w:after="0"/>
            </w:pPr>
            <w:r/>
            <w:r>
              <w:rPr>
                <w:sz w:val="13"/>
              </w:rPr>
              <w:t>yes</w:t>
            </w:r>
          </w:p>
        </w:tc>
        <w:tc>
          <w:tcPr>
            <w:tcW w:type="dxa" w:w="4134"/>
          </w:tcPr>
          <w:p>
            <w:pPr>
              <w:spacing w:after="0"/>
            </w:pPr>
            <w:r/>
            <w:r>
              <w:rPr>
                <w:sz w:val="13"/>
              </w:rPr>
              <w:t>pgxpool DSN</w:t>
            </w:r>
          </w:p>
        </w:tc>
        <w:tc>
          <w:tcPr>
            <w:tcW w:type="dxa" w:w="3635"/>
          </w:tcPr>
          <w:p>
            <w:pPr>
              <w:spacing w:after="0"/>
            </w:pPr>
            <w:r/>
            <w:r>
              <w:rPr>
                <w:sz w:val="13"/>
              </w:rPr>
              <w:t>Server still boots (health-only); every DB route is unmounted</w:t>
            </w:r>
          </w:p>
        </w:tc>
      </w:tr>
      <w:tr>
        <w:trPr>
          <w:cantSplit/>
        </w:trPr>
        <w:tc>
          <w:tcPr>
            <w:tcW w:type="dxa" w:w="2851"/>
          </w:tcPr>
          <w:p>
            <w:pPr>
              <w:spacing w:after="0"/>
            </w:pPr>
            <w:r/>
            <w:r>
              <w:rPr>
                <w:sz w:val="13"/>
              </w:rPr>
              <w:t>REDIS_URL</w:t>
            </w:r>
          </w:p>
        </w:tc>
        <w:tc>
          <w:tcPr>
            <w:tcW w:type="dxa" w:w="2138"/>
          </w:tcPr>
          <w:p>
            <w:pPr>
              <w:spacing w:after="0"/>
            </w:pPr>
            <w:r/>
            <w:r>
              <w:rPr>
                <w:sz w:val="13"/>
              </w:rPr>
              <w:t>(empty)</w:t>
            </w:r>
          </w:p>
        </w:tc>
        <w:tc>
          <w:tcPr>
            <w:tcW w:type="dxa" w:w="641"/>
          </w:tcPr>
          <w:p>
            <w:pPr>
              <w:spacing w:after="0"/>
            </w:pPr>
            <w:r/>
            <w:r>
              <w:rPr>
                <w:sz w:val="13"/>
              </w:rPr>
              <w:t>recommended</w:t>
            </w:r>
          </w:p>
        </w:tc>
        <w:tc>
          <w:tcPr>
            <w:tcW w:type="dxa" w:w="713"/>
          </w:tcPr>
          <w:p>
            <w:pPr>
              <w:spacing w:after="0"/>
            </w:pPr>
            <w:r/>
            <w:r>
              <w:rPr>
                <w:sz w:val="13"/>
              </w:rPr>
              <w:t>yes</w:t>
            </w:r>
          </w:p>
        </w:tc>
        <w:tc>
          <w:tcPr>
            <w:tcW w:type="dxa" w:w="4134"/>
          </w:tcPr>
          <w:p>
            <w:pPr>
              <w:spacing w:after="0"/>
            </w:pPr>
            <w:r/>
            <w:r>
              <w:rPr>
                <w:sz w:val="13"/>
              </w:rPr>
              <w:t>Rate limiting and idempotency store</w:t>
            </w:r>
          </w:p>
        </w:tc>
        <w:tc>
          <w:tcPr>
            <w:tcW w:type="dxa" w:w="3635"/>
          </w:tcPr>
          <w:p>
            <w:pPr>
              <w:spacing w:after="0"/>
            </w:pPr>
            <w:r/>
            <w:r>
              <w:rPr>
                <w:sz w:val="13"/>
              </w:rPr>
              <w:t>Login limiter fails closed (503); generic limiter fails open</w:t>
            </w:r>
          </w:p>
        </w:tc>
      </w:tr>
      <w:tr>
        <w:trPr>
          <w:cantSplit/>
        </w:trPr>
        <w:tc>
          <w:tcPr>
            <w:tcW w:type="dxa" w:w="2851"/>
          </w:tcPr>
          <w:p>
            <w:pPr>
              <w:spacing w:after="0"/>
            </w:pPr>
            <w:r/>
            <w:r>
              <w:rPr>
                <w:sz w:val="13"/>
              </w:rPr>
              <w:t>AUTO_MIGRATE</w:t>
            </w:r>
          </w:p>
        </w:tc>
        <w:tc>
          <w:tcPr>
            <w:tcW w:type="dxa" w:w="2138"/>
          </w:tcPr>
          <w:p>
            <w:pPr>
              <w:spacing w:after="0"/>
            </w:pPr>
            <w:r/>
            <w:r>
              <w:rPr>
                <w:sz w:val="13"/>
              </w:rPr>
              <w:t>true</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Apply embedded migrations at boot</w:t>
            </w:r>
          </w:p>
        </w:tc>
        <w:tc>
          <w:tcPr>
            <w:tcW w:type="dxa" w:w="3635"/>
          </w:tcPr>
          <w:p>
            <w:pPr>
              <w:spacing w:after="0"/>
            </w:pPr>
            <w:r/>
            <w:r>
              <w:rPr>
                <w:sz w:val="13"/>
              </w:rPr>
              <w:t>Schema must be managed out of band</w:t>
            </w:r>
          </w:p>
        </w:tc>
      </w:tr>
      <w:tr>
        <w:trPr>
          <w:cantSplit/>
        </w:trPr>
        <w:tc>
          <w:tcPr>
            <w:tcW w:type="dxa" w:w="2851"/>
          </w:tcPr>
          <w:p>
            <w:pPr>
              <w:spacing w:after="0"/>
            </w:pPr>
            <w:r/>
            <w:r>
              <w:rPr>
                <w:sz w:val="13"/>
              </w:rPr>
              <w:t>OPENAPI_PATH</w:t>
            </w:r>
          </w:p>
        </w:tc>
        <w:tc>
          <w:tcPr>
            <w:tcW w:type="dxa" w:w="2138"/>
          </w:tcPr>
          <w:p>
            <w:pPr>
              <w:spacing w:after="0"/>
            </w:pPr>
            <w:r/>
            <w:r>
              <w:rPr>
                <w:sz w:val="13"/>
              </w:rPr>
              <w:t>docs/openapi.yaml</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Path of the served OpenAPI document</w:t>
            </w:r>
          </w:p>
        </w:tc>
        <w:tc>
          <w:tcPr>
            <w:tcW w:type="dxa" w:w="3635"/>
          </w:tcPr>
          <w:p>
            <w:pPr>
              <w:spacing w:after="0"/>
            </w:pPr>
            <w:r/>
            <w:r>
              <w:rPr>
                <w:sz w:val="13"/>
              </w:rPr>
              <w:t>/docs and /openapi.yaml return 404</w:t>
            </w:r>
          </w:p>
        </w:tc>
      </w:tr>
      <w:tr>
        <w:trPr>
          <w:cantSplit/>
        </w:trPr>
        <w:tc>
          <w:tcPr>
            <w:tcW w:type="dxa" w:w="2851"/>
          </w:tcPr>
          <w:p>
            <w:pPr>
              <w:spacing w:after="0"/>
            </w:pPr>
            <w:r/>
            <w:r>
              <w:rPr>
                <w:sz w:val="13"/>
              </w:rPr>
              <w:t>TOKEN_TTL_HOURS</w:t>
            </w:r>
          </w:p>
        </w:tc>
        <w:tc>
          <w:tcPr>
            <w:tcW w:type="dxa" w:w="2138"/>
          </w:tcPr>
          <w:p>
            <w:pPr>
              <w:spacing w:after="0"/>
            </w:pPr>
            <w:r/>
            <w:r>
              <w:rPr>
                <w:sz w:val="13"/>
              </w:rPr>
              <w:t>24</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Bearer token lifetime</w:t>
            </w:r>
          </w:p>
        </w:tc>
        <w:tc>
          <w:tcPr>
            <w:tcW w:type="dxa" w:w="3635"/>
          </w:tcPr>
          <w:p>
            <w:pPr>
              <w:spacing w:after="0"/>
            </w:pPr>
            <w:r/>
            <w:r>
              <w:rPr>
                <w:sz w:val="13"/>
              </w:rPr>
              <w:t>Tokens live 24h</w:t>
            </w:r>
          </w:p>
        </w:tc>
      </w:tr>
      <w:tr>
        <w:trPr>
          <w:cantSplit/>
        </w:trPr>
        <w:tc>
          <w:tcPr>
            <w:tcW w:type="dxa" w:w="2851"/>
          </w:tcPr>
          <w:p>
            <w:pPr>
              <w:spacing w:after="0"/>
            </w:pPr>
            <w:r/>
            <w:r>
              <w:rPr>
                <w:sz w:val="13"/>
              </w:rPr>
              <w:t>ALLOW_NEGATIVE_STOCK</w:t>
            </w:r>
          </w:p>
        </w:tc>
        <w:tc>
          <w:tcPr>
            <w:tcW w:type="dxa" w:w="2138"/>
          </w:tcPr>
          <w:p>
            <w:pPr>
              <w:spacing w:after="0"/>
            </w:pPr>
            <w:r/>
            <w:r>
              <w:rPr>
                <w:sz w:val="13"/>
              </w:rPr>
              <w:t>true</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Permit stock deduction below zero</w:t>
            </w:r>
          </w:p>
        </w:tc>
        <w:tc>
          <w:tcPr>
            <w:tcW w:type="dxa" w:w="3635"/>
          </w:tcPr>
          <w:p>
            <w:pPr>
              <w:spacing w:after="0"/>
            </w:pPr>
            <w:r/>
            <w:r>
              <w:rPr>
                <w:sz w:val="13"/>
              </w:rPr>
              <w:t>POS/B2B checkout refuses when stock is short</w:t>
            </w:r>
          </w:p>
        </w:tc>
      </w:tr>
      <w:tr>
        <w:trPr>
          <w:cantSplit/>
        </w:trPr>
        <w:tc>
          <w:tcPr>
            <w:tcW w:type="dxa" w:w="2851"/>
          </w:tcPr>
          <w:p>
            <w:pPr>
              <w:spacing w:after="0"/>
            </w:pPr>
            <w:r/>
            <w:r>
              <w:rPr>
                <w:sz w:val="13"/>
              </w:rPr>
              <w:t>IDEMPOTENCY_TTL_HOURS</w:t>
            </w:r>
          </w:p>
        </w:tc>
        <w:tc>
          <w:tcPr>
            <w:tcW w:type="dxa" w:w="2138"/>
          </w:tcPr>
          <w:p>
            <w:pPr>
              <w:spacing w:after="0"/>
            </w:pPr>
            <w:r/>
            <w:r>
              <w:rPr>
                <w:sz w:val="13"/>
              </w:rPr>
              <w:t>24</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Replay window for stored idempotent responses</w:t>
            </w:r>
          </w:p>
        </w:tc>
        <w:tc>
          <w:tcPr>
            <w:tcW w:type="dxa" w:w="3635"/>
          </w:tcPr>
          <w:p>
            <w:pPr>
              <w:spacing w:after="0"/>
            </w:pPr>
            <w:r/>
            <w:r>
              <w:rPr>
                <w:sz w:val="13"/>
              </w:rPr>
              <w:t>24h</w:t>
            </w:r>
          </w:p>
        </w:tc>
      </w:tr>
      <w:tr>
        <w:trPr>
          <w:cantSplit/>
        </w:trPr>
        <w:tc>
          <w:tcPr>
            <w:tcW w:type="dxa" w:w="2851"/>
          </w:tcPr>
          <w:p>
            <w:pPr>
              <w:spacing w:after="0"/>
            </w:pPr>
            <w:r/>
            <w:r>
              <w:rPr>
                <w:sz w:val="13"/>
              </w:rPr>
              <w:t>CORS_ORIGINS</w:t>
            </w:r>
          </w:p>
        </w:tc>
        <w:tc>
          <w:tcPr>
            <w:tcW w:type="dxa" w:w="2138"/>
          </w:tcPr>
          <w:p>
            <w:pPr>
              <w:spacing w:after="0"/>
            </w:pPr>
            <w:r/>
            <w:r>
              <w:rPr>
                <w:sz w:val="13"/>
              </w:rPr>
              <w:t>http://localhost:3000</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Comma-separated allowlist; '*' = wildcard without credentials</w:t>
            </w:r>
          </w:p>
        </w:tc>
        <w:tc>
          <w:tcPr>
            <w:tcW w:type="dxa" w:w="3635"/>
          </w:tcPr>
          <w:p>
            <w:pPr>
              <w:spacing w:after="0"/>
            </w:pPr>
            <w:r/>
            <w:r>
              <w:rPr>
                <w:sz w:val="13"/>
              </w:rPr>
              <w:t>Only the default origin is allowed</w:t>
            </w:r>
          </w:p>
        </w:tc>
      </w:tr>
      <w:tr>
        <w:trPr>
          <w:cantSplit/>
        </w:trPr>
        <w:tc>
          <w:tcPr>
            <w:tcW w:type="dxa" w:w="2851"/>
          </w:tcPr>
          <w:p>
            <w:pPr>
              <w:spacing w:after="0"/>
            </w:pPr>
            <w:r/>
            <w:r>
              <w:rPr>
                <w:sz w:val="13"/>
              </w:rPr>
              <w:t>RATE_LIMIT_LOGIN_PER_MINUTE</w:t>
            </w:r>
          </w:p>
        </w:tc>
        <w:tc>
          <w:tcPr>
            <w:tcW w:type="dxa" w:w="2138"/>
          </w:tcPr>
          <w:p>
            <w:pPr>
              <w:spacing w:after="0"/>
            </w:pPr>
            <w:r/>
            <w:r>
              <w:rPr>
                <w:sz w:val="13"/>
              </w:rPr>
              <w:t>10</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Per-IP login/register/reset limit (fail-closed)</w:t>
            </w:r>
          </w:p>
        </w:tc>
        <w:tc>
          <w:tcPr>
            <w:tcW w:type="dxa" w:w="3635"/>
          </w:tcPr>
          <w:p>
            <w:pPr>
              <w:spacing w:after="0"/>
            </w:pPr>
            <w:r/>
            <w:r>
              <w:rPr>
                <w:sz w:val="13"/>
              </w:rPr>
              <w:t>10/min</w:t>
            </w:r>
          </w:p>
        </w:tc>
      </w:tr>
      <w:tr>
        <w:trPr>
          <w:cantSplit/>
        </w:trPr>
        <w:tc>
          <w:tcPr>
            <w:tcW w:type="dxa" w:w="2851"/>
          </w:tcPr>
          <w:p>
            <w:pPr>
              <w:spacing w:after="0"/>
            </w:pPr>
            <w:r/>
            <w:r>
              <w:rPr>
                <w:sz w:val="13"/>
              </w:rPr>
              <w:t>RATE_LIMIT_GENERIC_PER_MINUTE</w:t>
            </w:r>
          </w:p>
        </w:tc>
        <w:tc>
          <w:tcPr>
            <w:tcW w:type="dxa" w:w="2138"/>
          </w:tcPr>
          <w:p>
            <w:pPr>
              <w:spacing w:after="0"/>
            </w:pPr>
            <w:r/>
            <w:r>
              <w:rPr>
                <w:sz w:val="13"/>
              </w:rPr>
              <w:t>300</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Per-IP limit across /api/v1 (fail-open)</w:t>
            </w:r>
          </w:p>
        </w:tc>
        <w:tc>
          <w:tcPr>
            <w:tcW w:type="dxa" w:w="3635"/>
          </w:tcPr>
          <w:p>
            <w:pPr>
              <w:spacing w:after="0"/>
            </w:pPr>
            <w:r/>
            <w:r>
              <w:rPr>
                <w:sz w:val="13"/>
              </w:rPr>
              <w:t>300/min</w:t>
            </w:r>
          </w:p>
        </w:tc>
      </w:tr>
      <w:tr>
        <w:trPr>
          <w:cantSplit/>
        </w:trPr>
        <w:tc>
          <w:tcPr>
            <w:tcW w:type="dxa" w:w="2851"/>
          </w:tcPr>
          <w:p>
            <w:pPr>
              <w:spacing w:after="0"/>
            </w:pPr>
            <w:r/>
            <w:r>
              <w:rPr>
                <w:sz w:val="13"/>
              </w:rPr>
              <w:t>RATE_LIMIT_TRACKING_PER_MINUTE</w:t>
            </w:r>
          </w:p>
        </w:tc>
        <w:tc>
          <w:tcPr>
            <w:tcW w:type="dxa" w:w="2138"/>
          </w:tcPr>
          <w:p>
            <w:pPr>
              <w:spacing w:after="0"/>
            </w:pPr>
            <w:r/>
            <w:r>
              <w:rPr>
                <w:sz w:val="13"/>
              </w:rPr>
              <w:t>60</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Per-IP limit for GPS tracking pings</w:t>
            </w:r>
          </w:p>
        </w:tc>
        <w:tc>
          <w:tcPr>
            <w:tcW w:type="dxa" w:w="3635"/>
          </w:tcPr>
          <w:p>
            <w:pPr>
              <w:spacing w:after="0"/>
            </w:pPr>
            <w:r/>
            <w:r>
              <w:rPr>
                <w:sz w:val="13"/>
              </w:rPr>
              <w:t>60/min</w:t>
            </w:r>
          </w:p>
        </w:tc>
      </w:tr>
      <w:tr>
        <w:trPr>
          <w:cantSplit/>
        </w:trPr>
        <w:tc>
          <w:tcPr>
            <w:tcW w:type="dxa" w:w="2851"/>
          </w:tcPr>
          <w:p>
            <w:pPr>
              <w:spacing w:after="0"/>
            </w:pPr>
            <w:r/>
            <w:r>
              <w:rPr>
                <w:sz w:val="13"/>
              </w:rPr>
              <w:t>TRUSTED_PROXIES</w:t>
            </w:r>
          </w:p>
        </w:tc>
        <w:tc>
          <w:tcPr>
            <w:tcW w:type="dxa" w:w="2138"/>
          </w:tcPr>
          <w:p>
            <w:pPr>
              <w:spacing w:after="0"/>
            </w:pPr>
            <w:r/>
            <w:r>
              <w:rPr>
                <w:sz w:val="13"/>
              </w:rPr>
              <w:t>(empty)</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Proxy IPs/CIDRs whose X-Forwarded-For is trusted</w:t>
            </w:r>
          </w:p>
        </w:tc>
        <w:tc>
          <w:tcPr>
            <w:tcW w:type="dxa" w:w="3635"/>
          </w:tcPr>
          <w:p>
            <w:pPr>
              <w:spacing w:after="0"/>
            </w:pPr>
            <w:r/>
            <w:r>
              <w:rPr>
                <w:sz w:val="13"/>
              </w:rPr>
              <w:t>Client IP is the direct peer (all clients share the proxy IP)</w:t>
            </w:r>
          </w:p>
        </w:tc>
      </w:tr>
      <w:tr>
        <w:trPr>
          <w:cantSplit/>
        </w:trPr>
        <w:tc>
          <w:tcPr>
            <w:tcW w:type="dxa" w:w="2851"/>
          </w:tcPr>
          <w:p>
            <w:pPr>
              <w:spacing w:after="0"/>
            </w:pPr>
            <w:r/>
            <w:r>
              <w:rPr>
                <w:sz w:val="13"/>
              </w:rPr>
              <w:t>BODY_SIZE_LIMIT_BYTES</w:t>
            </w:r>
          </w:p>
        </w:tc>
        <w:tc>
          <w:tcPr>
            <w:tcW w:type="dxa" w:w="2138"/>
          </w:tcPr>
          <w:p>
            <w:pPr>
              <w:spacing w:after="0"/>
            </w:pPr>
            <w:r/>
            <w:r>
              <w:rPr>
                <w:sz w:val="13"/>
              </w:rPr>
              <w:t>10485760</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Maximum request body</w:t>
            </w:r>
          </w:p>
        </w:tc>
        <w:tc>
          <w:tcPr>
            <w:tcW w:type="dxa" w:w="3635"/>
          </w:tcPr>
          <w:p>
            <w:pPr>
              <w:spacing w:after="0"/>
            </w:pPr>
            <w:r/>
            <w:r>
              <w:rPr>
                <w:sz w:val="13"/>
              </w:rPr>
              <w:t>10 MiB</w:t>
            </w:r>
          </w:p>
        </w:tc>
      </w:tr>
      <w:tr>
        <w:trPr>
          <w:cantSplit/>
        </w:trPr>
        <w:tc>
          <w:tcPr>
            <w:tcW w:type="dxa" w:w="2851"/>
          </w:tcPr>
          <w:p>
            <w:pPr>
              <w:spacing w:after="0"/>
            </w:pPr>
            <w:r/>
            <w:r>
              <w:rPr>
                <w:sz w:val="13"/>
              </w:rPr>
              <w:t>UPLOAD_DIR</w:t>
            </w:r>
          </w:p>
        </w:tc>
        <w:tc>
          <w:tcPr>
            <w:tcW w:type="dxa" w:w="2138"/>
          </w:tcPr>
          <w:p>
            <w:pPr>
              <w:spacing w:after="0"/>
            </w:pPr>
            <w:r/>
            <w:r>
              <w:rPr>
                <w:sz w:val="13"/>
              </w:rPr>
              <w:t>./uploads</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Root of the local object store</w:t>
            </w:r>
          </w:p>
        </w:tc>
        <w:tc>
          <w:tcPr>
            <w:tcW w:type="dxa" w:w="3635"/>
          </w:tcPr>
          <w:p>
            <w:pPr>
              <w:spacing w:after="0"/>
            </w:pPr>
            <w:r/>
            <w:r>
              <w:rPr>
                <w:sz w:val="13"/>
              </w:rPr>
              <w:t>Uploads land next to the binary</w:t>
            </w:r>
          </w:p>
        </w:tc>
      </w:tr>
      <w:tr>
        <w:trPr>
          <w:cantSplit/>
        </w:trPr>
        <w:tc>
          <w:tcPr>
            <w:tcW w:type="dxa" w:w="2851"/>
          </w:tcPr>
          <w:p>
            <w:pPr>
              <w:spacing w:after="0"/>
            </w:pPr>
            <w:r/>
            <w:r>
              <w:rPr>
                <w:sz w:val="13"/>
              </w:rPr>
              <w:t>LOG_LEVEL</w:t>
            </w:r>
          </w:p>
        </w:tc>
        <w:tc>
          <w:tcPr>
            <w:tcW w:type="dxa" w:w="2138"/>
          </w:tcPr>
          <w:p>
            <w:pPr>
              <w:spacing w:after="0"/>
            </w:pPr>
            <w:r/>
            <w:r>
              <w:rPr>
                <w:sz w:val="13"/>
              </w:rPr>
              <w:t>info</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slog level</w:t>
            </w:r>
          </w:p>
        </w:tc>
        <w:tc>
          <w:tcPr>
            <w:tcW w:type="dxa" w:w="3635"/>
          </w:tcPr>
          <w:p>
            <w:pPr>
              <w:spacing w:after="0"/>
            </w:pPr>
            <w:r/>
            <w:r>
              <w:rPr>
                <w:sz w:val="13"/>
              </w:rPr>
              <w:t>info</w:t>
            </w:r>
          </w:p>
        </w:tc>
      </w:tr>
      <w:tr>
        <w:trPr>
          <w:cantSplit/>
        </w:trPr>
        <w:tc>
          <w:tcPr>
            <w:tcW w:type="dxa" w:w="2851"/>
          </w:tcPr>
          <w:p>
            <w:pPr>
              <w:spacing w:after="0"/>
            </w:pPr>
            <w:r/>
            <w:r>
              <w:rPr>
                <w:sz w:val="13"/>
              </w:rPr>
              <w:t>SMTP_HOST</w:t>
            </w:r>
          </w:p>
        </w:tc>
        <w:tc>
          <w:tcPr>
            <w:tcW w:type="dxa" w:w="2138"/>
          </w:tcPr>
          <w:p>
            <w:pPr>
              <w:spacing w:after="0"/>
            </w:pPr>
            <w:r/>
            <w:r>
              <w:rPr>
                <w:sz w:val="13"/>
              </w:rPr>
              <w:t>(empty)</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SMTP relay for password reset mail</w:t>
            </w:r>
          </w:p>
        </w:tc>
        <w:tc>
          <w:tcPr>
            <w:tcW w:type="dxa" w:w="3635"/>
          </w:tcPr>
          <w:p>
            <w:pPr>
              <w:spacing w:after="0"/>
            </w:pPr>
            <w:r/>
            <w:r>
              <w:rPr>
                <w:sz w:val="13"/>
              </w:rPr>
              <w:t>LogMailer: reset links are only written to the server log</w:t>
            </w:r>
          </w:p>
        </w:tc>
      </w:tr>
      <w:tr>
        <w:trPr>
          <w:cantSplit/>
        </w:trPr>
        <w:tc>
          <w:tcPr>
            <w:tcW w:type="dxa" w:w="2851"/>
          </w:tcPr>
          <w:p>
            <w:pPr>
              <w:spacing w:after="0"/>
            </w:pPr>
            <w:r/>
            <w:r>
              <w:rPr>
                <w:sz w:val="13"/>
              </w:rPr>
              <w:t>SMTP_PORT</w:t>
            </w:r>
          </w:p>
        </w:tc>
        <w:tc>
          <w:tcPr>
            <w:tcW w:type="dxa" w:w="2138"/>
          </w:tcPr>
          <w:p>
            <w:pPr>
              <w:spacing w:after="0"/>
            </w:pPr>
            <w:r/>
            <w:r>
              <w:rPr>
                <w:sz w:val="13"/>
              </w:rPr>
              <w:t>587</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SMTP port</w:t>
            </w:r>
          </w:p>
        </w:tc>
        <w:tc>
          <w:tcPr>
            <w:tcW w:type="dxa" w:w="3635"/>
          </w:tcPr>
          <w:p>
            <w:pPr>
              <w:spacing w:after="0"/>
            </w:pPr>
            <w:r/>
            <w:r>
              <w:rPr>
                <w:sz w:val="13"/>
              </w:rPr>
              <w:t>587</w:t>
            </w:r>
          </w:p>
        </w:tc>
      </w:tr>
      <w:tr>
        <w:trPr>
          <w:cantSplit/>
        </w:trPr>
        <w:tc>
          <w:tcPr>
            <w:tcW w:type="dxa" w:w="2851"/>
          </w:tcPr>
          <w:p>
            <w:pPr>
              <w:spacing w:after="0"/>
            </w:pPr>
            <w:r/>
            <w:r>
              <w:rPr>
                <w:sz w:val="13"/>
              </w:rPr>
              <w:t>SMTP_USER</w:t>
            </w:r>
          </w:p>
        </w:tc>
        <w:tc>
          <w:tcPr>
            <w:tcW w:type="dxa" w:w="2138"/>
          </w:tcPr>
          <w:p>
            <w:pPr>
              <w:spacing w:after="0"/>
            </w:pPr>
            <w:r/>
            <w:r>
              <w:rPr>
                <w:sz w:val="13"/>
              </w:rPr>
              <w:t>(empty)</w:t>
            </w:r>
          </w:p>
        </w:tc>
        <w:tc>
          <w:tcPr>
            <w:tcW w:type="dxa" w:w="641"/>
          </w:tcPr>
          <w:p>
            <w:pPr>
              <w:spacing w:after="0"/>
            </w:pPr>
            <w:r/>
            <w:r>
              <w:rPr>
                <w:sz w:val="13"/>
              </w:rPr>
              <w:t>no</w:t>
            </w:r>
          </w:p>
        </w:tc>
        <w:tc>
          <w:tcPr>
            <w:tcW w:type="dxa" w:w="713"/>
          </w:tcPr>
          <w:p>
            <w:pPr>
              <w:spacing w:after="0"/>
            </w:pPr>
            <w:r/>
            <w:r>
              <w:rPr>
                <w:sz w:val="13"/>
              </w:rPr>
              <w:t>yes</w:t>
            </w:r>
          </w:p>
        </w:tc>
        <w:tc>
          <w:tcPr>
            <w:tcW w:type="dxa" w:w="4134"/>
          </w:tcPr>
          <w:p>
            <w:pPr>
              <w:spacing w:after="0"/>
            </w:pPr>
            <w:r/>
            <w:r>
              <w:rPr>
                <w:sz w:val="13"/>
              </w:rPr>
              <w:t>SMTP username</w:t>
            </w:r>
          </w:p>
        </w:tc>
        <w:tc>
          <w:tcPr>
            <w:tcW w:type="dxa" w:w="3635"/>
          </w:tcPr>
          <w:p>
            <w:pPr>
              <w:spacing w:after="0"/>
            </w:pPr>
            <w:r/>
            <w:r>
              <w:rPr>
                <w:sz w:val="13"/>
              </w:rPr>
              <w:t>Unauthenticated SMTP</w:t>
            </w:r>
          </w:p>
        </w:tc>
      </w:tr>
      <w:tr>
        <w:trPr>
          <w:cantSplit/>
        </w:trPr>
        <w:tc>
          <w:tcPr>
            <w:tcW w:type="dxa" w:w="2851"/>
          </w:tcPr>
          <w:p>
            <w:pPr>
              <w:spacing w:after="0"/>
            </w:pPr>
            <w:r/>
            <w:r>
              <w:rPr>
                <w:sz w:val="13"/>
              </w:rPr>
              <w:t>SMTP_PASS</w:t>
            </w:r>
          </w:p>
        </w:tc>
        <w:tc>
          <w:tcPr>
            <w:tcW w:type="dxa" w:w="2138"/>
          </w:tcPr>
          <w:p>
            <w:pPr>
              <w:spacing w:after="0"/>
            </w:pPr>
            <w:r/>
            <w:r>
              <w:rPr>
                <w:sz w:val="13"/>
              </w:rPr>
              <w:t>(empty)</w:t>
            </w:r>
          </w:p>
        </w:tc>
        <w:tc>
          <w:tcPr>
            <w:tcW w:type="dxa" w:w="641"/>
          </w:tcPr>
          <w:p>
            <w:pPr>
              <w:spacing w:after="0"/>
            </w:pPr>
            <w:r/>
            <w:r>
              <w:rPr>
                <w:sz w:val="13"/>
              </w:rPr>
              <w:t>no</w:t>
            </w:r>
          </w:p>
        </w:tc>
        <w:tc>
          <w:tcPr>
            <w:tcW w:type="dxa" w:w="713"/>
          </w:tcPr>
          <w:p>
            <w:pPr>
              <w:spacing w:after="0"/>
            </w:pPr>
            <w:r/>
            <w:r>
              <w:rPr>
                <w:sz w:val="13"/>
              </w:rPr>
              <w:t>yes</w:t>
            </w:r>
          </w:p>
        </w:tc>
        <w:tc>
          <w:tcPr>
            <w:tcW w:type="dxa" w:w="4134"/>
          </w:tcPr>
          <w:p>
            <w:pPr>
              <w:spacing w:after="0"/>
            </w:pPr>
            <w:r/>
            <w:r>
              <w:rPr>
                <w:sz w:val="13"/>
              </w:rPr>
              <w:t>SMTP password</w:t>
            </w:r>
          </w:p>
        </w:tc>
        <w:tc>
          <w:tcPr>
            <w:tcW w:type="dxa" w:w="3635"/>
          </w:tcPr>
          <w:p>
            <w:pPr>
              <w:spacing w:after="0"/>
            </w:pPr>
            <w:r/>
            <w:r>
              <w:rPr>
                <w:sz w:val="13"/>
              </w:rPr>
              <w:t>Unauthenticated SMTP</w:t>
            </w:r>
          </w:p>
        </w:tc>
      </w:tr>
      <w:tr>
        <w:trPr>
          <w:cantSplit/>
        </w:trPr>
        <w:tc>
          <w:tcPr>
            <w:tcW w:type="dxa" w:w="2851"/>
          </w:tcPr>
          <w:p>
            <w:pPr>
              <w:spacing w:after="0"/>
            </w:pPr>
            <w:r/>
            <w:r>
              <w:rPr>
                <w:sz w:val="13"/>
              </w:rPr>
              <w:t>SMTP_FROM</w:t>
            </w:r>
          </w:p>
        </w:tc>
        <w:tc>
          <w:tcPr>
            <w:tcW w:type="dxa" w:w="2138"/>
          </w:tcPr>
          <w:p>
            <w:pPr>
              <w:spacing w:after="0"/>
            </w:pPr>
            <w:r/>
            <w:r>
              <w:rPr>
                <w:sz w:val="13"/>
              </w:rPr>
              <w:t>no-reply@keluargamart.local (via .env.example only)</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Envelope/header From address</w:t>
            </w:r>
          </w:p>
        </w:tc>
        <w:tc>
          <w:tcPr>
            <w:tcW w:type="dxa" w:w="3635"/>
          </w:tcPr>
          <w:p>
            <w:pPr>
              <w:spacing w:after="0"/>
            </w:pPr>
            <w:r/>
            <w:r>
              <w:rPr>
                <w:sz w:val="13"/>
              </w:rPr>
              <w:t>Empty From header — see Finding F-07</w:t>
            </w:r>
          </w:p>
        </w:tc>
      </w:tr>
      <w:tr>
        <w:trPr>
          <w:cantSplit/>
        </w:trPr>
        <w:tc>
          <w:tcPr>
            <w:tcW w:type="dxa" w:w="2851"/>
          </w:tcPr>
          <w:p>
            <w:pPr>
              <w:spacing w:after="0"/>
            </w:pPr>
            <w:r/>
            <w:r>
              <w:rPr>
                <w:sz w:val="13"/>
              </w:rPr>
              <w:t>NEXTREPORT_URL</w:t>
            </w:r>
          </w:p>
        </w:tc>
        <w:tc>
          <w:tcPr>
            <w:tcW w:type="dxa" w:w="2138"/>
          </w:tcPr>
          <w:p>
            <w:pPr>
              <w:spacing w:after="0"/>
            </w:pPr>
            <w:r/>
            <w:r>
              <w:rPr>
                <w:sz w:val="13"/>
              </w:rPr>
              <w:t>http://localhost:5489</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NextReport render service base URL</w:t>
            </w:r>
          </w:p>
        </w:tc>
        <w:tc>
          <w:tcPr>
            <w:tcW w:type="dxa" w:w="3635"/>
          </w:tcPr>
          <w:p>
            <w:pPr>
              <w:spacing w:after="0"/>
            </w:pPr>
            <w:r/>
            <w:r>
              <w:rPr>
                <w:sz w:val="13"/>
              </w:rPr>
              <w:t>PDF/HTML rendering fails</w:t>
            </w:r>
          </w:p>
        </w:tc>
      </w:tr>
      <w:tr>
        <w:trPr>
          <w:cantSplit/>
        </w:trPr>
        <w:tc>
          <w:tcPr>
            <w:tcW w:type="dxa" w:w="2851"/>
          </w:tcPr>
          <w:p>
            <w:pPr>
              <w:spacing w:after="0"/>
            </w:pPr>
            <w:r/>
            <w:r>
              <w:rPr>
                <w:sz w:val="13"/>
              </w:rPr>
              <w:t>B2B_BASE_URL</w:t>
            </w:r>
          </w:p>
        </w:tc>
        <w:tc>
          <w:tcPr>
            <w:tcW w:type="dxa" w:w="2138"/>
          </w:tcPr>
          <w:p>
            <w:pPr>
              <w:spacing w:after="0"/>
            </w:pPr>
            <w:r/>
            <w:r>
              <w:rPr>
                <w:sz w:val="13"/>
              </w:rPr>
              <w:t>https://b2b-km.trl.my.id</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Base URL for links in outbound email</w:t>
            </w:r>
          </w:p>
        </w:tc>
        <w:tc>
          <w:tcPr>
            <w:tcW w:type="dxa" w:w="3635"/>
          </w:tcPr>
          <w:p>
            <w:pPr>
              <w:spacing w:after="0"/>
            </w:pPr>
            <w:r/>
            <w:r>
              <w:rPr>
                <w:sz w:val="13"/>
              </w:rPr>
              <w:t>Reset links point at the default host</w:t>
            </w:r>
          </w:p>
        </w:tc>
      </w:tr>
      <w:tr>
        <w:trPr>
          <w:cantSplit/>
        </w:trPr>
        <w:tc>
          <w:tcPr>
            <w:tcW w:type="dxa" w:w="2851"/>
          </w:tcPr>
          <w:p>
            <w:pPr>
              <w:spacing w:after="0"/>
            </w:pPr>
            <w:r/>
            <w:r>
              <w:rPr>
                <w:sz w:val="13"/>
              </w:rPr>
              <w:t>PUBLIC_API_BASE_URL</w:t>
            </w:r>
          </w:p>
        </w:tc>
        <w:tc>
          <w:tcPr>
            <w:tcW w:type="dxa" w:w="2138"/>
          </w:tcPr>
          <w:p>
            <w:pPr>
              <w:spacing w:after="0"/>
            </w:pPr>
            <w:r/>
            <w:r>
              <w:rPr>
                <w:sz w:val="13"/>
              </w:rPr>
              <w:t>https://erp-km.trl.my.id</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Public origin Midtrans posts notifications to</w:t>
            </w:r>
          </w:p>
        </w:tc>
        <w:tc>
          <w:tcPr>
            <w:tcW w:type="dxa" w:w="3635"/>
          </w:tcPr>
          <w:p>
            <w:pPr>
              <w:spacing w:after="0"/>
            </w:pPr>
            <w:r/>
            <w:r>
              <w:rPr>
                <w:sz w:val="13"/>
              </w:rPr>
              <w:t>Notification URL points at the ERP host</w:t>
            </w:r>
          </w:p>
        </w:tc>
      </w:tr>
      <w:tr>
        <w:trPr>
          <w:cantSplit/>
        </w:trPr>
        <w:tc>
          <w:tcPr>
            <w:tcW w:type="dxa" w:w="2851"/>
          </w:tcPr>
          <w:p>
            <w:pPr>
              <w:spacing w:after="0"/>
            </w:pPr>
            <w:r/>
            <w:r>
              <w:rPr>
                <w:sz w:val="13"/>
              </w:rPr>
              <w:t>MIDTRANS_SERVER_KEY</w:t>
            </w:r>
          </w:p>
        </w:tc>
        <w:tc>
          <w:tcPr>
            <w:tcW w:type="dxa" w:w="2138"/>
          </w:tcPr>
          <w:p>
            <w:pPr>
              <w:spacing w:after="0"/>
            </w:pPr>
            <w:r/>
            <w:r>
              <w:rPr>
                <w:sz w:val="13"/>
              </w:rPr>
              <w:t>(empty)</w:t>
            </w:r>
          </w:p>
        </w:tc>
        <w:tc>
          <w:tcPr>
            <w:tcW w:type="dxa" w:w="641"/>
          </w:tcPr>
          <w:p>
            <w:pPr>
              <w:spacing w:after="0"/>
            </w:pPr>
            <w:r/>
            <w:r>
              <w:rPr>
                <w:sz w:val="13"/>
              </w:rPr>
              <w:t>no</w:t>
            </w:r>
          </w:p>
        </w:tc>
        <w:tc>
          <w:tcPr>
            <w:tcW w:type="dxa" w:w="713"/>
          </w:tcPr>
          <w:p>
            <w:pPr>
              <w:spacing w:after="0"/>
            </w:pPr>
            <w:r/>
            <w:r>
              <w:rPr>
                <w:sz w:val="13"/>
              </w:rPr>
              <w:t>yes</w:t>
            </w:r>
          </w:p>
        </w:tc>
        <w:tc>
          <w:tcPr>
            <w:tcW w:type="dxa" w:w="4134"/>
          </w:tcPr>
          <w:p>
            <w:pPr>
              <w:spacing w:after="0"/>
            </w:pPr>
            <w:r/>
            <w:r>
              <w:rPr>
                <w:sz w:val="13"/>
              </w:rPr>
              <w:t>Snap/Core API server key</w:t>
            </w:r>
          </w:p>
        </w:tc>
        <w:tc>
          <w:tcPr>
            <w:tcW w:type="dxa" w:w="3635"/>
          </w:tcPr>
          <w:p>
            <w:pPr>
              <w:spacing w:after="0"/>
            </w:pPr>
            <w:r/>
            <w:r>
              <w:rPr>
                <w:sz w:val="13"/>
              </w:rPr>
              <w:t>Gateway disabled: snap-token and QRIS return 503</w:t>
            </w:r>
          </w:p>
        </w:tc>
      </w:tr>
      <w:tr>
        <w:trPr>
          <w:cantSplit/>
        </w:trPr>
        <w:tc>
          <w:tcPr>
            <w:tcW w:type="dxa" w:w="2851"/>
          </w:tcPr>
          <w:p>
            <w:pPr>
              <w:spacing w:after="0"/>
            </w:pPr>
            <w:r/>
            <w:r>
              <w:rPr>
                <w:sz w:val="13"/>
              </w:rPr>
              <w:t>MIDTRANS_CLIENT_KEY</w:t>
            </w:r>
          </w:p>
        </w:tc>
        <w:tc>
          <w:tcPr>
            <w:tcW w:type="dxa" w:w="2138"/>
          </w:tcPr>
          <w:p>
            <w:pPr>
              <w:spacing w:after="0"/>
            </w:pPr>
            <w:r/>
            <w:r>
              <w:rPr>
                <w:sz w:val="13"/>
              </w:rPr>
              <w:t>(empty)</w:t>
            </w:r>
          </w:p>
        </w:tc>
        <w:tc>
          <w:tcPr>
            <w:tcW w:type="dxa" w:w="641"/>
          </w:tcPr>
          <w:p>
            <w:pPr>
              <w:spacing w:after="0"/>
            </w:pPr>
            <w:r/>
            <w:r>
              <w:rPr>
                <w:sz w:val="13"/>
              </w:rPr>
              <w:t>no</w:t>
            </w:r>
          </w:p>
        </w:tc>
        <w:tc>
          <w:tcPr>
            <w:tcW w:type="dxa" w:w="713"/>
          </w:tcPr>
          <w:p>
            <w:pPr>
              <w:spacing w:after="0"/>
            </w:pPr>
            <w:r/>
            <w:r>
              <w:rPr>
                <w:sz w:val="13"/>
              </w:rPr>
              <w:t>yes</w:t>
            </w:r>
          </w:p>
        </w:tc>
        <w:tc>
          <w:tcPr>
            <w:tcW w:type="dxa" w:w="4134"/>
          </w:tcPr>
          <w:p>
            <w:pPr>
              <w:spacing w:after="0"/>
            </w:pPr>
            <w:r/>
            <w:r>
              <w:rPr>
                <w:sz w:val="13"/>
              </w:rPr>
              <w:t>Snap client key exposed to B2B</w:t>
            </w:r>
          </w:p>
        </w:tc>
        <w:tc>
          <w:tcPr>
            <w:tcW w:type="dxa" w:w="3635"/>
          </w:tcPr>
          <w:p>
            <w:pPr>
              <w:spacing w:after="0"/>
            </w:pPr>
            <w:r/>
            <w:r>
              <w:rPr>
                <w:sz w:val="13"/>
              </w:rPr>
              <w:t>Online payment button hidden</w:t>
            </w:r>
          </w:p>
        </w:tc>
      </w:tr>
      <w:tr>
        <w:trPr>
          <w:cantSplit/>
        </w:trPr>
        <w:tc>
          <w:tcPr>
            <w:tcW w:type="dxa" w:w="2851"/>
          </w:tcPr>
          <w:p>
            <w:pPr>
              <w:spacing w:after="0"/>
            </w:pPr>
            <w:r/>
            <w:r>
              <w:rPr>
                <w:sz w:val="13"/>
              </w:rPr>
              <w:t>MIDTRANS_IS_PRODUCTION</w:t>
            </w:r>
          </w:p>
        </w:tc>
        <w:tc>
          <w:tcPr>
            <w:tcW w:type="dxa" w:w="2138"/>
          </w:tcPr>
          <w:p>
            <w:pPr>
              <w:spacing w:after="0"/>
            </w:pPr>
            <w:r/>
            <w:r>
              <w:rPr>
                <w:sz w:val="13"/>
              </w:rPr>
              <w:t>false</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Selects sandbox vs production Midtrans hosts</w:t>
            </w:r>
          </w:p>
        </w:tc>
        <w:tc>
          <w:tcPr>
            <w:tcW w:type="dxa" w:w="3635"/>
          </w:tcPr>
          <w:p>
            <w:pPr>
              <w:spacing w:after="0"/>
            </w:pPr>
            <w:r/>
            <w:r>
              <w:rPr>
                <w:sz w:val="13"/>
              </w:rPr>
              <w:t>Sandbox hosts</w:t>
            </w:r>
          </w:p>
        </w:tc>
      </w:tr>
      <w:tr>
        <w:trPr>
          <w:cantSplit/>
        </w:trPr>
        <w:tc>
          <w:tcPr>
            <w:tcW w:type="dxa" w:w="2851"/>
          </w:tcPr>
          <w:p>
            <w:pPr>
              <w:spacing w:after="0"/>
            </w:pPr>
            <w:r/>
            <w:r>
              <w:rPr>
                <w:sz w:val="13"/>
              </w:rPr>
              <w:t>MIDTRANS_SWEEP_TOKEN</w:t>
            </w:r>
          </w:p>
        </w:tc>
        <w:tc>
          <w:tcPr>
            <w:tcW w:type="dxa" w:w="2138"/>
          </w:tcPr>
          <w:p>
            <w:pPr>
              <w:spacing w:after="0"/>
            </w:pPr>
            <w:r/>
            <w:r>
              <w:rPr>
                <w:sz w:val="13"/>
              </w:rPr>
              <w:t>(empty)</w:t>
            </w:r>
          </w:p>
        </w:tc>
        <w:tc>
          <w:tcPr>
            <w:tcW w:type="dxa" w:w="641"/>
          </w:tcPr>
          <w:p>
            <w:pPr>
              <w:spacing w:after="0"/>
            </w:pPr>
            <w:r/>
            <w:r>
              <w:rPr>
                <w:sz w:val="13"/>
              </w:rPr>
              <w:t>no</w:t>
            </w:r>
          </w:p>
        </w:tc>
        <w:tc>
          <w:tcPr>
            <w:tcW w:type="dxa" w:w="713"/>
          </w:tcPr>
          <w:p>
            <w:pPr>
              <w:spacing w:after="0"/>
            </w:pPr>
            <w:r/>
            <w:r>
              <w:rPr>
                <w:sz w:val="13"/>
              </w:rPr>
              <w:t>yes</w:t>
            </w:r>
          </w:p>
        </w:tc>
        <w:tc>
          <w:tcPr>
            <w:tcW w:type="dxa" w:w="4134"/>
          </w:tcPr>
          <w:p>
            <w:pPr>
              <w:spacing w:after="0"/>
            </w:pPr>
            <w:r/>
            <w:r>
              <w:rPr>
                <w:sz w:val="13"/>
              </w:rPr>
              <w:t>Shared secret gating POST /api/v1/midtrans/sweep</w:t>
            </w:r>
          </w:p>
        </w:tc>
        <w:tc>
          <w:tcPr>
            <w:tcW w:type="dxa" w:w="3635"/>
          </w:tcPr>
          <w:p>
            <w:pPr>
              <w:spacing w:after="0"/>
            </w:pPr>
            <w:r/>
            <w:r>
              <w:rPr>
                <w:sz w:val="13"/>
              </w:rPr>
              <w:t>Route answers 404 (sweeper not deployed)</w:t>
            </w:r>
          </w:p>
        </w:tc>
      </w:tr>
      <w:tr>
        <w:trPr>
          <w:cantSplit/>
        </w:trPr>
        <w:tc>
          <w:tcPr>
            <w:tcW w:type="dxa" w:w="2851"/>
          </w:tcPr>
          <w:p>
            <w:pPr>
              <w:spacing w:after="0"/>
            </w:pPr>
            <w:r/>
            <w:r>
              <w:rPr>
                <w:sz w:val="13"/>
              </w:rPr>
              <w:t>ROUTING_PROVIDER</w:t>
            </w:r>
          </w:p>
        </w:tc>
        <w:tc>
          <w:tcPr>
            <w:tcW w:type="dxa" w:w="2138"/>
          </w:tcPr>
          <w:p>
            <w:pPr>
              <w:spacing w:after="0"/>
            </w:pPr>
            <w:r/>
            <w:r>
              <w:rPr>
                <w:sz w:val="13"/>
              </w:rPr>
              <w:t>(empty)</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Routing backend selector (osrm)</w:t>
            </w:r>
          </w:p>
        </w:tc>
        <w:tc>
          <w:tcPr>
            <w:tcW w:type="dxa" w:w="3635"/>
          </w:tcPr>
          <w:p>
            <w:pPr>
              <w:spacing w:after="0"/>
            </w:pPr>
            <w:r/>
            <w:r>
              <w:rPr>
                <w:sz w:val="13"/>
              </w:rPr>
              <w:t>No routing; straight-line fallback</w:t>
            </w:r>
          </w:p>
        </w:tc>
      </w:tr>
      <w:tr>
        <w:trPr>
          <w:cantSplit/>
        </w:trPr>
        <w:tc>
          <w:tcPr>
            <w:tcW w:type="dxa" w:w="2851"/>
          </w:tcPr>
          <w:p>
            <w:pPr>
              <w:spacing w:after="0"/>
            </w:pPr>
            <w:r/>
            <w:r>
              <w:rPr>
                <w:sz w:val="13"/>
              </w:rPr>
              <w:t>ROUTING_BASE_URL</w:t>
            </w:r>
          </w:p>
        </w:tc>
        <w:tc>
          <w:tcPr>
            <w:tcW w:type="dxa" w:w="2138"/>
          </w:tcPr>
          <w:p>
            <w:pPr>
              <w:spacing w:after="0"/>
            </w:pPr>
            <w:r/>
            <w:r>
              <w:rPr>
                <w:sz w:val="13"/>
              </w:rPr>
              <w:t>(empty)</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OSRM base URL</w:t>
            </w:r>
          </w:p>
        </w:tc>
        <w:tc>
          <w:tcPr>
            <w:tcW w:type="dxa" w:w="3635"/>
          </w:tcPr>
          <w:p>
            <w:pPr>
              <w:spacing w:after="0"/>
            </w:pPr>
            <w:r/>
            <w:r>
              <w:rPr>
                <w:sz w:val="13"/>
              </w:rPr>
              <w:t>Routing disabled</w:t>
            </w:r>
          </w:p>
        </w:tc>
      </w:tr>
      <w:tr>
        <w:trPr>
          <w:cantSplit/>
        </w:trPr>
        <w:tc>
          <w:tcPr>
            <w:tcW w:type="dxa" w:w="2851"/>
          </w:tcPr>
          <w:p>
            <w:pPr>
              <w:spacing w:after="0"/>
            </w:pPr>
            <w:r/>
            <w:r>
              <w:rPr>
                <w:sz w:val="13"/>
              </w:rPr>
              <w:t>GEOCODER_ENABLED</w:t>
            </w:r>
          </w:p>
        </w:tc>
        <w:tc>
          <w:tcPr>
            <w:tcW w:type="dxa" w:w="2138"/>
          </w:tcPr>
          <w:p>
            <w:pPr>
              <w:spacing w:after="0"/>
            </w:pPr>
            <w:r/>
            <w:r>
              <w:rPr>
                <w:sz w:val="13"/>
              </w:rPr>
              <w:t>false</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Forward/reverse geocoding</w:t>
            </w:r>
          </w:p>
        </w:tc>
        <w:tc>
          <w:tcPr>
            <w:tcW w:type="dxa" w:w="3635"/>
          </w:tcPr>
          <w:p>
            <w:pPr>
              <w:spacing w:after="0"/>
            </w:pPr>
            <w:r/>
            <w:r>
              <w:rPr>
                <w:sz w:val="13"/>
              </w:rPr>
              <w:t>Geocode endpoint reports disabled</w:t>
            </w:r>
          </w:p>
        </w:tc>
      </w:tr>
      <w:tr>
        <w:trPr>
          <w:cantSplit/>
        </w:trPr>
        <w:tc>
          <w:tcPr>
            <w:tcW w:type="dxa" w:w="2851"/>
          </w:tcPr>
          <w:p>
            <w:pPr>
              <w:spacing w:after="0"/>
            </w:pPr>
            <w:r/>
            <w:r>
              <w:rPr>
                <w:sz w:val="13"/>
              </w:rPr>
              <w:t>GEOCODER_BASE_URL</w:t>
            </w:r>
          </w:p>
        </w:tc>
        <w:tc>
          <w:tcPr>
            <w:tcW w:type="dxa" w:w="2138"/>
          </w:tcPr>
          <w:p>
            <w:pPr>
              <w:spacing w:after="0"/>
            </w:pPr>
            <w:r/>
            <w:r>
              <w:rPr>
                <w:sz w:val="13"/>
              </w:rPr>
              <w:t>https://nominatim.openstreetmap.org</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Nominatim endpoint</w:t>
            </w:r>
          </w:p>
        </w:tc>
        <w:tc>
          <w:tcPr>
            <w:tcW w:type="dxa" w:w="3635"/>
          </w:tcPr>
          <w:p>
            <w:pPr>
              <w:spacing w:after="0"/>
            </w:pPr>
            <w:r/>
            <w:r>
              <w:rPr>
                <w:sz w:val="13"/>
              </w:rPr>
              <w:t>Default public endpoint</w:t>
            </w:r>
          </w:p>
        </w:tc>
      </w:tr>
      <w:tr>
        <w:trPr>
          <w:cantSplit/>
        </w:trPr>
        <w:tc>
          <w:tcPr>
            <w:tcW w:type="dxa" w:w="2851"/>
          </w:tcPr>
          <w:p>
            <w:pPr>
              <w:spacing w:after="0"/>
            </w:pPr>
            <w:r/>
            <w:r>
              <w:rPr>
                <w:sz w:val="13"/>
              </w:rPr>
              <w:t>LOG_GR_MOVEMENTS</w:t>
            </w:r>
          </w:p>
        </w:tc>
        <w:tc>
          <w:tcPr>
            <w:tcW w:type="dxa" w:w="2138"/>
          </w:tcPr>
          <w:p>
            <w:pPr>
              <w:spacing w:after="0"/>
            </w:pPr>
            <w:r/>
            <w:r>
              <w:rPr>
                <w:sz w:val="13"/>
              </w:rPr>
              <w:t>false</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Verbose goods-receipt movement logging</w:t>
            </w:r>
          </w:p>
        </w:tc>
        <w:tc>
          <w:tcPr>
            <w:tcW w:type="dxa" w:w="3635"/>
          </w:tcPr>
          <w:p>
            <w:pPr>
              <w:spacing w:after="0"/>
            </w:pPr>
            <w:r/>
            <w:r>
              <w:rPr>
                <w:sz w:val="13"/>
              </w:rPr>
              <w:t>Silent</w:t>
            </w:r>
          </w:p>
        </w:tc>
      </w:tr>
      <w:tr>
        <w:trPr>
          <w:cantSplit/>
        </w:trPr>
        <w:tc>
          <w:tcPr>
            <w:tcW w:type="dxa" w:w="2851"/>
          </w:tcPr>
          <w:p>
            <w:pPr>
              <w:spacing w:after="0"/>
            </w:pPr>
            <w:r/>
            <w:r>
              <w:rPr>
                <w:sz w:val="13"/>
              </w:rPr>
              <w:t>FIX_PAYDEBT_REFERENCE</w:t>
            </w:r>
          </w:p>
        </w:tc>
        <w:tc>
          <w:tcPr>
            <w:tcW w:type="dxa" w:w="2138"/>
          </w:tcPr>
          <w:p>
            <w:pPr>
              <w:spacing w:after="0"/>
            </w:pPr>
            <w:r/>
            <w:r>
              <w:rPr>
                <w:sz w:val="13"/>
              </w:rPr>
              <w:t>true</w:t>
            </w:r>
          </w:p>
        </w:tc>
        <w:tc>
          <w:tcPr>
            <w:tcW w:type="dxa" w:w="641"/>
          </w:tcPr>
          <w:p>
            <w:pPr>
              <w:spacing w:after="0"/>
            </w:pPr>
            <w:r/>
            <w:r>
              <w:rPr>
                <w:sz w:val="13"/>
              </w:rPr>
              <w:t>no</w:t>
            </w:r>
          </w:p>
        </w:tc>
        <w:tc>
          <w:tcPr>
            <w:tcW w:type="dxa" w:w="713"/>
          </w:tcPr>
          <w:p>
            <w:pPr>
              <w:spacing w:after="0"/>
            </w:pPr>
            <w:r/>
            <w:r>
              <w:rPr>
                <w:sz w:val="13"/>
              </w:rPr>
              <w:t>no</w:t>
            </w:r>
          </w:p>
        </w:tc>
        <w:tc>
          <w:tcPr>
            <w:tcW w:type="dxa" w:w="4134"/>
          </w:tcPr>
          <w:p>
            <w:pPr>
              <w:spacing w:after="0"/>
            </w:pPr>
            <w:r/>
            <w:r>
              <w:rPr>
                <w:sz w:val="13"/>
              </w:rPr>
              <w:t>Writes cashflow reference fields for supplier-debt payments</w:t>
            </w:r>
          </w:p>
        </w:tc>
        <w:tc>
          <w:tcPr>
            <w:tcW w:type="dxa" w:w="3635"/>
          </w:tcPr>
          <w:p>
            <w:pPr>
              <w:spacing w:after="0"/>
            </w:pPr>
            <w:r/>
            <w:r>
              <w:rPr>
                <w:sz w:val="13"/>
              </w:rPr>
              <w:t>Legacy rows keep NULL references</w:t>
            </w:r>
          </w:p>
        </w:tc>
      </w:tr>
    </w:tbl>
    <w:p>
      <w:pPr>
        <w:spacing w:after="200"/>
      </w:pPr>
      <w:r>
        <w:rPr>
          <w:i/>
          <w:color w:val="555F6D"/>
          <w:sz w:val="17"/>
        </w:rPr>
        <w:t>Table 69. Backend environment variables (36)</w:t>
      </w:r>
    </w:p>
    <w:p>
      <w:pPr>
        <w:sectPr>
          <w:pgSz w:w="15840" w:h="12240" w:orient="landscape"/>
          <w:pgMar w:top="1008" w:right="864" w:bottom="864" w:left="864" w:header="720" w:footer="720" w:gutter="0"/>
          <w:cols w:space="720"/>
          <w:docGrid w:linePitch="360"/>
        </w:sectPr>
      </w:pPr>
    </w:p>
    <w:p>
      <w:bookmarkStart w:id="1274" w:name="_Toc1274"/>
      <w:pPr>
        <w:pStyle w:val="Heading2"/>
      </w:pPr>
      <w:r>
        <w:t>23.2 Frontend variables</w:t>
      </w:r>
      <w:bookmarkEnd w:id="1274"/>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1930"/>
        <w:gridCol w:w="1930"/>
        <w:gridCol w:w="1930"/>
        <w:gridCol w:w="1930"/>
        <w:gridCol w:w="1930"/>
      </w:tblGrid>
      <w:tr>
        <w:trPr>
          <w:tblHeader w:val="true"/>
        </w:trPr>
        <w:tc>
          <w:tcPr>
            <w:tcW w:type="dxa" w:w="2880"/>
            <w:shd w:val="clear" w:color="auto" w:fill="1F3A5F"/>
          </w:tcPr>
          <w:p>
            <w:pPr>
              <w:spacing w:after="0"/>
            </w:pPr>
            <w:r/>
            <w:r>
              <w:rPr>
                <w:b/>
                <w:color w:val="FFFFFF"/>
                <w:sz w:val="15"/>
              </w:rPr>
              <w:t>Variable</w:t>
            </w:r>
          </w:p>
        </w:tc>
        <w:tc>
          <w:tcPr>
            <w:tcW w:type="dxa" w:w="864"/>
            <w:shd w:val="clear" w:color="auto" w:fill="1F3A5F"/>
          </w:tcPr>
          <w:p>
            <w:pPr>
              <w:spacing w:after="0"/>
            </w:pPr>
            <w:r/>
            <w:r>
              <w:rPr>
                <w:b/>
                <w:color w:val="FFFFFF"/>
                <w:sz w:val="15"/>
              </w:rPr>
              <w:t>App</w:t>
            </w:r>
          </w:p>
        </w:tc>
        <w:tc>
          <w:tcPr>
            <w:tcW w:type="dxa" w:w="2016"/>
            <w:shd w:val="clear" w:color="auto" w:fill="1F3A5F"/>
          </w:tcPr>
          <w:p>
            <w:pPr>
              <w:spacing w:after="0"/>
            </w:pPr>
            <w:r/>
            <w:r>
              <w:rPr>
                <w:b/>
                <w:color w:val="FFFFFF"/>
                <w:sz w:val="15"/>
              </w:rPr>
              <w:t>Default</w:t>
            </w:r>
          </w:p>
        </w:tc>
        <w:tc>
          <w:tcPr>
            <w:tcW w:type="dxa" w:w="1440"/>
            <w:shd w:val="clear" w:color="auto" w:fill="1F3A5F"/>
          </w:tcPr>
          <w:p>
            <w:pPr>
              <w:spacing w:after="0"/>
            </w:pPr>
            <w:r/>
            <w:r>
              <w:rPr>
                <w:b/>
                <w:color w:val="FFFFFF"/>
                <w:sz w:val="15"/>
              </w:rPr>
              <w:t>Visibility</w:t>
            </w:r>
          </w:p>
        </w:tc>
        <w:tc>
          <w:tcPr>
            <w:tcW w:type="dxa" w:w="2160"/>
            <w:shd w:val="clear" w:color="auto" w:fill="1F3A5F"/>
          </w:tcPr>
          <w:p>
            <w:pPr>
              <w:spacing w:after="0"/>
            </w:pPr>
            <w:r/>
            <w:r>
              <w:rPr>
                <w:b/>
                <w:color w:val="FFFFFF"/>
                <w:sz w:val="15"/>
              </w:rPr>
              <w:t>Purpose</w:t>
            </w:r>
          </w:p>
        </w:tc>
      </w:tr>
      <w:tr>
        <w:trPr>
          <w:cantSplit/>
        </w:trPr>
        <w:tc>
          <w:tcPr>
            <w:tcW w:type="dxa" w:w="2880"/>
          </w:tcPr>
          <w:p>
            <w:pPr>
              <w:spacing w:after="0"/>
            </w:pPr>
            <w:r/>
            <w:r>
              <w:rPr>
                <w:sz w:val="15"/>
              </w:rPr>
              <w:t>VITE_API_URL</w:t>
            </w:r>
          </w:p>
        </w:tc>
        <w:tc>
          <w:tcPr>
            <w:tcW w:type="dxa" w:w="864"/>
          </w:tcPr>
          <w:p>
            <w:pPr>
              <w:spacing w:after="0"/>
            </w:pPr>
            <w:r/>
            <w:r>
              <w:rPr>
                <w:sz w:val="15"/>
              </w:rPr>
              <w:t>erp</w:t>
            </w:r>
          </w:p>
        </w:tc>
        <w:tc>
          <w:tcPr>
            <w:tcW w:type="dxa" w:w="2016"/>
          </w:tcPr>
          <w:p>
            <w:pPr>
              <w:spacing w:after="0"/>
            </w:pPr>
            <w:r/>
            <w:r>
              <w:rPr>
                <w:sz w:val="15"/>
              </w:rPr>
              <w:t>/api/v1</w:t>
            </w:r>
          </w:p>
        </w:tc>
        <w:tc>
          <w:tcPr>
            <w:tcW w:type="dxa" w:w="1440"/>
          </w:tcPr>
          <w:p>
            <w:pPr>
              <w:spacing w:after="0"/>
            </w:pPr>
            <w:r/>
            <w:r>
              <w:rPr>
                <w:sz w:val="15"/>
              </w:rPr>
              <w:t>public</w:t>
            </w:r>
          </w:p>
        </w:tc>
        <w:tc>
          <w:tcPr>
            <w:tcW w:type="dxa" w:w="2160"/>
          </w:tcPr>
          <w:p>
            <w:pPr>
              <w:spacing w:after="0"/>
            </w:pPr>
            <w:r/>
            <w:r>
              <w:rPr>
                <w:sz w:val="15"/>
              </w:rPr>
              <w:t>Backend base for ERP axios client</w:t>
            </w:r>
          </w:p>
        </w:tc>
      </w:tr>
      <w:tr>
        <w:trPr>
          <w:cantSplit/>
        </w:trPr>
        <w:tc>
          <w:tcPr>
            <w:tcW w:type="dxa" w:w="2880"/>
          </w:tcPr>
          <w:p>
            <w:pPr>
              <w:spacing w:after="0"/>
            </w:pPr>
            <w:r/>
            <w:r>
              <w:rPr>
                <w:sz w:val="15"/>
              </w:rPr>
              <w:t>VITE_MAP_TILE_URL</w:t>
            </w:r>
          </w:p>
        </w:tc>
        <w:tc>
          <w:tcPr>
            <w:tcW w:type="dxa" w:w="864"/>
          </w:tcPr>
          <w:p>
            <w:pPr>
              <w:spacing w:after="0"/>
            </w:pPr>
            <w:r/>
            <w:r>
              <w:rPr>
                <w:sz w:val="15"/>
              </w:rPr>
              <w:t>erp</w:t>
            </w:r>
          </w:p>
        </w:tc>
        <w:tc>
          <w:tcPr>
            <w:tcW w:type="dxa" w:w="2016"/>
          </w:tcPr>
          <w:p>
            <w:pPr>
              <w:spacing w:after="0"/>
            </w:pPr>
            <w:r/>
            <w:r>
              <w:rPr>
                <w:sz w:val="15"/>
              </w:rPr>
              <w:t>OpenStreetMap standard tiles</w:t>
            </w:r>
          </w:p>
        </w:tc>
        <w:tc>
          <w:tcPr>
            <w:tcW w:type="dxa" w:w="1440"/>
          </w:tcPr>
          <w:p>
            <w:pPr>
              <w:spacing w:after="0"/>
            </w:pPr>
            <w:r/>
            <w:r>
              <w:rPr>
                <w:sz w:val="15"/>
              </w:rPr>
              <w:t>public</w:t>
            </w:r>
          </w:p>
        </w:tc>
        <w:tc>
          <w:tcPr>
            <w:tcW w:type="dxa" w:w="2160"/>
          </w:tcPr>
          <w:p>
            <w:pPr>
              <w:spacing w:after="0"/>
            </w:pPr>
            <w:r/>
            <w:r>
              <w:rPr>
                <w:sz w:val="15"/>
              </w:rPr>
              <w:t>Map tile template</w:t>
            </w:r>
          </w:p>
        </w:tc>
      </w:tr>
      <w:tr>
        <w:trPr>
          <w:cantSplit/>
        </w:trPr>
        <w:tc>
          <w:tcPr>
            <w:tcW w:type="dxa" w:w="2880"/>
          </w:tcPr>
          <w:p>
            <w:pPr>
              <w:spacing w:after="0"/>
            </w:pPr>
            <w:r/>
            <w:r>
              <w:rPr>
                <w:sz w:val="15"/>
              </w:rPr>
              <w:t>VITE_MAP_ATTRIBUTION</w:t>
            </w:r>
          </w:p>
        </w:tc>
        <w:tc>
          <w:tcPr>
            <w:tcW w:type="dxa" w:w="864"/>
          </w:tcPr>
          <w:p>
            <w:pPr>
              <w:spacing w:after="0"/>
            </w:pPr>
            <w:r/>
            <w:r>
              <w:rPr>
                <w:sz w:val="15"/>
              </w:rPr>
              <w:t>erp</w:t>
            </w:r>
          </w:p>
        </w:tc>
        <w:tc>
          <w:tcPr>
            <w:tcW w:type="dxa" w:w="2016"/>
          </w:tcPr>
          <w:p>
            <w:pPr>
              <w:spacing w:after="0"/>
            </w:pPr>
            <w:r/>
            <w:r>
              <w:rPr>
                <w:sz w:val="15"/>
              </w:rPr>
              <w:t>OSM attribution</w:t>
            </w:r>
          </w:p>
        </w:tc>
        <w:tc>
          <w:tcPr>
            <w:tcW w:type="dxa" w:w="1440"/>
          </w:tcPr>
          <w:p>
            <w:pPr>
              <w:spacing w:after="0"/>
            </w:pPr>
            <w:r/>
            <w:r>
              <w:rPr>
                <w:sz w:val="15"/>
              </w:rPr>
              <w:t>public</w:t>
            </w:r>
          </w:p>
        </w:tc>
        <w:tc>
          <w:tcPr>
            <w:tcW w:type="dxa" w:w="2160"/>
          </w:tcPr>
          <w:p>
            <w:pPr>
              <w:spacing w:after="0"/>
            </w:pPr>
            <w:r/>
            <w:r>
              <w:rPr>
                <w:sz w:val="15"/>
              </w:rPr>
              <w:t>Required attribution text</w:t>
            </w:r>
          </w:p>
        </w:tc>
      </w:tr>
      <w:tr>
        <w:trPr>
          <w:cantSplit/>
        </w:trPr>
        <w:tc>
          <w:tcPr>
            <w:tcW w:type="dxa" w:w="2880"/>
          </w:tcPr>
          <w:p>
            <w:pPr>
              <w:spacing w:after="0"/>
            </w:pPr>
            <w:r/>
            <w:r>
              <w:rPr>
                <w:sz w:val="15"/>
              </w:rPr>
              <w:t>VITE_MAP_MAX_ZOOM</w:t>
            </w:r>
          </w:p>
        </w:tc>
        <w:tc>
          <w:tcPr>
            <w:tcW w:type="dxa" w:w="864"/>
          </w:tcPr>
          <w:p>
            <w:pPr>
              <w:spacing w:after="0"/>
            </w:pPr>
            <w:r/>
            <w:r>
              <w:rPr>
                <w:sz w:val="15"/>
              </w:rPr>
              <w:t>erp</w:t>
            </w:r>
          </w:p>
        </w:tc>
        <w:tc>
          <w:tcPr>
            <w:tcW w:type="dxa" w:w="2016"/>
          </w:tcPr>
          <w:p>
            <w:pPr>
              <w:spacing w:after="0"/>
            </w:pPr>
            <w:r/>
            <w:r>
              <w:rPr>
                <w:sz w:val="15"/>
              </w:rPr>
              <w:t>19</w:t>
            </w:r>
          </w:p>
        </w:tc>
        <w:tc>
          <w:tcPr>
            <w:tcW w:type="dxa" w:w="1440"/>
          </w:tcPr>
          <w:p>
            <w:pPr>
              <w:spacing w:after="0"/>
            </w:pPr>
            <w:r/>
            <w:r>
              <w:rPr>
                <w:sz w:val="15"/>
              </w:rPr>
              <w:t>public</w:t>
            </w:r>
          </w:p>
        </w:tc>
        <w:tc>
          <w:tcPr>
            <w:tcW w:type="dxa" w:w="2160"/>
          </w:tcPr>
          <w:p>
            <w:pPr>
              <w:spacing w:after="0"/>
            </w:pPr>
            <w:r/>
            <w:r>
              <w:rPr>
                <w:sz w:val="15"/>
              </w:rPr>
              <w:t>Maximum tile zoom</w:t>
            </w:r>
          </w:p>
        </w:tc>
      </w:tr>
      <w:tr>
        <w:trPr>
          <w:cantSplit/>
        </w:trPr>
        <w:tc>
          <w:tcPr>
            <w:tcW w:type="dxa" w:w="2880"/>
          </w:tcPr>
          <w:p>
            <w:pPr>
              <w:spacing w:after="0"/>
            </w:pPr>
            <w:r/>
            <w:r>
              <w:rPr>
                <w:sz w:val="15"/>
              </w:rPr>
              <w:t>VITE_FRESH_LIVE_SECONDS</w:t>
            </w:r>
          </w:p>
        </w:tc>
        <w:tc>
          <w:tcPr>
            <w:tcW w:type="dxa" w:w="864"/>
          </w:tcPr>
          <w:p>
            <w:pPr>
              <w:spacing w:after="0"/>
            </w:pPr>
            <w:r/>
            <w:r>
              <w:rPr>
                <w:sz w:val="15"/>
              </w:rPr>
              <w:t>erp</w:t>
            </w:r>
          </w:p>
        </w:tc>
        <w:tc>
          <w:tcPr>
            <w:tcW w:type="dxa" w:w="2016"/>
          </w:tcPr>
          <w:p>
            <w:pPr>
              <w:spacing w:after="0"/>
            </w:pPr>
            <w:r/>
            <w:r>
              <w:rPr>
                <w:sz w:val="15"/>
              </w:rPr>
              <w:t>60</w:t>
            </w:r>
          </w:p>
        </w:tc>
        <w:tc>
          <w:tcPr>
            <w:tcW w:type="dxa" w:w="1440"/>
          </w:tcPr>
          <w:p>
            <w:pPr>
              <w:spacing w:after="0"/>
            </w:pPr>
            <w:r/>
            <w:r>
              <w:rPr>
                <w:sz w:val="15"/>
              </w:rPr>
              <w:t>public</w:t>
            </w:r>
          </w:p>
        </w:tc>
        <w:tc>
          <w:tcPr>
            <w:tcW w:type="dxa" w:w="2160"/>
          </w:tcPr>
          <w:p>
            <w:pPr>
              <w:spacing w:after="0"/>
            </w:pPr>
            <w:r/>
            <w:r>
              <w:rPr>
                <w:sz w:val="15"/>
              </w:rPr>
              <w:t>GPS freshness band</w:t>
            </w:r>
          </w:p>
        </w:tc>
      </w:tr>
      <w:tr>
        <w:trPr>
          <w:cantSplit/>
        </w:trPr>
        <w:tc>
          <w:tcPr>
            <w:tcW w:type="dxa" w:w="2880"/>
          </w:tcPr>
          <w:p>
            <w:pPr>
              <w:spacing w:after="0"/>
            </w:pPr>
            <w:r/>
            <w:r>
              <w:rPr>
                <w:sz w:val="15"/>
              </w:rPr>
              <w:t>VITE_FRESH_RECENT_SECONDS</w:t>
            </w:r>
          </w:p>
        </w:tc>
        <w:tc>
          <w:tcPr>
            <w:tcW w:type="dxa" w:w="864"/>
          </w:tcPr>
          <w:p>
            <w:pPr>
              <w:spacing w:after="0"/>
            </w:pPr>
            <w:r/>
            <w:r>
              <w:rPr>
                <w:sz w:val="15"/>
              </w:rPr>
              <w:t>erp</w:t>
            </w:r>
          </w:p>
        </w:tc>
        <w:tc>
          <w:tcPr>
            <w:tcW w:type="dxa" w:w="2016"/>
          </w:tcPr>
          <w:p>
            <w:pPr>
              <w:spacing w:after="0"/>
            </w:pPr>
            <w:r/>
            <w:r>
              <w:rPr>
                <w:sz w:val="15"/>
              </w:rPr>
              <w:t>180</w:t>
            </w:r>
          </w:p>
        </w:tc>
        <w:tc>
          <w:tcPr>
            <w:tcW w:type="dxa" w:w="1440"/>
          </w:tcPr>
          <w:p>
            <w:pPr>
              <w:spacing w:after="0"/>
            </w:pPr>
            <w:r/>
            <w:r>
              <w:rPr>
                <w:sz w:val="15"/>
              </w:rPr>
              <w:t>public</w:t>
            </w:r>
          </w:p>
        </w:tc>
        <w:tc>
          <w:tcPr>
            <w:tcW w:type="dxa" w:w="2160"/>
          </w:tcPr>
          <w:p>
            <w:pPr>
              <w:spacing w:after="0"/>
            </w:pPr>
            <w:r/>
            <w:r>
              <w:rPr>
                <w:sz w:val="15"/>
              </w:rPr>
              <w:t>GPS freshness band</w:t>
            </w:r>
          </w:p>
        </w:tc>
      </w:tr>
      <w:tr>
        <w:trPr>
          <w:cantSplit/>
        </w:trPr>
        <w:tc>
          <w:tcPr>
            <w:tcW w:type="dxa" w:w="2880"/>
          </w:tcPr>
          <w:p>
            <w:pPr>
              <w:spacing w:after="0"/>
            </w:pPr>
            <w:r/>
            <w:r>
              <w:rPr>
                <w:sz w:val="15"/>
              </w:rPr>
              <w:t>VITE_FRESH_STALE_SECONDS</w:t>
            </w:r>
          </w:p>
        </w:tc>
        <w:tc>
          <w:tcPr>
            <w:tcW w:type="dxa" w:w="864"/>
          </w:tcPr>
          <w:p>
            <w:pPr>
              <w:spacing w:after="0"/>
            </w:pPr>
            <w:r/>
            <w:r>
              <w:rPr>
                <w:sz w:val="15"/>
              </w:rPr>
              <w:t>erp</w:t>
            </w:r>
          </w:p>
        </w:tc>
        <w:tc>
          <w:tcPr>
            <w:tcW w:type="dxa" w:w="2016"/>
          </w:tcPr>
          <w:p>
            <w:pPr>
              <w:spacing w:after="0"/>
            </w:pPr>
            <w:r/>
            <w:r>
              <w:rPr>
                <w:sz w:val="15"/>
              </w:rPr>
              <w:t>1200</w:t>
            </w:r>
          </w:p>
        </w:tc>
        <w:tc>
          <w:tcPr>
            <w:tcW w:type="dxa" w:w="1440"/>
          </w:tcPr>
          <w:p>
            <w:pPr>
              <w:spacing w:after="0"/>
            </w:pPr>
            <w:r/>
            <w:r>
              <w:rPr>
                <w:sz w:val="15"/>
              </w:rPr>
              <w:t>public</w:t>
            </w:r>
          </w:p>
        </w:tc>
        <w:tc>
          <w:tcPr>
            <w:tcW w:type="dxa" w:w="2160"/>
          </w:tcPr>
          <w:p>
            <w:pPr>
              <w:spacing w:after="0"/>
            </w:pPr>
            <w:r/>
            <w:r>
              <w:rPr>
                <w:sz w:val="15"/>
              </w:rPr>
              <w:t>GPS freshness band</w:t>
            </w:r>
          </w:p>
        </w:tc>
      </w:tr>
      <w:tr>
        <w:trPr>
          <w:cantSplit/>
        </w:trPr>
        <w:tc>
          <w:tcPr>
            <w:tcW w:type="dxa" w:w="2880"/>
          </w:tcPr>
          <w:p>
            <w:pPr>
              <w:spacing w:after="0"/>
            </w:pPr>
            <w:r/>
            <w:r>
              <w:rPr>
                <w:sz w:val="15"/>
              </w:rPr>
              <w:t>VITE_API_URL</w:t>
            </w:r>
          </w:p>
        </w:tc>
        <w:tc>
          <w:tcPr>
            <w:tcW w:type="dxa" w:w="864"/>
          </w:tcPr>
          <w:p>
            <w:pPr>
              <w:spacing w:after="0"/>
            </w:pPr>
            <w:r/>
            <w:r>
              <w:rPr>
                <w:sz w:val="15"/>
              </w:rPr>
              <w:t>pos</w:t>
            </w:r>
          </w:p>
        </w:tc>
        <w:tc>
          <w:tcPr>
            <w:tcW w:type="dxa" w:w="2016"/>
          </w:tcPr>
          <w:p>
            <w:pPr>
              <w:spacing w:after="0"/>
            </w:pPr>
            <w:r/>
            <w:r>
              <w:rPr>
                <w:sz w:val="15"/>
              </w:rPr>
              <w:t>http://localhost:8080</w:t>
            </w:r>
          </w:p>
        </w:tc>
        <w:tc>
          <w:tcPr>
            <w:tcW w:type="dxa" w:w="1440"/>
          </w:tcPr>
          <w:p>
            <w:pPr>
              <w:spacing w:after="0"/>
            </w:pPr>
            <w:r/>
            <w:r>
              <w:rPr>
                <w:sz w:val="15"/>
              </w:rPr>
              <w:t>public</w:t>
            </w:r>
          </w:p>
        </w:tc>
        <w:tc>
          <w:tcPr>
            <w:tcW w:type="dxa" w:w="2160"/>
          </w:tcPr>
          <w:p>
            <w:pPr>
              <w:spacing w:after="0"/>
            </w:pPr>
            <w:r/>
            <w:r>
              <w:rPr>
                <w:sz w:val="15"/>
              </w:rPr>
              <w:t>Backend origin (no /api/v1 suffix)</w:t>
            </w:r>
          </w:p>
        </w:tc>
      </w:tr>
      <w:tr>
        <w:trPr>
          <w:cantSplit/>
        </w:trPr>
        <w:tc>
          <w:tcPr>
            <w:tcW w:type="dxa" w:w="2880"/>
          </w:tcPr>
          <w:p>
            <w:pPr>
              <w:spacing w:after="0"/>
            </w:pPr>
            <w:r/>
            <w:r>
              <w:rPr>
                <w:sz w:val="15"/>
              </w:rPr>
              <w:t>VITE_MAP_TILE_PROVIDER</w:t>
            </w:r>
          </w:p>
        </w:tc>
        <w:tc>
          <w:tcPr>
            <w:tcW w:type="dxa" w:w="864"/>
          </w:tcPr>
          <w:p>
            <w:pPr>
              <w:spacing w:after="0"/>
            </w:pPr>
            <w:r/>
            <w:r>
              <w:rPr>
                <w:sz w:val="15"/>
              </w:rPr>
              <w:t>pos</w:t>
            </w:r>
          </w:p>
        </w:tc>
        <w:tc>
          <w:tcPr>
            <w:tcW w:type="dxa" w:w="2016"/>
          </w:tcPr>
          <w:p>
            <w:pPr>
              <w:spacing w:after="0"/>
            </w:pPr>
            <w:r/>
            <w:r>
              <w:rPr>
                <w:sz w:val="15"/>
              </w:rPr>
              <w:t>osm</w:t>
            </w:r>
          </w:p>
        </w:tc>
        <w:tc>
          <w:tcPr>
            <w:tcW w:type="dxa" w:w="1440"/>
          </w:tcPr>
          <w:p>
            <w:pPr>
              <w:spacing w:after="0"/>
            </w:pPr>
            <w:r/>
            <w:r>
              <w:rPr>
                <w:sz w:val="15"/>
              </w:rPr>
              <w:t>public</w:t>
            </w:r>
          </w:p>
        </w:tc>
        <w:tc>
          <w:tcPr>
            <w:tcW w:type="dxa" w:w="2160"/>
          </w:tcPr>
          <w:p>
            <w:pPr>
              <w:spacing w:after="0"/>
            </w:pPr>
            <w:r/>
            <w:r>
              <w:rPr>
                <w:sz w:val="15"/>
              </w:rPr>
              <w:t>Map provider label</w:t>
            </w:r>
          </w:p>
        </w:tc>
      </w:tr>
      <w:tr>
        <w:trPr>
          <w:cantSplit/>
        </w:trPr>
        <w:tc>
          <w:tcPr>
            <w:tcW w:type="dxa" w:w="2880"/>
          </w:tcPr>
          <w:p>
            <w:pPr>
              <w:spacing w:after="0"/>
            </w:pPr>
            <w:r/>
            <w:r>
              <w:rPr>
                <w:sz w:val="15"/>
              </w:rPr>
              <w:t>VITE_MAP_TILE_URL</w:t>
            </w:r>
          </w:p>
        </w:tc>
        <w:tc>
          <w:tcPr>
            <w:tcW w:type="dxa" w:w="864"/>
          </w:tcPr>
          <w:p>
            <w:pPr>
              <w:spacing w:after="0"/>
            </w:pPr>
            <w:r/>
            <w:r>
              <w:rPr>
                <w:sz w:val="15"/>
              </w:rPr>
              <w:t>pos</w:t>
            </w:r>
          </w:p>
        </w:tc>
        <w:tc>
          <w:tcPr>
            <w:tcW w:type="dxa" w:w="2016"/>
          </w:tcPr>
          <w:p>
            <w:pPr>
              <w:spacing w:after="0"/>
            </w:pPr>
            <w:r/>
            <w:r>
              <w:rPr>
                <w:sz w:val="15"/>
              </w:rPr>
              <w:t>OSM standard tiles</w:t>
            </w:r>
          </w:p>
        </w:tc>
        <w:tc>
          <w:tcPr>
            <w:tcW w:type="dxa" w:w="1440"/>
          </w:tcPr>
          <w:p>
            <w:pPr>
              <w:spacing w:after="0"/>
            </w:pPr>
            <w:r/>
            <w:r>
              <w:rPr>
                <w:sz w:val="15"/>
              </w:rPr>
              <w:t>public</w:t>
            </w:r>
          </w:p>
        </w:tc>
        <w:tc>
          <w:tcPr>
            <w:tcW w:type="dxa" w:w="2160"/>
          </w:tcPr>
          <w:p>
            <w:pPr>
              <w:spacing w:after="0"/>
            </w:pPr>
            <w:r/>
            <w:r>
              <w:rPr>
                <w:sz w:val="15"/>
              </w:rPr>
              <w:t>Map tile template</w:t>
            </w:r>
          </w:p>
        </w:tc>
      </w:tr>
      <w:tr>
        <w:trPr>
          <w:cantSplit/>
        </w:trPr>
        <w:tc>
          <w:tcPr>
            <w:tcW w:type="dxa" w:w="2880"/>
          </w:tcPr>
          <w:p>
            <w:pPr>
              <w:spacing w:after="0"/>
            </w:pPr>
            <w:r/>
            <w:r>
              <w:rPr>
                <w:sz w:val="15"/>
              </w:rPr>
              <w:t>VITE_MAP_ATTRIBUTION</w:t>
            </w:r>
          </w:p>
        </w:tc>
        <w:tc>
          <w:tcPr>
            <w:tcW w:type="dxa" w:w="864"/>
          </w:tcPr>
          <w:p>
            <w:pPr>
              <w:spacing w:after="0"/>
            </w:pPr>
            <w:r/>
            <w:r>
              <w:rPr>
                <w:sz w:val="15"/>
              </w:rPr>
              <w:t>pos</w:t>
            </w:r>
          </w:p>
        </w:tc>
        <w:tc>
          <w:tcPr>
            <w:tcW w:type="dxa" w:w="2016"/>
          </w:tcPr>
          <w:p>
            <w:pPr>
              <w:spacing w:after="0"/>
            </w:pPr>
            <w:r/>
            <w:r>
              <w:rPr>
                <w:sz w:val="15"/>
              </w:rPr>
              <w:t>OSM attribution</w:t>
            </w:r>
          </w:p>
        </w:tc>
        <w:tc>
          <w:tcPr>
            <w:tcW w:type="dxa" w:w="1440"/>
          </w:tcPr>
          <w:p>
            <w:pPr>
              <w:spacing w:after="0"/>
            </w:pPr>
            <w:r/>
            <w:r>
              <w:rPr>
                <w:sz w:val="15"/>
              </w:rPr>
              <w:t>public</w:t>
            </w:r>
          </w:p>
        </w:tc>
        <w:tc>
          <w:tcPr>
            <w:tcW w:type="dxa" w:w="2160"/>
          </w:tcPr>
          <w:p>
            <w:pPr>
              <w:spacing w:after="0"/>
            </w:pPr>
            <w:r/>
            <w:r>
              <w:rPr>
                <w:sz w:val="15"/>
              </w:rPr>
              <w:t>Required attribution text</w:t>
            </w:r>
          </w:p>
        </w:tc>
      </w:tr>
      <w:tr>
        <w:trPr>
          <w:cantSplit/>
        </w:trPr>
        <w:tc>
          <w:tcPr>
            <w:tcW w:type="dxa" w:w="2880"/>
          </w:tcPr>
          <w:p>
            <w:pPr>
              <w:spacing w:after="0"/>
            </w:pPr>
            <w:r/>
            <w:r>
              <w:rPr>
                <w:sz w:val="15"/>
              </w:rPr>
              <w:t>NUXT_PUBLIC_API_BASE_URL</w:t>
            </w:r>
          </w:p>
        </w:tc>
        <w:tc>
          <w:tcPr>
            <w:tcW w:type="dxa" w:w="864"/>
          </w:tcPr>
          <w:p>
            <w:pPr>
              <w:spacing w:after="0"/>
            </w:pPr>
            <w:r/>
            <w:r>
              <w:rPr>
                <w:sz w:val="15"/>
              </w:rPr>
              <w:t>b2b</w:t>
            </w:r>
          </w:p>
        </w:tc>
        <w:tc>
          <w:tcPr>
            <w:tcW w:type="dxa" w:w="2016"/>
          </w:tcPr>
          <w:p>
            <w:pPr>
              <w:spacing w:after="0"/>
            </w:pPr>
            <w:r/>
            <w:r>
              <w:rPr>
                <w:sz w:val="15"/>
              </w:rPr>
              <w:t>(empty)</w:t>
            </w:r>
          </w:p>
        </w:tc>
        <w:tc>
          <w:tcPr>
            <w:tcW w:type="dxa" w:w="1440"/>
          </w:tcPr>
          <w:p>
            <w:pPr>
              <w:spacing w:after="0"/>
            </w:pPr>
            <w:r/>
            <w:r>
              <w:rPr>
                <w:sz w:val="15"/>
              </w:rPr>
              <w:t>public</w:t>
            </w:r>
          </w:p>
        </w:tc>
        <w:tc>
          <w:tcPr>
            <w:tcW w:type="dxa" w:w="2160"/>
          </w:tcPr>
          <w:p>
            <w:pPr>
              <w:spacing w:after="0"/>
            </w:pPr>
            <w:r/>
            <w:r>
              <w:rPr>
                <w:sz w:val="15"/>
              </w:rPr>
              <w:t>Empty = same-origin /api proxied by Nitro</w:t>
            </w:r>
          </w:p>
        </w:tc>
      </w:tr>
      <w:tr>
        <w:trPr>
          <w:cantSplit/>
        </w:trPr>
        <w:tc>
          <w:tcPr>
            <w:tcW w:type="dxa" w:w="2880"/>
          </w:tcPr>
          <w:p>
            <w:pPr>
              <w:spacing w:after="0"/>
            </w:pPr>
            <w:r/>
            <w:r>
              <w:rPr>
                <w:sz w:val="15"/>
              </w:rPr>
              <w:t>NUXT_API_PROXY_TARGET</w:t>
            </w:r>
          </w:p>
        </w:tc>
        <w:tc>
          <w:tcPr>
            <w:tcW w:type="dxa" w:w="864"/>
          </w:tcPr>
          <w:p>
            <w:pPr>
              <w:spacing w:after="0"/>
            </w:pPr>
            <w:r/>
            <w:r>
              <w:rPr>
                <w:sz w:val="15"/>
              </w:rPr>
              <w:t>b2b</w:t>
            </w:r>
          </w:p>
        </w:tc>
        <w:tc>
          <w:tcPr>
            <w:tcW w:type="dxa" w:w="2016"/>
          </w:tcPr>
          <w:p>
            <w:pPr>
              <w:spacing w:after="0"/>
            </w:pPr>
            <w:r/>
            <w:r>
              <w:rPr>
                <w:sz w:val="15"/>
              </w:rPr>
              <w:t>http://backend:8080</w:t>
            </w:r>
          </w:p>
        </w:tc>
        <w:tc>
          <w:tcPr>
            <w:tcW w:type="dxa" w:w="1440"/>
          </w:tcPr>
          <w:p>
            <w:pPr>
              <w:spacing w:after="0"/>
            </w:pPr>
            <w:r/>
            <w:r>
              <w:rPr>
                <w:sz w:val="15"/>
              </w:rPr>
              <w:t>server-only</w:t>
            </w:r>
          </w:p>
        </w:tc>
        <w:tc>
          <w:tcPr>
            <w:tcW w:type="dxa" w:w="2160"/>
          </w:tcPr>
          <w:p>
            <w:pPr>
              <w:spacing w:after="0"/>
            </w:pPr>
            <w:r/>
            <w:r>
              <w:rPr>
                <w:sz w:val="15"/>
              </w:rPr>
              <w:t>Upstream for /api/** and /uploads/**</w:t>
            </w:r>
          </w:p>
        </w:tc>
      </w:tr>
      <w:tr>
        <w:trPr>
          <w:cantSplit/>
        </w:trPr>
        <w:tc>
          <w:tcPr>
            <w:tcW w:type="dxa" w:w="2880"/>
          </w:tcPr>
          <w:p>
            <w:pPr>
              <w:spacing w:after="0"/>
            </w:pPr>
            <w:r/>
            <w:r>
              <w:rPr>
                <w:sz w:val="15"/>
              </w:rPr>
              <w:t>NUXT_PUBLIC_DEFAULT_WAREHOUSE_ID</w:t>
            </w:r>
          </w:p>
        </w:tc>
        <w:tc>
          <w:tcPr>
            <w:tcW w:type="dxa" w:w="864"/>
          </w:tcPr>
          <w:p>
            <w:pPr>
              <w:spacing w:after="0"/>
            </w:pPr>
            <w:r/>
            <w:r>
              <w:rPr>
                <w:sz w:val="15"/>
              </w:rPr>
              <w:t>b2b</w:t>
            </w:r>
          </w:p>
        </w:tc>
        <w:tc>
          <w:tcPr>
            <w:tcW w:type="dxa" w:w="2016"/>
          </w:tcPr>
          <w:p>
            <w:pPr>
              <w:spacing w:after="0"/>
            </w:pPr>
            <w:r/>
            <w:r>
              <w:rPr>
                <w:sz w:val="15"/>
              </w:rPr>
              <w:t>1</w:t>
            </w:r>
          </w:p>
        </w:tc>
        <w:tc>
          <w:tcPr>
            <w:tcW w:type="dxa" w:w="1440"/>
          </w:tcPr>
          <w:p>
            <w:pPr>
              <w:spacing w:after="0"/>
            </w:pPr>
            <w:r/>
            <w:r>
              <w:rPr>
                <w:sz w:val="15"/>
              </w:rPr>
              <w:t>public</w:t>
            </w:r>
          </w:p>
        </w:tc>
        <w:tc>
          <w:tcPr>
            <w:tcW w:type="dxa" w:w="2160"/>
          </w:tcPr>
          <w:p>
            <w:pPr>
              <w:spacing w:after="0"/>
            </w:pPr>
            <w:r/>
            <w:r>
              <w:rPr>
                <w:sz w:val="15"/>
              </w:rPr>
              <w:t>Checkout warehouse fallback</w:t>
            </w:r>
          </w:p>
        </w:tc>
      </w:tr>
      <w:tr>
        <w:trPr>
          <w:cantSplit/>
        </w:trPr>
        <w:tc>
          <w:tcPr>
            <w:tcW w:type="dxa" w:w="2880"/>
          </w:tcPr>
          <w:p>
            <w:pPr>
              <w:spacing w:after="0"/>
            </w:pPr>
            <w:r/>
            <w:r>
              <w:rPr>
                <w:sz w:val="15"/>
              </w:rPr>
              <w:t>NUXT_PUBLIC_MIDTRANS_CLIENT_KEY</w:t>
            </w:r>
          </w:p>
        </w:tc>
        <w:tc>
          <w:tcPr>
            <w:tcW w:type="dxa" w:w="864"/>
          </w:tcPr>
          <w:p>
            <w:pPr>
              <w:spacing w:after="0"/>
            </w:pPr>
            <w:r/>
            <w:r>
              <w:rPr>
                <w:sz w:val="15"/>
              </w:rPr>
              <w:t>b2b</w:t>
            </w:r>
          </w:p>
        </w:tc>
        <w:tc>
          <w:tcPr>
            <w:tcW w:type="dxa" w:w="2016"/>
          </w:tcPr>
          <w:p>
            <w:pPr>
              <w:spacing w:after="0"/>
            </w:pPr>
            <w:r/>
            <w:r>
              <w:rPr>
                <w:sz w:val="15"/>
              </w:rPr>
              <w:t>(empty)</w:t>
            </w:r>
          </w:p>
        </w:tc>
        <w:tc>
          <w:tcPr>
            <w:tcW w:type="dxa" w:w="1440"/>
          </w:tcPr>
          <w:p>
            <w:pPr>
              <w:spacing w:after="0"/>
            </w:pPr>
            <w:r/>
            <w:r>
              <w:rPr>
                <w:sz w:val="15"/>
              </w:rPr>
              <w:t>public</w:t>
            </w:r>
          </w:p>
        </w:tc>
        <w:tc>
          <w:tcPr>
            <w:tcW w:type="dxa" w:w="2160"/>
          </w:tcPr>
          <w:p>
            <w:pPr>
              <w:spacing w:after="0"/>
            </w:pPr>
            <w:r/>
            <w:r>
              <w:rPr>
                <w:sz w:val="15"/>
              </w:rPr>
              <w:t>Snap client key</w:t>
            </w:r>
          </w:p>
        </w:tc>
      </w:tr>
      <w:tr>
        <w:trPr>
          <w:cantSplit/>
        </w:trPr>
        <w:tc>
          <w:tcPr>
            <w:tcW w:type="dxa" w:w="2880"/>
          </w:tcPr>
          <w:p>
            <w:pPr>
              <w:spacing w:after="0"/>
            </w:pPr>
            <w:r/>
            <w:r>
              <w:rPr>
                <w:sz w:val="15"/>
              </w:rPr>
              <w:t>NUXT_PUBLIC_MIDTRANS_SANDBOX</w:t>
            </w:r>
          </w:p>
        </w:tc>
        <w:tc>
          <w:tcPr>
            <w:tcW w:type="dxa" w:w="864"/>
          </w:tcPr>
          <w:p>
            <w:pPr>
              <w:spacing w:after="0"/>
            </w:pPr>
            <w:r/>
            <w:r>
              <w:rPr>
                <w:sz w:val="15"/>
              </w:rPr>
              <w:t>b2b</w:t>
            </w:r>
          </w:p>
        </w:tc>
        <w:tc>
          <w:tcPr>
            <w:tcW w:type="dxa" w:w="2016"/>
          </w:tcPr>
          <w:p>
            <w:pPr>
              <w:spacing w:after="0"/>
            </w:pPr>
            <w:r/>
            <w:r>
              <w:rPr>
                <w:sz w:val="15"/>
              </w:rPr>
              <w:t>true</w:t>
            </w:r>
          </w:p>
        </w:tc>
        <w:tc>
          <w:tcPr>
            <w:tcW w:type="dxa" w:w="1440"/>
          </w:tcPr>
          <w:p>
            <w:pPr>
              <w:spacing w:after="0"/>
            </w:pPr>
            <w:r/>
            <w:r>
              <w:rPr>
                <w:sz w:val="15"/>
              </w:rPr>
              <w:t>public</w:t>
            </w:r>
          </w:p>
        </w:tc>
        <w:tc>
          <w:tcPr>
            <w:tcW w:type="dxa" w:w="2160"/>
          </w:tcPr>
          <w:p>
            <w:pPr>
              <w:spacing w:after="0"/>
            </w:pPr>
            <w:r/>
            <w:r>
              <w:rPr>
                <w:sz w:val="15"/>
              </w:rPr>
              <w:t>Selects sandbox snap.js host</w:t>
            </w:r>
          </w:p>
        </w:tc>
      </w:tr>
      <w:tr>
        <w:trPr>
          <w:cantSplit/>
        </w:trPr>
        <w:tc>
          <w:tcPr>
            <w:tcW w:type="dxa" w:w="2880"/>
          </w:tcPr>
          <w:p>
            <w:pPr>
              <w:spacing w:after="0"/>
            </w:pPr>
            <w:r/>
            <w:r>
              <w:rPr>
                <w:sz w:val="15"/>
              </w:rPr>
              <w:t>NUXT_PUBLIC_APP_ENV</w:t>
            </w:r>
          </w:p>
        </w:tc>
        <w:tc>
          <w:tcPr>
            <w:tcW w:type="dxa" w:w="864"/>
          </w:tcPr>
          <w:p>
            <w:pPr>
              <w:spacing w:after="0"/>
            </w:pPr>
            <w:r/>
            <w:r>
              <w:rPr>
                <w:sz w:val="15"/>
              </w:rPr>
              <w:t>b2b</w:t>
            </w:r>
          </w:p>
        </w:tc>
        <w:tc>
          <w:tcPr>
            <w:tcW w:type="dxa" w:w="2016"/>
          </w:tcPr>
          <w:p>
            <w:pPr>
              <w:spacing w:after="0"/>
            </w:pPr>
            <w:r/>
            <w:r>
              <w:rPr>
                <w:sz w:val="15"/>
              </w:rPr>
              <w:t>development</w:t>
            </w:r>
          </w:p>
        </w:tc>
        <w:tc>
          <w:tcPr>
            <w:tcW w:type="dxa" w:w="1440"/>
          </w:tcPr>
          <w:p>
            <w:pPr>
              <w:spacing w:after="0"/>
            </w:pPr>
            <w:r/>
            <w:r>
              <w:rPr>
                <w:sz w:val="15"/>
              </w:rPr>
              <w:t>public</w:t>
            </w:r>
          </w:p>
        </w:tc>
        <w:tc>
          <w:tcPr>
            <w:tcW w:type="dxa" w:w="2160"/>
          </w:tcPr>
          <w:p>
            <w:pPr>
              <w:spacing w:after="0"/>
            </w:pPr>
            <w:r/>
            <w:r>
              <w:rPr>
                <w:sz w:val="15"/>
              </w:rPr>
              <w:t>Environment label for the banner</w:t>
            </w:r>
          </w:p>
        </w:tc>
      </w:tr>
    </w:tbl>
    <w:p>
      <w:pPr>
        <w:spacing w:after="200"/>
      </w:pPr>
      <w:r>
        <w:rPr>
          <w:i/>
          <w:color w:val="555F6D"/>
          <w:sz w:val="17"/>
        </w:rPr>
        <w:t>Table 70. Frontend environment variables (public build-time unless noted)</w:t>
      </w:r>
    </w:p>
    <w:p>
      <w:bookmarkStart w:id="1275" w:name="_Toc1275"/>
      <w:pPr>
        <w:pStyle w:val="Heading2"/>
      </w:pPr>
      <w:r>
        <w:t>23.3 Configuration findings</w:t>
      </w:r>
      <w:bookmarkEnd w:id="1275"/>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2880"/>
            <w:shd w:val="clear" w:color="auto" w:fill="1F3A5F"/>
          </w:tcPr>
          <w:p>
            <w:pPr>
              <w:spacing w:after="0"/>
            </w:pPr>
            <w:r/>
            <w:r>
              <w:rPr>
                <w:b/>
                <w:color w:val="FFFFFF"/>
                <w:sz w:val="15"/>
              </w:rPr>
              <w:t>Finding</w:t>
            </w:r>
          </w:p>
        </w:tc>
        <w:tc>
          <w:tcPr>
            <w:tcW w:type="dxa" w:w="6480"/>
            <w:shd w:val="clear" w:color="auto" w:fill="1F3A5F"/>
          </w:tcPr>
          <w:p>
            <w:pPr>
              <w:spacing w:after="0"/>
            </w:pPr>
            <w:r/>
            <w:r>
              <w:rPr>
                <w:b/>
                <w:color w:val="FFFFFF"/>
                <w:sz w:val="15"/>
              </w:rPr>
              <w:t>Detail</w:t>
            </w:r>
          </w:p>
        </w:tc>
      </w:tr>
      <w:tr>
        <w:trPr>
          <w:cantSplit/>
        </w:trPr>
        <w:tc>
          <w:tcPr>
            <w:tcW w:type="dxa" w:w="2880"/>
          </w:tcPr>
          <w:p>
            <w:pPr>
              <w:spacing w:after="0"/>
            </w:pPr>
            <w:r/>
            <w:r>
              <w:rPr>
                <w:sz w:val="15"/>
              </w:rPr>
              <w:t>Declared but unread</w:t>
            </w:r>
          </w:p>
        </w:tc>
        <w:tc>
          <w:tcPr>
            <w:tcW w:type="dxa" w:w="6480"/>
          </w:tcPr>
          <w:p>
            <w:pPr>
              <w:spacing w:after="0"/>
            </w:pPr>
            <w:r/>
            <w:r>
              <w:rPr>
                <w:sz w:val="15"/>
              </w:rPr>
              <w:t>SMTP_FROM exists in .env.example and in the Config struct but Load() never reads it (F-07).</w:t>
            </w:r>
          </w:p>
        </w:tc>
      </w:tr>
      <w:tr>
        <w:trPr>
          <w:cantSplit/>
        </w:trPr>
        <w:tc>
          <w:tcPr>
            <w:tcW w:type="dxa" w:w="2880"/>
          </w:tcPr>
          <w:p>
            <w:pPr>
              <w:spacing w:after="0"/>
            </w:pPr>
            <w:r/>
            <w:r>
              <w:rPr>
                <w:sz w:val="15"/>
              </w:rPr>
              <w:t>Read but undocumented in .env.example</w:t>
            </w:r>
          </w:p>
        </w:tc>
        <w:tc>
          <w:tcPr>
            <w:tcW w:type="dxa" w:w="6480"/>
          </w:tcPr>
          <w:p>
            <w:pPr>
              <w:spacing w:after="0"/>
            </w:pPr>
            <w:r/>
            <w:r>
              <w:rPr>
                <w:sz w:val="15"/>
              </w:rPr>
              <w:t>PUBLIC_API_BASE_URL, AUTO_MIGRATE, ALLOW_NEGATIVE_STOCK, IDEMPOTENCY_TTL_HOURS, TRUSTED_PROXIES, RATE_LIMIT_TRACKING_PER_MINUTE, LOG_GR_MOVEMENTS, FIX_PAYDEBT_REFERENCE.</w:t>
            </w:r>
          </w:p>
        </w:tc>
      </w:tr>
      <w:tr>
        <w:trPr>
          <w:cantSplit/>
        </w:trPr>
        <w:tc>
          <w:tcPr>
            <w:tcW w:type="dxa" w:w="2880"/>
          </w:tcPr>
          <w:p>
            <w:pPr>
              <w:spacing w:after="0"/>
            </w:pPr>
            <w:r/>
            <w:r>
              <w:rPr>
                <w:sz w:val="15"/>
              </w:rPr>
              <w:t>Insecure default for production</w:t>
            </w:r>
          </w:p>
        </w:tc>
        <w:tc>
          <w:tcPr>
            <w:tcW w:type="dxa" w:w="6480"/>
          </w:tcPr>
          <w:p>
            <w:pPr>
              <w:spacing w:after="0"/>
            </w:pPr>
            <w:r/>
            <w:r>
              <w:rPr>
                <w:sz w:val="15"/>
              </w:rPr>
              <w:t>CORS_ORIGINS defaults to http://localhost:3000; the compose stack does not set it, so a production deployment keeps the localhost default unless the operator adds it (F-12).</w:t>
            </w:r>
          </w:p>
        </w:tc>
      </w:tr>
      <w:tr>
        <w:trPr>
          <w:cantSplit/>
        </w:trPr>
        <w:tc>
          <w:tcPr>
            <w:tcW w:type="dxa" w:w="2880"/>
          </w:tcPr>
          <w:p>
            <w:pPr>
              <w:spacing w:after="0"/>
            </w:pPr>
            <w:r/>
            <w:r>
              <w:rPr>
                <w:sz w:val="15"/>
              </w:rPr>
              <w:t>Insecure default for production (2)</w:t>
            </w:r>
          </w:p>
        </w:tc>
        <w:tc>
          <w:tcPr>
            <w:tcW w:type="dxa" w:w="6480"/>
          </w:tcPr>
          <w:p>
            <w:pPr>
              <w:spacing w:after="0"/>
            </w:pPr>
            <w:r/>
            <w:r>
              <w:rPr>
                <w:sz w:val="15"/>
              </w:rPr>
              <w:t>ALLOW_NEGATIVE_STOCK defaults to true; deploy/.env.prod.example sets false, but infra/containers/compose.prod.yml does not pass it, so the container keeps the permissive default.</w:t>
            </w:r>
          </w:p>
        </w:tc>
      </w:tr>
      <w:tr>
        <w:trPr>
          <w:cantSplit/>
        </w:trPr>
        <w:tc>
          <w:tcPr>
            <w:tcW w:type="dxa" w:w="2880"/>
          </w:tcPr>
          <w:p>
            <w:pPr>
              <w:spacing w:after="0"/>
            </w:pPr>
            <w:r/>
            <w:r>
              <w:rPr>
                <w:sz w:val="15"/>
              </w:rPr>
              <w:t>Documented but not wired</w:t>
            </w:r>
          </w:p>
        </w:tc>
        <w:tc>
          <w:tcPr>
            <w:tcW w:type="dxa" w:w="6480"/>
          </w:tcPr>
          <w:p>
            <w:pPr>
              <w:spacing w:after="0"/>
            </w:pPr>
            <w:r/>
            <w:r>
              <w:rPr>
                <w:sz w:val="15"/>
              </w:rPr>
              <w:t>compose.prod.yml passes none of SMTP_*, CORS_ORIGINS, PUBLIC_API_BASE_URL, TRUSTED_PROXIES or MIDTRANS_SWEEP_TOKEN to the backend container (the only API-base variable it sets is NUXT_PUBLIC_API_BASE_URL for the B2B service). They can be added to the environment block, but as committed they are absent, so the backend runs on its compiled defaults.</w:t>
            </w:r>
          </w:p>
        </w:tc>
      </w:tr>
      <w:tr>
        <w:trPr>
          <w:cantSplit/>
        </w:trPr>
        <w:tc>
          <w:tcPr>
            <w:tcW w:type="dxa" w:w="2880"/>
          </w:tcPr>
          <w:p>
            <w:pPr>
              <w:spacing w:after="0"/>
            </w:pPr>
            <w:r/>
            <w:r>
              <w:rPr>
                <w:sz w:val="15"/>
              </w:rPr>
              <w:t>Public vs secret</w:t>
            </w:r>
          </w:p>
        </w:tc>
        <w:tc>
          <w:tcPr>
            <w:tcW w:type="dxa" w:w="6480"/>
          </w:tcPr>
          <w:p>
            <w:pPr>
              <w:spacing w:after="0"/>
            </w:pPr>
            <w:r/>
            <w:r>
              <w:rPr>
                <w:sz w:val="15"/>
              </w:rPr>
              <w:t>VITE_* and NUXT_PUBLIC_* are compiled into client bundles. No secret is referenced by those names (verified by searching the app sources for MIDTRANS_SERVER_KEY and DATABASE_URL).</w:t>
            </w:r>
          </w:p>
        </w:tc>
      </w:tr>
    </w:tbl>
    <w:p>
      <w:pPr>
        <w:spacing w:after="200"/>
      </w:pPr>
      <w:r>
        <w:rPr>
          <w:i/>
          <w:color w:val="555F6D"/>
          <w:sz w:val="17"/>
        </w:rPr>
        <w:t>Table 71. Configuration issues</w:t>
      </w:r>
    </w:p>
    <w:p>
      <w:bookmarkStart w:id="1276" w:name="_Toc1276"/>
      <w:pPr>
        <w:pStyle w:val="Heading1"/>
      </w:pPr>
      <w:r>
        <w:t>24. User manual and practical examples</w:t>
      </w:r>
      <w:bookmarkEnd w:id="1276"/>
    </w:p>
    <w:p>
      <w:r>
        <w:rPr>
          <w:i w:val="0"/>
        </w:rPr>
        <w:t>Instructions below are written against the screens that exist. Menu names are the Indonesian labels from src/config/navigation.js; the parenthesised path is the URL you land on. Where a step depends on a permission, the key is named so an administrator can grant it.</w:t>
      </w:r>
    </w:p>
    <w:p>
      <w:bookmarkStart w:id="1277" w:name="_Toc1277"/>
      <w:pPr>
        <w:pStyle w:val="Heading2"/>
      </w:pPr>
      <w:r>
        <w:t>24.1 Signing in (all applications)</w:t>
      </w:r>
      <w:bookmarkEnd w:id="1277"/>
    </w:p>
    <w:p>
      <w:pPr>
        <w:pStyle w:val="ListNumber"/>
      </w:pPr>
      <w:r>
        <w:t>Open the application hostname for your role (ERP for back-office, POS for the till, B2B for the storefront).</w:t>
      </w:r>
    </w:p>
    <w:p>
      <w:pPr>
        <w:pStyle w:val="ListNumber"/>
      </w:pPr>
      <w:r>
        <w:t>Enter email and password. The form posts to POST /api/v1/auth/login.</w:t>
      </w:r>
    </w:p>
    <w:p>
      <w:pPr>
        <w:pStyle w:val="ListNumber"/>
      </w:pPr>
      <w:r>
        <w:t>ERP and POS remember the session only if 'remember me' is chosen; otherwise the token lives in the tab's session storage and disappears when the tab closes.</w:t>
      </w:r>
    </w:p>
    <w:p>
      <w:pPr>
        <w:pStyle w:val="ListNumber"/>
      </w:pPr>
      <w:r>
        <w:t>The shell immediately calls GET /api/v1/auth/me to load effective permissions and, for POS, the store list.</w:t>
      </w:r>
    </w:p>
    <w:p>
      <w:pPr>
        <w:pStyle w:val="ListNumber"/>
      </w:pPr>
      <w:r>
        <w:t>A disabled account shows 'Akun Anda telah dinonaktifkan' (403). Five failures in a row from one IP will hit the 10/min limiter and show a rate-limit message.</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736"/>
            <w:shd w:val="clear" w:color="auto" w:fill="1F3A5F"/>
          </w:tcPr>
          <w:p>
            <w:pPr>
              <w:spacing w:after="0"/>
            </w:pPr>
            <w:r/>
            <w:r>
              <w:rPr>
                <w:b/>
                <w:color w:val="FFFFFF"/>
                <w:sz w:val="15"/>
              </w:rPr>
              <w:t>Problem</w:t>
            </w:r>
          </w:p>
        </w:tc>
        <w:tc>
          <w:tcPr>
            <w:tcW w:type="dxa" w:w="3312"/>
            <w:shd w:val="clear" w:color="auto" w:fill="1F3A5F"/>
          </w:tcPr>
          <w:p>
            <w:pPr>
              <w:spacing w:after="0"/>
            </w:pPr>
            <w:r/>
            <w:r>
              <w:rPr>
                <w:b/>
                <w:color w:val="FFFFFF"/>
                <w:sz w:val="15"/>
              </w:rPr>
              <w:t>Cause</w:t>
            </w:r>
          </w:p>
        </w:tc>
        <w:tc>
          <w:tcPr>
            <w:tcW w:type="dxa" w:w="3312"/>
            <w:shd w:val="clear" w:color="auto" w:fill="1F3A5F"/>
          </w:tcPr>
          <w:p>
            <w:pPr>
              <w:spacing w:after="0"/>
            </w:pPr>
            <w:r/>
            <w:r>
              <w:rPr>
                <w:b/>
                <w:color w:val="FFFFFF"/>
                <w:sz w:val="15"/>
              </w:rPr>
              <w:t>What to do</w:t>
            </w:r>
          </w:p>
        </w:tc>
      </w:tr>
      <w:tr>
        <w:trPr>
          <w:cantSplit/>
        </w:trPr>
        <w:tc>
          <w:tcPr>
            <w:tcW w:type="dxa" w:w="2736"/>
          </w:tcPr>
          <w:p>
            <w:pPr>
              <w:spacing w:after="0"/>
            </w:pPr>
            <w:r/>
            <w:r>
              <w:rPr>
                <w:sz w:val="15"/>
              </w:rPr>
              <w:t>Bounced back to login with ?denied=1</w:t>
            </w:r>
          </w:p>
        </w:tc>
        <w:tc>
          <w:tcPr>
            <w:tcW w:type="dxa" w:w="3312"/>
          </w:tcPr>
          <w:p>
            <w:pPr>
              <w:spacing w:after="0"/>
            </w:pPr>
            <w:r/>
            <w:r>
              <w:rPr>
                <w:sz w:val="15"/>
              </w:rPr>
              <w:t>The identity's application_access does not match this application</w:t>
            </w:r>
          </w:p>
        </w:tc>
        <w:tc>
          <w:tcPr>
            <w:tcW w:type="dxa" w:w="3312"/>
          </w:tcPr>
          <w:p>
            <w:pPr>
              <w:spacing w:after="0"/>
            </w:pPr>
            <w:r/>
            <w:r>
              <w:rPr>
                <w:sz w:val="15"/>
              </w:rPr>
              <w:t>Ask an administrator to check users.application_access</w:t>
            </w:r>
          </w:p>
        </w:tc>
      </w:tr>
      <w:tr>
        <w:trPr>
          <w:cantSplit/>
        </w:trPr>
        <w:tc>
          <w:tcPr>
            <w:tcW w:type="dxa" w:w="2736"/>
          </w:tcPr>
          <w:p>
            <w:pPr>
              <w:spacing w:after="0"/>
            </w:pPr>
            <w:r/>
            <w:r>
              <w:rPr>
                <w:sz w:val="15"/>
              </w:rPr>
              <w:t>Logged in but every menu is empty</w:t>
            </w:r>
          </w:p>
        </w:tc>
        <w:tc>
          <w:tcPr>
            <w:tcW w:type="dxa" w:w="3312"/>
          </w:tcPr>
          <w:p>
            <w:pPr>
              <w:spacing w:after="0"/>
            </w:pPr>
            <w:r/>
            <w:r>
              <w:rPr>
                <w:sz w:val="15"/>
              </w:rPr>
              <w:t>The role has no permission rows (deny by omission)</w:t>
            </w:r>
          </w:p>
        </w:tc>
        <w:tc>
          <w:tcPr>
            <w:tcW w:type="dxa" w:w="3312"/>
          </w:tcPr>
          <w:p>
            <w:pPr>
              <w:spacing w:after="0"/>
            </w:pPr>
            <w:r/>
            <w:r>
              <w:rPr>
                <w:sz w:val="15"/>
              </w:rPr>
              <w:t>Administrator: Peran &amp; Hak Akses → grant the role its keys</w:t>
            </w:r>
          </w:p>
        </w:tc>
      </w:tr>
      <w:tr>
        <w:trPr>
          <w:cantSplit/>
        </w:trPr>
        <w:tc>
          <w:tcPr>
            <w:tcW w:type="dxa" w:w="2736"/>
          </w:tcPr>
          <w:p>
            <w:pPr>
              <w:spacing w:after="0"/>
            </w:pPr>
            <w:r/>
            <w:r>
              <w:rPr>
                <w:sz w:val="15"/>
              </w:rPr>
              <w:t>'Rate limiter unavailable'</w:t>
            </w:r>
          </w:p>
        </w:tc>
        <w:tc>
          <w:tcPr>
            <w:tcW w:type="dxa" w:w="3312"/>
          </w:tcPr>
          <w:p>
            <w:pPr>
              <w:spacing w:after="0"/>
            </w:pPr>
            <w:r/>
            <w:r>
              <w:rPr>
                <w:sz w:val="15"/>
              </w:rPr>
              <w:t>Redis is down and the login limiter is fail-closed</w:t>
            </w:r>
          </w:p>
        </w:tc>
        <w:tc>
          <w:tcPr>
            <w:tcW w:type="dxa" w:w="3312"/>
          </w:tcPr>
          <w:p>
            <w:pPr>
              <w:spacing w:after="0"/>
            </w:pPr>
            <w:r/>
            <w:r>
              <w:rPr>
                <w:sz w:val="15"/>
              </w:rPr>
              <w:t>Restart Redis; this is expected fail-closed behaviour</w:t>
            </w:r>
          </w:p>
        </w:tc>
      </w:tr>
      <w:tr>
        <w:trPr>
          <w:cantSplit/>
        </w:trPr>
        <w:tc>
          <w:tcPr>
            <w:tcW w:type="dxa" w:w="2736"/>
          </w:tcPr>
          <w:p>
            <w:pPr>
              <w:spacing w:after="0"/>
            </w:pPr>
            <w:r/>
            <w:r>
              <w:rPr>
                <w:sz w:val="15"/>
              </w:rPr>
              <w:t>Password reset mail never arrives</w:t>
            </w:r>
          </w:p>
        </w:tc>
        <w:tc>
          <w:tcPr>
            <w:tcW w:type="dxa" w:w="3312"/>
          </w:tcPr>
          <w:p>
            <w:pPr>
              <w:spacing w:after="0"/>
            </w:pPr>
            <w:r/>
            <w:r>
              <w:rPr>
                <w:sz w:val="15"/>
              </w:rPr>
              <w:t>SMTP_HOST unset (log-only mailer) or an empty From header (F-07)</w:t>
            </w:r>
          </w:p>
        </w:tc>
        <w:tc>
          <w:tcPr>
            <w:tcW w:type="dxa" w:w="3312"/>
          </w:tcPr>
          <w:p>
            <w:pPr>
              <w:spacing w:after="0"/>
            </w:pPr>
            <w:r/>
            <w:r>
              <w:rPr>
                <w:sz w:val="15"/>
              </w:rPr>
              <w:t>Set SMTP_HOST/USER/PASS/FROM and restart the backend</w:t>
            </w:r>
          </w:p>
        </w:tc>
      </w:tr>
    </w:tbl>
    <w:p>
      <w:pPr>
        <w:spacing w:after="200"/>
      </w:pPr>
      <w:r>
        <w:rPr>
          <w:i/>
          <w:color w:val="555F6D"/>
          <w:sz w:val="17"/>
        </w:rPr>
        <w:t>Table 72. Login troubleshooting</w:t>
      </w:r>
    </w:p>
    <w:p>
      <w:bookmarkStart w:id="1278" w:name="_Toc1278"/>
      <w:pPr>
        <w:pStyle w:val="Heading2"/>
      </w:pPr>
      <w:r>
        <w:t>24.2 Managing products (ERP)</w:t>
      </w:r>
      <w:bookmarkEnd w:id="1278"/>
    </w:p>
    <w:p>
      <w:pPr>
        <w:pStyle w:val="ListNumber"/>
      </w:pPr>
      <w:r>
        <w:t>Master Data → Produk (/master-data/products).</w:t>
      </w:r>
    </w:p>
    <w:p>
      <w:pPr>
        <w:pStyle w:val="ListNumber"/>
      </w:pPr>
      <w:r>
        <w:t>Tambah Produk. The code is generated from the category prefix and the date unless you supply one.</w:t>
      </w:r>
    </w:p>
    <w:p>
      <w:pPr>
        <w:pStyle w:val="ListNumber"/>
      </w:pPr>
      <w:r>
        <w:t>Fill name, category, base unit, purchase price and selling price. Purchase price is only visible to holders of inventory.cost.view.</w:t>
      </w:r>
    </w:p>
    <w:p>
      <w:pPr>
        <w:pStyle w:val="ListNumber"/>
      </w:pPr>
      <w:r>
        <w:t>Add selling units (e.g. KARTON with conversion factor 24) under the product's units, and barcodes under barcodes.</w:t>
      </w:r>
    </w:p>
    <w:p>
      <w:pPr>
        <w:pStyle w:val="ListNumber"/>
      </w:pPr>
      <w:r>
        <w:t>Save. A duplicate code returns a validation error; a category that does not exist returns 404.</w:t>
      </w:r>
    </w:p>
    <w:p>
      <w:pPr>
        <w:spacing w:after="160"/>
        <w:ind w:left="216"/>
        <w:pBdr>
          <w:left w:val="single" w:sz="18" w:space="6" w:color="1F4E79"/>
        </w:pBdr>
      </w:pPr>
      <w:r>
        <w:rPr>
          <w:b/>
          <w:color w:val="1F4E79"/>
          <w:sz w:val="19"/>
        </w:rPr>
        <w:t xml:space="preserve">Common mistake: </w:t>
      </w:r>
      <w:r>
        <w:rPr>
          <w:sz w:val="19"/>
        </w:rPr>
        <w:t>Changing a product's selling price does not change past transactions: every sale line stores its own price, unit and conversion snapshot, and the database rejects edits to those columns.</w:t>
      </w:r>
    </w:p>
    <w:p>
      <w:bookmarkStart w:id="1279" w:name="_Toc1279"/>
      <w:pPr>
        <w:pStyle w:val="Heading2"/>
      </w:pPr>
      <w:r>
        <w:t>24.3 Stock operations (ERP)</w:t>
      </w:r>
      <w:bookmarkEnd w:id="1279"/>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1440"/>
            <w:shd w:val="clear" w:color="auto" w:fill="1F3A5F"/>
          </w:tcPr>
          <w:p>
            <w:pPr>
              <w:spacing w:after="0"/>
            </w:pPr>
            <w:r/>
            <w:r>
              <w:rPr>
                <w:b/>
                <w:color w:val="FFFFFF"/>
                <w:sz w:val="15"/>
              </w:rPr>
              <w:t>Task</w:t>
            </w:r>
          </w:p>
        </w:tc>
        <w:tc>
          <w:tcPr>
            <w:tcW w:type="dxa" w:w="2448"/>
            <w:shd w:val="clear" w:color="auto" w:fill="1F3A5F"/>
          </w:tcPr>
          <w:p>
            <w:pPr>
              <w:spacing w:after="0"/>
            </w:pPr>
            <w:r/>
            <w:r>
              <w:rPr>
                <w:b/>
                <w:color w:val="FFFFFF"/>
                <w:sz w:val="15"/>
              </w:rPr>
              <w:t>Path</w:t>
            </w:r>
          </w:p>
        </w:tc>
        <w:tc>
          <w:tcPr>
            <w:tcW w:type="dxa" w:w="4032"/>
            <w:shd w:val="clear" w:color="auto" w:fill="1F3A5F"/>
          </w:tcPr>
          <w:p>
            <w:pPr>
              <w:spacing w:after="0"/>
            </w:pPr>
            <w:r/>
            <w:r>
              <w:rPr>
                <w:b/>
                <w:color w:val="FFFFFF"/>
                <w:sz w:val="15"/>
              </w:rPr>
              <w:t>Steps</w:t>
            </w:r>
          </w:p>
        </w:tc>
        <w:tc>
          <w:tcPr>
            <w:tcW w:type="dxa" w:w="1440"/>
            <w:shd w:val="clear" w:color="auto" w:fill="1F3A5F"/>
          </w:tcPr>
          <w:p>
            <w:pPr>
              <w:spacing w:after="0"/>
            </w:pPr>
            <w:r/>
            <w:r>
              <w:rPr>
                <w:b/>
                <w:color w:val="FFFFFF"/>
                <w:sz w:val="15"/>
              </w:rPr>
              <w:t>Permission</w:t>
            </w:r>
          </w:p>
        </w:tc>
      </w:tr>
      <w:tr>
        <w:trPr>
          <w:cantSplit/>
        </w:trPr>
        <w:tc>
          <w:tcPr>
            <w:tcW w:type="dxa" w:w="1440"/>
          </w:tcPr>
          <w:p>
            <w:pPr>
              <w:spacing w:after="0"/>
            </w:pPr>
            <w:r/>
            <w:r>
              <w:rPr>
                <w:sz w:val="15"/>
              </w:rPr>
              <w:t>Stock in</w:t>
            </w:r>
          </w:p>
        </w:tc>
        <w:tc>
          <w:tcPr>
            <w:tcW w:type="dxa" w:w="2448"/>
          </w:tcPr>
          <w:p>
            <w:pPr>
              <w:spacing w:after="0"/>
            </w:pPr>
            <w:r/>
            <w:r>
              <w:rPr>
                <w:sz w:val="15"/>
              </w:rPr>
              <w:t>Inventory → Posisi Stok → Masuk</w:t>
            </w:r>
          </w:p>
        </w:tc>
        <w:tc>
          <w:tcPr>
            <w:tcW w:type="dxa" w:w="4032"/>
          </w:tcPr>
          <w:p>
            <w:pPr>
              <w:spacing w:after="0"/>
            </w:pPr>
            <w:r/>
            <w:r>
              <w:rPr>
                <w:sz w:val="15"/>
              </w:rPr>
              <w:t>Pick warehouse and product, enter quantity, save. A movement SM-… is written.</w:t>
            </w:r>
          </w:p>
        </w:tc>
        <w:tc>
          <w:tcPr>
            <w:tcW w:type="dxa" w:w="1440"/>
          </w:tcPr>
          <w:p>
            <w:pPr>
              <w:spacing w:after="0"/>
            </w:pPr>
            <w:r/>
            <w:r>
              <w:rPr>
                <w:sz w:val="15"/>
              </w:rPr>
              <w:t>inventory.stock-in.create</w:t>
            </w:r>
          </w:p>
        </w:tc>
      </w:tr>
      <w:tr>
        <w:trPr>
          <w:cantSplit/>
        </w:trPr>
        <w:tc>
          <w:tcPr>
            <w:tcW w:type="dxa" w:w="1440"/>
          </w:tcPr>
          <w:p>
            <w:pPr>
              <w:spacing w:after="0"/>
            </w:pPr>
            <w:r/>
            <w:r>
              <w:rPr>
                <w:sz w:val="15"/>
              </w:rPr>
              <w:t>Stock out</w:t>
            </w:r>
          </w:p>
        </w:tc>
        <w:tc>
          <w:tcPr>
            <w:tcW w:type="dxa" w:w="2448"/>
          </w:tcPr>
          <w:p>
            <w:pPr>
              <w:spacing w:after="0"/>
            </w:pPr>
            <w:r/>
            <w:r>
              <w:rPr>
                <w:sz w:val="15"/>
              </w:rPr>
              <w:t>Inventory → Posisi Stok → Keluar</w:t>
            </w:r>
          </w:p>
        </w:tc>
        <w:tc>
          <w:tcPr>
            <w:tcW w:type="dxa" w:w="4032"/>
          </w:tcPr>
          <w:p>
            <w:pPr>
              <w:spacing w:after="0"/>
            </w:pPr>
            <w:r/>
            <w:r>
              <w:rPr>
                <w:sz w:val="15"/>
              </w:rPr>
              <w:t>Same form; the row is locked and the request is refused if stock is short (unless negative stock is enabled).</w:t>
            </w:r>
          </w:p>
        </w:tc>
        <w:tc>
          <w:tcPr>
            <w:tcW w:type="dxa" w:w="1440"/>
          </w:tcPr>
          <w:p>
            <w:pPr>
              <w:spacing w:after="0"/>
            </w:pPr>
            <w:r/>
            <w:r>
              <w:rPr>
                <w:sz w:val="15"/>
              </w:rPr>
              <w:t>inventory.stock-out.create</w:t>
            </w:r>
          </w:p>
        </w:tc>
      </w:tr>
      <w:tr>
        <w:trPr>
          <w:cantSplit/>
        </w:trPr>
        <w:tc>
          <w:tcPr>
            <w:tcW w:type="dxa" w:w="1440"/>
          </w:tcPr>
          <w:p>
            <w:pPr>
              <w:spacing w:after="0"/>
            </w:pPr>
            <w:r/>
            <w:r>
              <w:rPr>
                <w:sz w:val="15"/>
              </w:rPr>
              <w:t>Opname</w:t>
            </w:r>
          </w:p>
        </w:tc>
        <w:tc>
          <w:tcPr>
            <w:tcW w:type="dxa" w:w="2448"/>
          </w:tcPr>
          <w:p>
            <w:pPr>
              <w:spacing w:after="0"/>
            </w:pPr>
            <w:r/>
            <w:r>
              <w:rPr>
                <w:sz w:val="15"/>
              </w:rPr>
              <w:t>Inventory → Opname</w:t>
            </w:r>
          </w:p>
        </w:tc>
        <w:tc>
          <w:tcPr>
            <w:tcW w:type="dxa" w:w="4032"/>
          </w:tcPr>
          <w:p>
            <w:pPr>
              <w:spacing w:after="0"/>
            </w:pPr>
            <w:r/>
            <w:r>
              <w:rPr>
                <w:sz w:val="15"/>
              </w:rPr>
              <w:t>Create the opname (snapshot), enter physical quantities, finalise. Each difference posts an adjustment movement.</w:t>
            </w:r>
          </w:p>
        </w:tc>
        <w:tc>
          <w:tcPr>
            <w:tcW w:type="dxa" w:w="1440"/>
          </w:tcPr>
          <w:p>
            <w:pPr>
              <w:spacing w:after="0"/>
            </w:pPr>
            <w:r/>
            <w:r>
              <w:rPr>
                <w:sz w:val="15"/>
              </w:rPr>
              <w:t>inventory.opnames.create / .finalize</w:t>
            </w:r>
          </w:p>
        </w:tc>
      </w:tr>
      <w:tr>
        <w:trPr>
          <w:cantSplit/>
        </w:trPr>
        <w:tc>
          <w:tcPr>
            <w:tcW w:type="dxa" w:w="1440"/>
          </w:tcPr>
          <w:p>
            <w:pPr>
              <w:spacing w:after="0"/>
            </w:pPr>
            <w:r/>
            <w:r>
              <w:rPr>
                <w:sz w:val="15"/>
              </w:rPr>
              <w:t>Transfer</w:t>
            </w:r>
          </w:p>
        </w:tc>
        <w:tc>
          <w:tcPr>
            <w:tcW w:type="dxa" w:w="2448"/>
          </w:tcPr>
          <w:p>
            <w:pPr>
              <w:spacing w:after="0"/>
            </w:pPr>
            <w:r/>
            <w:r>
              <w:rPr>
                <w:sz w:val="15"/>
              </w:rPr>
              <w:t>Inventory → Transfer Stok</w:t>
            </w:r>
          </w:p>
        </w:tc>
        <w:tc>
          <w:tcPr>
            <w:tcW w:type="dxa" w:w="4032"/>
          </w:tcPr>
          <w:p>
            <w:pPr>
              <w:spacing w:after="0"/>
            </w:pPr>
            <w:r/>
            <w:r>
              <w:rPr>
                <w:sz w:val="15"/>
              </w:rPr>
              <w:t>Choose source and destination warehouse, lines, then approve → send → receive.</w:t>
            </w:r>
          </w:p>
        </w:tc>
        <w:tc>
          <w:tcPr>
            <w:tcW w:type="dxa" w:w="1440"/>
          </w:tcPr>
          <w:p>
            <w:pPr>
              <w:spacing w:after="0"/>
            </w:pPr>
            <w:r/>
            <w:r>
              <w:rPr>
                <w:sz w:val="15"/>
              </w:rPr>
              <w:t>inventory.transfers.create</w:t>
            </w:r>
          </w:p>
        </w:tc>
      </w:tr>
    </w:tbl>
    <w:p>
      <w:pPr>
        <w:spacing w:after="200"/>
      </w:pPr>
      <w:r>
        <w:rPr>
          <w:i/>
          <w:color w:val="555F6D"/>
          <w:sz w:val="17"/>
        </w:rPr>
        <w:t>Table 73. Stock operations</w:t>
      </w:r>
    </w:p>
    <w:p>
      <w:bookmarkStart w:id="1280" w:name="_Toc1280"/>
      <w:pPr>
        <w:pStyle w:val="Heading2"/>
      </w:pPr>
      <w:r>
        <w:t>24.4 Selling at the till (POS)</w:t>
      </w:r>
      <w:bookmarkEnd w:id="1280"/>
    </w:p>
    <w:p>
      <w:pPr>
        <w:pStyle w:val="ListNumber"/>
      </w:pPr>
      <w:r>
        <w:t>Log in and open a shift with the opening cash amount (Shift → Buka Shift).</w:t>
      </w:r>
    </w:p>
    <w:p>
      <w:pPr>
        <w:pStyle w:val="ListNumber"/>
      </w:pPr>
      <w:r>
        <w:t>Scan a barcode or search the product grid; the line appears in the cart.</w:t>
      </w:r>
    </w:p>
    <w:p>
      <w:pPr>
        <w:pStyle w:val="ListNumber"/>
      </w:pPr>
      <w:r>
        <w:t>Optionally pick a customer. Leaving it empty sells to Pelanggan Umum at list price; a member gets their tier discount, snapshotted on the line.</w:t>
      </w:r>
    </w:p>
    <w:p>
      <w:pPr>
        <w:pStyle w:val="ListNumber"/>
      </w:pPr>
      <w:r>
        <w:t>Choose the payment method. For cash, the tender must cover the total.</w:t>
      </w:r>
    </w:p>
    <w:p>
      <w:pPr>
        <w:pStyle w:val="ListNumber"/>
      </w:pPr>
      <w:r>
        <w:t>Confirm. The receipt preview opens; print or download the PDF.</w:t>
      </w:r>
    </w:p>
    <w:p>
      <w:pPr>
        <w:pStyle w:val="ListNumber"/>
      </w:pPr>
      <w:r>
        <w:t>At the end of the shift: Shift → Tutup Shift, enter the counted cash. The variance is stored and shown.</w:t>
      </w:r>
    </w:p>
    <w:p>
      <w:pPr>
        <w:spacing w:after="160"/>
        <w:ind w:left="216"/>
        <w:pBdr>
          <w:left w:val="single" w:sz="18" w:space="6" w:color="1F4E79"/>
        </w:pBdr>
      </w:pPr>
      <w:r>
        <w:rPr>
          <w:b/>
          <w:color w:val="1F4E79"/>
          <w:sz w:val="19"/>
        </w:rPr>
        <w:t xml:space="preserve">What the till cannot do: </w:t>
      </w:r>
      <w:r>
        <w:rPr>
          <w:sz w:val="19"/>
        </w:rPr>
        <w:t>There is no product, price, stock or user management in POS by design. If a cashier needs a product created, it is an ERP task.</w:t>
      </w:r>
    </w:p>
    <w:p>
      <w:bookmarkStart w:id="1281" w:name="_Toc1281"/>
      <w:pPr>
        <w:pStyle w:val="Heading2"/>
      </w:pPr>
      <w:r>
        <w:t>24.5 Returning a sale (POS or ERP)</w:t>
      </w:r>
      <w:bookmarkEnd w:id="1281"/>
    </w:p>
    <w:p>
      <w:pPr>
        <w:pStyle w:val="ListNumber"/>
      </w:pPr>
      <w:r>
        <w:t>Open Retur (/returns in POS, Sales → Sales Order → Retur in ERP).</w:t>
      </w:r>
    </w:p>
    <w:p>
      <w:pPr>
        <w:pStyle w:val="ListNumber"/>
      </w:pPr>
      <w:r>
        <w:t>Find the original transaction by number; only delivered, invoiced or paid orders — or a fully paid POS sale — are eligible.</w:t>
      </w:r>
    </w:p>
    <w:p>
      <w:pPr>
        <w:pStyle w:val="ListNumber"/>
      </w:pPr>
      <w:r>
        <w:t>Select lines and quantities. The system refuses more than the unreturned quantity.</w:t>
      </w:r>
    </w:p>
    <w:p>
      <w:pPr>
        <w:pStyle w:val="ListNumber"/>
      </w:pPr>
      <w:r>
        <w:t>Choose the condition (good / damaged). Damaged items are recorded but not restocked.</w:t>
      </w:r>
    </w:p>
    <w:p>
      <w:pPr>
        <w:pStyle w:val="ListNumber"/>
      </w:pPr>
      <w:r>
        <w:t>Choose the refund method (cash, transfer, store credit). A cash refund also writes a drawer cash-out entry.</w:t>
      </w:r>
    </w:p>
    <w:p>
      <w:bookmarkStart w:id="1282" w:name="_Toc1282"/>
      <w:pPr>
        <w:pStyle w:val="Heading2"/>
      </w:pPr>
      <w:r>
        <w:t>24.6 Buying on the storefront (B2B)</w:t>
      </w:r>
      <w:bookmarkEnd w:id="1282"/>
    </w:p>
    <w:p>
      <w:pPr>
        <w:pStyle w:val="ListNumber"/>
      </w:pPr>
      <w:r>
        <w:t>Browse /catalog or search; open a product at /products/&lt;slug&gt;.</w:t>
      </w:r>
    </w:p>
    <w:p>
      <w:pPr>
        <w:pStyle w:val="ListNumber"/>
      </w:pPr>
      <w:r>
        <w:t>Add to cart, then open /cart and continue to /checkout.</w:t>
      </w:r>
    </w:p>
    <w:p>
      <w:pPr>
        <w:pStyle w:val="ListNumber"/>
      </w:pPr>
      <w:r>
        <w:t>Pick the fulfilling warehouse, the delivery address and the payment method.</w:t>
      </w:r>
    </w:p>
    <w:p>
      <w:pPr>
        <w:pStyle w:val="ListNumber"/>
      </w:pPr>
      <w:r>
        <w:t>Place the order. For a transfer you upload a proof on /payments/&lt;id&gt;; for Snap you are redirected to the provider.</w:t>
      </w:r>
    </w:p>
    <w:p>
      <w:pPr>
        <w:pStyle w:val="ListNumber"/>
      </w:pPr>
      <w:r>
        <w:t>Track the order at /orders/&lt;id&gt; and /orders/&lt;id&gt;/tracking. Confirm receipt when it arrives; that is what moves the order to delivered.</w:t>
      </w:r>
    </w:p>
    <w:p>
      <w:bookmarkStart w:id="1283" w:name="_Toc1283"/>
      <w:pPr>
        <w:pStyle w:val="Heading2"/>
      </w:pPr>
      <w:r>
        <w:t>24.7 Generating a report (ERP)</w:t>
      </w:r>
      <w:bookmarkEnd w:id="1283"/>
    </w:p>
    <w:p>
      <w:pPr>
        <w:pStyle w:val="ListNumber"/>
      </w:pPr>
      <w:r>
        <w:t>Open the report from Analitik (for example Laporan Penjualan, /reports/sales).</w:t>
      </w:r>
    </w:p>
    <w:p>
      <w:pPr>
        <w:pStyle w:val="ListNumber"/>
      </w:pPr>
      <w:r>
        <w:t>Set the date range and any filters; the table refreshes.</w:t>
      </w:r>
    </w:p>
    <w:p>
      <w:pPr>
        <w:pStyle w:val="ListNumber"/>
      </w:pPr>
      <w:r>
        <w:t>Use the print button to request a PDF from /api/v1/reports/render. If the report code has no active template the API answers 404 'Active template not found'.</w:t>
      </w:r>
    </w:p>
    <w:p>
      <w:pPr>
        <w:pStyle w:val="ListNumber"/>
      </w:pPr>
      <w:r>
        <w:t>For a different layout, System → Template Laporan opens the designer; changes are versioned and activated explicitly.</w:t>
      </w:r>
    </w:p>
    <w:p>
      <w:bookmarkStart w:id="1284" w:name="_Toc1284"/>
      <w:pPr>
        <w:pStyle w:val="Heading2"/>
      </w:pPr>
      <w:r>
        <w:t>24.8 Managing users and permissions (ERP)</w:t>
      </w:r>
      <w:bookmarkEnd w:id="1284"/>
    </w:p>
    <w:p>
      <w:pPr>
        <w:pStyle w:val="ListNumber"/>
      </w:pPr>
      <w:r>
        <w:t>Sistem → Pengguna (/system/users): create the user, choose the role and the application access.</w:t>
      </w:r>
    </w:p>
    <w:p>
      <w:pPr>
        <w:pStyle w:val="ListNumber"/>
      </w:pPr>
      <w:r>
        <w:t>Sistem → Peran (/system/roles): tick permissions per role. The matrix saves immediately and the backend hot-reloads it, so the next request uses the new grants.</w:t>
      </w:r>
    </w:p>
    <w:p>
      <w:pPr>
        <w:pStyle w:val="ListNumber"/>
      </w:pPr>
      <w:r>
        <w:t>Per-user overrides live on the user record; an explicit false beats any role grant.</w:t>
      </w:r>
    </w:p>
    <w:p>
      <w:pPr>
        <w:pStyle w:val="ListNumber"/>
      </w:pPr>
      <w:r>
        <w:t>If you are admin or owner and the matrix is completely empty, the shell forces you to this page (?setup=1) until at least one permission exists.</w:t>
      </w:r>
    </w:p>
    <w:p>
      <w:pPr>
        <w:spacing w:after="160"/>
        <w:ind w:left="216"/>
        <w:pBdr>
          <w:left w:val="single" w:sz="18" w:space="6" w:color="9B2C2C"/>
        </w:pBdr>
      </w:pPr>
      <w:r>
        <w:rPr>
          <w:b/>
          <w:color w:val="9B2C2C"/>
          <w:sz w:val="19"/>
        </w:rPr>
        <w:t xml:space="preserve">Lockout risk: </w:t>
      </w:r>
      <w:r>
        <w:rPr>
          <w:sz w:val="19"/>
        </w:rPr>
        <w:t>Removing system.roles.view from every role leaves the matrix reachable only by admin/owner (who bypass checks). Do not remove the last administrative account's access at the same time.</w:t>
      </w:r>
    </w:p>
    <w:p>
      <w:bookmarkStart w:id="1285" w:name="_Toc1285"/>
      <w:pPr>
        <w:pStyle w:val="Heading2"/>
      </w:pPr>
      <w:r>
        <w:t>24.9 Recovering from a failed operation</w:t>
      </w:r>
      <w:bookmarkEnd w:id="1285"/>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448"/>
            <w:shd w:val="clear" w:color="auto" w:fill="1F3A5F"/>
          </w:tcPr>
          <w:p>
            <w:pPr>
              <w:spacing w:after="0"/>
            </w:pPr>
            <w:r/>
            <w:r>
              <w:rPr>
                <w:b/>
                <w:color w:val="FFFFFF"/>
                <w:sz w:val="15"/>
              </w:rPr>
              <w:t>Symptom</w:t>
            </w:r>
          </w:p>
        </w:tc>
        <w:tc>
          <w:tcPr>
            <w:tcW w:type="dxa" w:w="3456"/>
            <w:shd w:val="clear" w:color="auto" w:fill="1F3A5F"/>
          </w:tcPr>
          <w:p>
            <w:pPr>
              <w:spacing w:after="0"/>
            </w:pPr>
            <w:r/>
            <w:r>
              <w:rPr>
                <w:b/>
                <w:color w:val="FFFFFF"/>
                <w:sz w:val="15"/>
              </w:rPr>
              <w:t>Meaning</w:t>
            </w:r>
          </w:p>
        </w:tc>
        <w:tc>
          <w:tcPr>
            <w:tcW w:type="dxa" w:w="3456"/>
            <w:shd w:val="clear" w:color="auto" w:fill="1F3A5F"/>
          </w:tcPr>
          <w:p>
            <w:pPr>
              <w:spacing w:after="0"/>
            </w:pPr>
            <w:r/>
            <w:r>
              <w:rPr>
                <w:b/>
                <w:color w:val="FFFFFF"/>
                <w:sz w:val="15"/>
              </w:rPr>
              <w:t>Recovery</w:t>
            </w:r>
          </w:p>
        </w:tc>
      </w:tr>
      <w:tr>
        <w:trPr>
          <w:cantSplit/>
        </w:trPr>
        <w:tc>
          <w:tcPr>
            <w:tcW w:type="dxa" w:w="2448"/>
          </w:tcPr>
          <w:p>
            <w:pPr>
              <w:spacing w:after="0"/>
            </w:pPr>
            <w:r/>
            <w:r>
              <w:rPr>
                <w:sz w:val="15"/>
              </w:rPr>
              <w:t>409 CONFLICT on a money form</w:t>
            </w:r>
          </w:p>
        </w:tc>
        <w:tc>
          <w:tcPr>
            <w:tcW w:type="dxa" w:w="3456"/>
          </w:tcPr>
          <w:p>
            <w:pPr>
              <w:spacing w:after="0"/>
            </w:pPr>
            <w:r/>
            <w:r>
              <w:rPr>
                <w:sz w:val="15"/>
              </w:rPr>
              <w:t>The same Idempotency-Key was reused with a different payload</w:t>
            </w:r>
          </w:p>
        </w:tc>
        <w:tc>
          <w:tcPr>
            <w:tcW w:type="dxa" w:w="3456"/>
          </w:tcPr>
          <w:p>
            <w:pPr>
              <w:spacing w:after="0"/>
            </w:pPr>
            <w:r/>
            <w:r>
              <w:rPr>
                <w:sz w:val="15"/>
              </w:rPr>
              <w:t>Reload the form so a fresh key is minted, then resubmit</w:t>
            </w:r>
          </w:p>
        </w:tc>
      </w:tr>
      <w:tr>
        <w:trPr>
          <w:cantSplit/>
        </w:trPr>
        <w:tc>
          <w:tcPr>
            <w:tcW w:type="dxa" w:w="2448"/>
          </w:tcPr>
          <w:p>
            <w:pPr>
              <w:spacing w:after="0"/>
            </w:pPr>
            <w:r/>
            <w:r>
              <w:rPr>
                <w:sz w:val="15"/>
              </w:rPr>
              <w:t>409 BUSINESS_RULE_VIOLATION</w:t>
            </w:r>
          </w:p>
        </w:tc>
        <w:tc>
          <w:tcPr>
            <w:tcW w:type="dxa" w:w="3456"/>
          </w:tcPr>
          <w:p>
            <w:pPr>
              <w:spacing w:after="0"/>
            </w:pPr>
            <w:r/>
            <w:r>
              <w:rPr>
                <w:sz w:val="15"/>
              </w:rPr>
              <w:t>A rule rejected the write (voucher unusable, stock short, order not in a modifiable state)</w:t>
            </w:r>
          </w:p>
        </w:tc>
        <w:tc>
          <w:tcPr>
            <w:tcW w:type="dxa" w:w="3456"/>
          </w:tcPr>
          <w:p>
            <w:pPr>
              <w:spacing w:after="0"/>
            </w:pPr>
            <w:r/>
            <w:r>
              <w:rPr>
                <w:sz w:val="15"/>
              </w:rPr>
              <w:t>Read the message; correct the input. Do not retry unchanged</w:t>
            </w:r>
          </w:p>
        </w:tc>
      </w:tr>
      <w:tr>
        <w:trPr>
          <w:cantSplit/>
        </w:trPr>
        <w:tc>
          <w:tcPr>
            <w:tcW w:type="dxa" w:w="2448"/>
          </w:tcPr>
          <w:p>
            <w:pPr>
              <w:spacing w:after="0"/>
            </w:pPr>
            <w:r/>
            <w:r>
              <w:rPr>
                <w:sz w:val="15"/>
              </w:rPr>
              <w:t>503 GATEWAY_DISABLED</w:t>
            </w:r>
          </w:p>
        </w:tc>
        <w:tc>
          <w:tcPr>
            <w:tcW w:type="dxa" w:w="3456"/>
          </w:tcPr>
          <w:p>
            <w:pPr>
              <w:spacing w:after="0"/>
            </w:pPr>
            <w:r/>
            <w:r>
              <w:rPr>
                <w:sz w:val="15"/>
              </w:rPr>
              <w:t>Midtrans keys are not configured</w:t>
            </w:r>
          </w:p>
        </w:tc>
        <w:tc>
          <w:tcPr>
            <w:tcW w:type="dxa" w:w="3456"/>
          </w:tcPr>
          <w:p>
            <w:pPr>
              <w:spacing w:after="0"/>
            </w:pPr>
            <w:r/>
            <w:r>
              <w:rPr>
                <w:sz w:val="15"/>
              </w:rPr>
              <w:t>Use an offline method, or ask an administrator to configure the gateway</w:t>
            </w:r>
          </w:p>
        </w:tc>
      </w:tr>
      <w:tr>
        <w:trPr>
          <w:cantSplit/>
        </w:trPr>
        <w:tc>
          <w:tcPr>
            <w:tcW w:type="dxa" w:w="2448"/>
          </w:tcPr>
          <w:p>
            <w:pPr>
              <w:spacing w:after="0"/>
            </w:pPr>
            <w:r/>
            <w:r>
              <w:rPr>
                <w:sz w:val="15"/>
              </w:rPr>
              <w:t>404 on a record you can see in a list</w:t>
            </w:r>
          </w:p>
        </w:tc>
        <w:tc>
          <w:tcPr>
            <w:tcW w:type="dxa" w:w="3456"/>
          </w:tcPr>
          <w:p>
            <w:pPr>
              <w:spacing w:after="0"/>
            </w:pPr>
            <w:r/>
            <w:r>
              <w:rPr>
                <w:sz w:val="15"/>
              </w:rPr>
              <w:t>Tenant scope: the record belongs to another outlet</w:t>
            </w:r>
          </w:p>
        </w:tc>
        <w:tc>
          <w:tcPr>
            <w:tcW w:type="dxa" w:w="3456"/>
          </w:tcPr>
          <w:p>
            <w:pPr>
              <w:spacing w:after="0"/>
            </w:pPr>
            <w:r/>
            <w:r>
              <w:rPr>
                <w:sz w:val="15"/>
              </w:rPr>
              <w:t>Switch to the correct outlet account</w:t>
            </w:r>
          </w:p>
        </w:tc>
      </w:tr>
      <w:tr>
        <w:trPr>
          <w:cantSplit/>
        </w:trPr>
        <w:tc>
          <w:tcPr>
            <w:tcW w:type="dxa" w:w="2448"/>
          </w:tcPr>
          <w:p>
            <w:pPr>
              <w:spacing w:after="0"/>
            </w:pPr>
            <w:r/>
            <w:r>
              <w:rPr>
                <w:sz w:val="15"/>
              </w:rPr>
              <w:t>PDF print returns 404</w:t>
            </w:r>
          </w:p>
        </w:tc>
        <w:tc>
          <w:tcPr>
            <w:tcW w:type="dxa" w:w="3456"/>
          </w:tcPr>
          <w:p>
            <w:pPr>
              <w:spacing w:after="0"/>
            </w:pPr>
            <w:r/>
            <w:r>
              <w:rPr>
                <w:sz w:val="15"/>
              </w:rPr>
              <w:t>No active report template for that code</w:t>
            </w:r>
          </w:p>
        </w:tc>
        <w:tc>
          <w:tcPr>
            <w:tcW w:type="dxa" w:w="3456"/>
          </w:tcPr>
          <w:p>
            <w:pPr>
              <w:spacing w:after="0"/>
            </w:pPr>
            <w:r/>
            <w:r>
              <w:rPr>
                <w:sz w:val="15"/>
              </w:rPr>
              <w:t>System → Template Laporan: activate a template</w:t>
            </w:r>
          </w:p>
        </w:tc>
      </w:tr>
      <w:tr>
        <w:trPr>
          <w:cantSplit/>
        </w:trPr>
        <w:tc>
          <w:tcPr>
            <w:tcW w:type="dxa" w:w="2448"/>
          </w:tcPr>
          <w:p>
            <w:pPr>
              <w:spacing w:after="0"/>
            </w:pPr>
            <w:r/>
            <w:r>
              <w:rPr>
                <w:sz w:val="15"/>
              </w:rPr>
              <w:t>Stale numbers after a release</w:t>
            </w:r>
          </w:p>
        </w:tc>
        <w:tc>
          <w:tcPr>
            <w:tcW w:type="dxa" w:w="3456"/>
          </w:tcPr>
          <w:p>
            <w:pPr>
              <w:spacing w:after="0"/>
            </w:pPr>
            <w:r/>
            <w:r>
              <w:rPr>
                <w:sz w:val="15"/>
              </w:rPr>
              <w:t>The browser cached index.html</w:t>
            </w:r>
          </w:p>
        </w:tc>
        <w:tc>
          <w:tcPr>
            <w:tcW w:type="dxa" w:w="3456"/>
          </w:tcPr>
          <w:p>
            <w:pPr>
              <w:spacing w:after="0"/>
            </w:pPr>
            <w:r/>
            <w:r>
              <w:rPr>
                <w:sz w:val="15"/>
              </w:rPr>
              <w:t>Hard refresh; nginx sends no-store for index.html by design</w:t>
            </w:r>
          </w:p>
        </w:tc>
      </w:tr>
    </w:tbl>
    <w:p>
      <w:pPr>
        <w:spacing w:after="200"/>
      </w:pPr>
      <w:r>
        <w:rPr>
          <w:i/>
          <w:color w:val="555F6D"/>
          <w:sz w:val="17"/>
        </w:rPr>
        <w:t>Table 74. Recovery table for common failures</w:t>
      </w:r>
    </w:p>
    <w:p>
      <w:bookmarkStart w:id="1286" w:name="_Toc1286"/>
      <w:pPr>
        <w:pStyle w:val="Heading2"/>
      </w:pPr>
      <w:r>
        <w:t>24.10 When to contact support</w:t>
      </w:r>
      <w:bookmarkEnd w:id="1286"/>
    </w:p>
    <w:p>
      <w:pPr>
        <w:pStyle w:val="ListBullet"/>
      </w:pPr>
      <w:r>
        <w:t>A financial document is wrong and cannot be corrected through a reversal — stop and escalate; do not edit rows.</w:t>
      </w:r>
    </w:p>
    <w:p>
      <w:pPr>
        <w:pStyle w:val="ListBullet"/>
      </w:pPr>
      <w:r>
        <w:t>A stock count disagrees with the physical count by more than the opname tolerance.</w:t>
      </w:r>
    </w:p>
    <w:p>
      <w:pPr>
        <w:pStyle w:val="ListBullet"/>
      </w:pPr>
      <w:r>
        <w:t>A login is locked out and no administrator account is available.</w:t>
      </w:r>
    </w:p>
    <w:p>
      <w:pPr>
        <w:pStyle w:val="ListBullet"/>
      </w:pPr>
      <w:r>
        <w:t>The API answers 500 repeatedly with the same request id — quote the X-Request-Id, which is also in the error envelope.</w:t>
      </w:r>
    </w:p>
    <w:p>
      <w:pPr>
        <w:pStyle w:val="ListBullet"/>
      </w:pPr>
      <w:r>
        <w:t>Support tickets can be raised in-app from ERP (Tiket Kendala) or B2B (/support); they are stored in tickets/ticket_comments.</w:t>
      </w:r>
    </w:p>
    <w:p>
      <w:bookmarkStart w:id="1287" w:name="_Toc1287"/>
      <w:pPr>
        <w:pStyle w:val="Heading1"/>
        <w:pageBreakBefore/>
      </w:pPr>
      <w:r>
        <w:t>25. Developer setup and contributor manual</w:t>
      </w:r>
      <w:bookmarkEnd w:id="1287"/>
    </w:p>
    <w:p>
      <w:bookmarkStart w:id="1288" w:name="_Toc1288"/>
      <w:pPr>
        <w:pStyle w:val="Heading2"/>
      </w:pPr>
      <w:r>
        <w:t>25.1 Prerequisites (verified against the manifests)</w:t>
      </w:r>
      <w:bookmarkEnd w:id="1288"/>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448"/>
            <w:shd w:val="clear" w:color="auto" w:fill="1F3A5F"/>
          </w:tcPr>
          <w:p>
            <w:pPr>
              <w:spacing w:after="0"/>
            </w:pPr>
            <w:r/>
            <w:r>
              <w:rPr>
                <w:b/>
                <w:color w:val="FFFFFF"/>
                <w:sz w:val="16"/>
              </w:rPr>
              <w:t>Tool</w:t>
            </w:r>
          </w:p>
        </w:tc>
        <w:tc>
          <w:tcPr>
            <w:tcW w:type="dxa" w:w="2880"/>
            <w:shd w:val="clear" w:color="auto" w:fill="1F3A5F"/>
          </w:tcPr>
          <w:p>
            <w:pPr>
              <w:spacing w:after="0"/>
            </w:pPr>
            <w:r/>
            <w:r>
              <w:rPr>
                <w:b/>
                <w:color w:val="FFFFFF"/>
                <w:sz w:val="16"/>
              </w:rPr>
              <w:t>Version actually required</w:t>
            </w:r>
          </w:p>
        </w:tc>
        <w:tc>
          <w:tcPr>
            <w:tcW w:type="dxa" w:w="4032"/>
            <w:shd w:val="clear" w:color="auto" w:fill="1F3A5F"/>
          </w:tcPr>
          <w:p>
            <w:pPr>
              <w:spacing w:after="0"/>
            </w:pPr>
            <w:r/>
            <w:r>
              <w:rPr>
                <w:b/>
                <w:color w:val="FFFFFF"/>
                <w:sz w:val="16"/>
              </w:rPr>
              <w:t>Evidence</w:t>
            </w:r>
          </w:p>
        </w:tc>
      </w:tr>
      <w:tr>
        <w:trPr>
          <w:cantSplit/>
        </w:trPr>
        <w:tc>
          <w:tcPr>
            <w:tcW w:type="dxa" w:w="2448"/>
          </w:tcPr>
          <w:p>
            <w:pPr>
              <w:spacing w:after="0"/>
            </w:pPr>
            <w:r/>
            <w:r>
              <w:rPr>
                <w:sz w:val="16"/>
              </w:rPr>
              <w:t>Go</w:t>
            </w:r>
          </w:p>
        </w:tc>
        <w:tc>
          <w:tcPr>
            <w:tcW w:type="dxa" w:w="2880"/>
          </w:tcPr>
          <w:p>
            <w:pPr>
              <w:spacing w:after="0"/>
            </w:pPr>
            <w:r/>
            <w:r>
              <w:rPr>
                <w:sz w:val="16"/>
              </w:rPr>
              <w:t>1.26.5</w:t>
            </w:r>
          </w:p>
        </w:tc>
        <w:tc>
          <w:tcPr>
            <w:tcW w:type="dxa" w:w="4032"/>
          </w:tcPr>
          <w:p>
            <w:pPr>
              <w:spacing w:after="0"/>
            </w:pPr>
            <w:r/>
            <w:r>
              <w:rPr>
                <w:sz w:val="16"/>
              </w:rPr>
              <w:t>apps/backend/go.mod line 3; the CI pin of 1.24 is wrong (F-03)</w:t>
            </w:r>
          </w:p>
        </w:tc>
      </w:tr>
      <w:tr>
        <w:trPr>
          <w:cantSplit/>
        </w:trPr>
        <w:tc>
          <w:tcPr>
            <w:tcW w:type="dxa" w:w="2448"/>
          </w:tcPr>
          <w:p>
            <w:pPr>
              <w:spacing w:after="0"/>
            </w:pPr>
            <w:r/>
            <w:r>
              <w:rPr>
                <w:sz w:val="16"/>
              </w:rPr>
              <w:t>Node.js</w:t>
            </w:r>
          </w:p>
        </w:tc>
        <w:tc>
          <w:tcPr>
            <w:tcW w:type="dxa" w:w="2880"/>
          </w:tcPr>
          <w:p>
            <w:pPr>
              <w:spacing w:after="0"/>
            </w:pPr>
            <w:r/>
            <w:r>
              <w:rPr>
                <w:sz w:val="16"/>
              </w:rPr>
              <w:t>22.x</w:t>
            </w:r>
          </w:p>
        </w:tc>
        <w:tc>
          <w:tcPr>
            <w:tcW w:type="dxa" w:w="4032"/>
          </w:tcPr>
          <w:p>
            <w:pPr>
              <w:spacing w:after="0"/>
            </w:pPr>
            <w:r/>
            <w:r>
              <w:rPr>
                <w:sz w:val="16"/>
              </w:rPr>
              <w:t>Dockerfiles use node:22; CI uses 22</w:t>
            </w:r>
          </w:p>
        </w:tc>
      </w:tr>
      <w:tr>
        <w:trPr>
          <w:cantSplit/>
        </w:trPr>
        <w:tc>
          <w:tcPr>
            <w:tcW w:type="dxa" w:w="2448"/>
          </w:tcPr>
          <w:p>
            <w:pPr>
              <w:spacing w:after="0"/>
            </w:pPr>
            <w:r/>
            <w:r>
              <w:rPr>
                <w:sz w:val="16"/>
              </w:rPr>
              <w:t>pnpm</w:t>
            </w:r>
          </w:p>
        </w:tc>
        <w:tc>
          <w:tcPr>
            <w:tcW w:type="dxa" w:w="2880"/>
          </w:tcPr>
          <w:p>
            <w:pPr>
              <w:spacing w:after="0"/>
            </w:pPr>
            <w:r/>
            <w:r>
              <w:rPr>
                <w:sz w:val="16"/>
              </w:rPr>
              <w:t>12.11.2</w:t>
            </w:r>
          </w:p>
        </w:tc>
        <w:tc>
          <w:tcPr>
            <w:tcW w:type="dxa" w:w="4032"/>
          </w:tcPr>
          <w:p>
            <w:pPr>
              <w:spacing w:after="0"/>
            </w:pPr>
            <w:r/>
            <w:r>
              <w:rPr>
                <w:sz w:val="16"/>
              </w:rPr>
              <w:t>package.json packageManager</w:t>
            </w:r>
          </w:p>
        </w:tc>
      </w:tr>
      <w:tr>
        <w:trPr>
          <w:cantSplit/>
        </w:trPr>
        <w:tc>
          <w:tcPr>
            <w:tcW w:type="dxa" w:w="2448"/>
          </w:tcPr>
          <w:p>
            <w:pPr>
              <w:spacing w:after="0"/>
            </w:pPr>
            <w:r/>
            <w:r>
              <w:rPr>
                <w:sz w:val="16"/>
              </w:rPr>
              <w:t>Python</w:t>
            </w:r>
          </w:p>
        </w:tc>
        <w:tc>
          <w:tcPr>
            <w:tcW w:type="dxa" w:w="2880"/>
          </w:tcPr>
          <w:p>
            <w:pPr>
              <w:spacing w:after="0"/>
            </w:pPr>
            <w:r/>
            <w:r>
              <w:rPr>
                <w:sz w:val="16"/>
              </w:rPr>
              <w:t>3.11+ (CI 3.11; audit host 3.14)</w:t>
            </w:r>
          </w:p>
        </w:tc>
        <w:tc>
          <w:tcPr>
            <w:tcW w:type="dxa" w:w="4032"/>
          </w:tcPr>
          <w:p>
            <w:pPr>
              <w:spacing w:after="0"/>
            </w:pPr>
            <w:r/>
            <w:r>
              <w:rPr>
                <w:sz w:val="16"/>
              </w:rPr>
              <w:t>check-drift.py uses only stdlib + PyYAML</w:t>
            </w:r>
          </w:p>
        </w:tc>
      </w:tr>
      <w:tr>
        <w:trPr>
          <w:cantSplit/>
        </w:trPr>
        <w:tc>
          <w:tcPr>
            <w:tcW w:type="dxa" w:w="2448"/>
          </w:tcPr>
          <w:p>
            <w:pPr>
              <w:spacing w:after="0"/>
            </w:pPr>
            <w:r/>
            <w:r>
              <w:rPr>
                <w:sz w:val="16"/>
              </w:rPr>
              <w:t>PostgreSQL</w:t>
            </w:r>
          </w:p>
        </w:tc>
        <w:tc>
          <w:tcPr>
            <w:tcW w:type="dxa" w:w="2880"/>
          </w:tcPr>
          <w:p>
            <w:pPr>
              <w:spacing w:after="0"/>
            </w:pPr>
            <w:r/>
            <w:r>
              <w:rPr>
                <w:sz w:val="16"/>
              </w:rPr>
              <w:t>16 (prod) — the migrations were verified on 16</w:t>
            </w:r>
          </w:p>
        </w:tc>
        <w:tc>
          <w:tcPr>
            <w:tcW w:type="dxa" w:w="4032"/>
          </w:tcPr>
          <w:p>
            <w:pPr>
              <w:spacing w:after="0"/>
            </w:pPr>
            <w:r/>
            <w:r>
              <w:rPr>
                <w:sz w:val="16"/>
              </w:rPr>
              <w:t>compose.prod.yml</w:t>
            </w:r>
          </w:p>
        </w:tc>
      </w:tr>
      <w:tr>
        <w:trPr>
          <w:cantSplit/>
        </w:trPr>
        <w:tc>
          <w:tcPr>
            <w:tcW w:type="dxa" w:w="2448"/>
          </w:tcPr>
          <w:p>
            <w:pPr>
              <w:spacing w:after="0"/>
            </w:pPr>
            <w:r/>
            <w:r>
              <w:rPr>
                <w:sz w:val="16"/>
              </w:rPr>
              <w:t>Redis</w:t>
            </w:r>
          </w:p>
        </w:tc>
        <w:tc>
          <w:tcPr>
            <w:tcW w:type="dxa" w:w="2880"/>
          </w:tcPr>
          <w:p>
            <w:pPr>
              <w:spacing w:after="0"/>
            </w:pPr>
            <w:r/>
            <w:r>
              <w:rPr>
                <w:sz w:val="16"/>
              </w:rPr>
              <w:t>7</w:t>
            </w:r>
          </w:p>
        </w:tc>
        <w:tc>
          <w:tcPr>
            <w:tcW w:type="dxa" w:w="4032"/>
          </w:tcPr>
          <w:p>
            <w:pPr>
              <w:spacing w:after="0"/>
            </w:pPr>
            <w:r/>
            <w:r>
              <w:rPr>
                <w:sz w:val="16"/>
              </w:rPr>
              <w:t>compose</w:t>
            </w:r>
          </w:p>
        </w:tc>
      </w:tr>
      <w:tr>
        <w:trPr>
          <w:cantSplit/>
        </w:trPr>
        <w:tc>
          <w:tcPr>
            <w:tcW w:type="dxa" w:w="2448"/>
          </w:tcPr>
          <w:p>
            <w:pPr>
              <w:spacing w:after="0"/>
            </w:pPr>
            <w:r/>
            <w:r>
              <w:rPr>
                <w:sz w:val="16"/>
              </w:rPr>
              <w:t>Podman or Docker with compose</w:t>
            </w:r>
          </w:p>
        </w:tc>
        <w:tc>
          <w:tcPr>
            <w:tcW w:type="dxa" w:w="2880"/>
          </w:tcPr>
          <w:p>
            <w:pPr>
              <w:spacing w:after="0"/>
            </w:pPr>
            <w:r/>
            <w:r>
              <w:rPr>
                <w:sz w:val="16"/>
              </w:rPr>
              <w:t>any recent</w:t>
            </w:r>
          </w:p>
        </w:tc>
        <w:tc>
          <w:tcPr>
            <w:tcW w:type="dxa" w:w="4032"/>
          </w:tcPr>
          <w:p>
            <w:pPr>
              <w:spacing w:after="0"/>
            </w:pPr>
            <w:r/>
            <w:r>
              <w:rPr>
                <w:sz w:val="16"/>
              </w:rPr>
              <w:t>infra/containers/*.yml</w:t>
            </w:r>
          </w:p>
        </w:tc>
      </w:tr>
      <w:tr>
        <w:trPr>
          <w:cantSplit/>
        </w:trPr>
        <w:tc>
          <w:tcPr>
            <w:tcW w:type="dxa" w:w="2448"/>
          </w:tcPr>
          <w:p>
            <w:pPr>
              <w:spacing w:after="0"/>
            </w:pPr>
            <w:r/>
            <w:r>
              <w:rPr>
                <w:sz w:val="16"/>
              </w:rPr>
              <w:t>python-docx + a Mermaid CLI</w:t>
            </w:r>
          </w:p>
        </w:tc>
        <w:tc>
          <w:tcPr>
            <w:tcW w:type="dxa" w:w="2880"/>
          </w:tcPr>
          <w:p>
            <w:pPr>
              <w:spacing w:after="0"/>
            </w:pPr>
            <w:r/>
            <w:r>
              <w:rPr>
                <w:sz w:val="16"/>
              </w:rPr>
              <w:t>only for regenerating this document</w:t>
            </w:r>
          </w:p>
        </w:tc>
        <w:tc>
          <w:tcPr>
            <w:tcW w:type="dxa" w:w="4032"/>
          </w:tcPr>
          <w:p>
            <w:pPr>
              <w:spacing w:after="0"/>
            </w:pPr>
            <w:r/>
            <w:r>
              <w:rPr>
                <w:sz w:val="16"/>
              </w:rPr>
              <w:t>docs/docgen, docs/diagrams</w:t>
            </w:r>
          </w:p>
        </w:tc>
      </w:tr>
    </w:tbl>
    <w:p>
      <w:pPr>
        <w:spacing w:after="200"/>
      </w:pPr>
      <w:r>
        <w:rPr>
          <w:i/>
          <w:color w:val="555F6D"/>
          <w:sz w:val="17"/>
        </w:rPr>
        <w:t>Table 75. Prerequisites</w:t>
      </w:r>
    </w:p>
    <w:p>
      <w:bookmarkStart w:id="1289" w:name="_Toc1289"/>
      <w:pPr>
        <w:pStyle w:val="Heading2"/>
      </w:pPr>
      <w:r>
        <w:t>25.2 First run</w:t>
      </w:r>
      <w:bookmarkEnd w:id="1289"/>
    </w:p>
    <w:p>
      <w:pPr>
        <w:spacing w:after="0" w:before="0"/>
        <w:ind w:left="216"/>
      </w:pPr>
      <w:r>
        <w:rPr>
          <w:rFonts w:ascii="Consolas" w:hAnsi="Consolas"/>
          <w:color w:val="1A1A1A"/>
          <w:sz w:val="16"/>
        </w:rPr>
        <w:t>git clone &lt;repository-url&gt; keluargamart-monorepo</w:t>
      </w:r>
    </w:p>
    <w:p>
      <w:pPr>
        <w:spacing w:after="0" w:before="0"/>
        <w:ind w:left="216"/>
      </w:pPr>
      <w:r>
        <w:rPr>
          <w:rFonts w:ascii="Consolas" w:hAnsi="Consolas"/>
          <w:color w:val="1A1A1A"/>
          <w:sz w:val="16"/>
        </w:rPr>
        <w:t>cd keluargamart-monorepo</w:t>
      </w:r>
    </w:p>
    <w:p>
      <w:pPr>
        <w:spacing w:after="0" w:before="0"/>
        <w:ind w:left="216"/>
      </w:pPr>
      <w:r>
        <w:rPr>
          <w:rFonts w:ascii="Consolas" w:hAnsi="Consolas"/>
          <w:color w:val="1A1A1A"/>
          <w:sz w:val="16"/>
        </w:rPr>
        <w:t>pnpm install                     # workspace install (lockfile committed)</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 1. Database + Redis (isolated; do not point at anything real)</w:t>
      </w:r>
    </w:p>
    <w:p>
      <w:pPr>
        <w:spacing w:after="0" w:before="0"/>
        <w:ind w:left="216"/>
      </w:pPr>
      <w:r>
        <w:rPr>
          <w:rFonts w:ascii="Consolas" w:hAnsi="Consolas"/>
          <w:color w:val="1A1A1A"/>
          <w:sz w:val="16"/>
        </w:rPr>
        <w:t>podman run -d --name km-pg -e POSTGRES_USER=erp -e POSTGRES_PASSWORD=erp \</w:t>
      </w:r>
    </w:p>
    <w:p>
      <w:pPr>
        <w:spacing w:after="0" w:before="0"/>
        <w:ind w:left="216"/>
      </w:pPr>
      <w:r>
        <w:rPr>
          <w:rFonts w:ascii="Consolas" w:hAnsi="Consolas"/>
          <w:color w:val="1A1A1A"/>
          <w:sz w:val="16"/>
        </w:rPr>
        <w:t xml:space="preserve">  -e POSTGRES_DB=erp -p 127.0.0.1:55432:5432 docker.io/library/postgres:16-alpine</w:t>
      </w:r>
    </w:p>
    <w:p>
      <w:pPr>
        <w:spacing w:after="0" w:before="0"/>
        <w:ind w:left="216"/>
      </w:pPr>
      <w:r>
        <w:rPr>
          <w:rFonts w:ascii="Consolas" w:hAnsi="Consolas"/>
          <w:color w:val="1A1A1A"/>
          <w:sz w:val="16"/>
        </w:rPr>
        <w:t>podman run -d --name km-redis -p 127.0.0.1:56379:6379 docker.io/library/redis:7-alpine</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 2. Schema (the backend can also do this itself: AUTO_MIGRATE=true)</w:t>
      </w:r>
    </w:p>
    <w:p>
      <w:pPr>
        <w:spacing w:after="0" w:before="0"/>
        <w:ind w:left="216"/>
      </w:pPr>
      <w:r>
        <w:rPr>
          <w:rFonts w:ascii="Consolas" w:hAnsi="Consolas"/>
          <w:color w:val="1A1A1A"/>
          <w:sz w:val="16"/>
        </w:rPr>
        <w:t>cd apps/backend/migrations</w:t>
      </w:r>
    </w:p>
    <w:p>
      <w:pPr>
        <w:spacing w:after="0" w:before="0"/>
        <w:ind w:left="216"/>
      </w:pPr>
      <w:r>
        <w:rPr>
          <w:rFonts w:ascii="Consolas" w:hAnsi="Consolas"/>
          <w:color w:val="1A1A1A"/>
          <w:sz w:val="16"/>
        </w:rPr>
        <w:t>for f in $(ls [0-9]*.sql | sort); do</w:t>
      </w:r>
    </w:p>
    <w:p>
      <w:pPr>
        <w:spacing w:after="0" w:before="0"/>
        <w:ind w:left="216"/>
      </w:pPr>
      <w:r>
        <w:rPr>
          <w:rFonts w:ascii="Consolas" w:hAnsi="Consolas"/>
          <w:color w:val="1A1A1A"/>
          <w:sz w:val="16"/>
        </w:rPr>
        <w:t xml:space="preserve">  podman exec -i km-pg psql -U erp -d erp -v ON_ERROR_STOP=1 -q \</w:t>
      </w:r>
    </w:p>
    <w:p>
      <w:pPr>
        <w:spacing w:after="0" w:before="0"/>
        <w:ind w:left="216"/>
      </w:pPr>
      <w:r>
        <w:rPr>
          <w:rFonts w:ascii="Consolas" w:hAnsi="Consolas"/>
          <w:color w:val="1A1A1A"/>
          <w:sz w:val="16"/>
        </w:rPr>
        <w:t xml:space="preserve">    --single-transaction &lt; "$f"</w:t>
      </w:r>
    </w:p>
    <w:p>
      <w:pPr>
        <w:spacing w:after="0" w:before="0"/>
        <w:ind w:left="216"/>
      </w:pPr>
      <w:r>
        <w:rPr>
          <w:rFonts w:ascii="Consolas" w:hAnsi="Consolas"/>
          <w:color w:val="1A1A1A"/>
          <w:sz w:val="16"/>
        </w:rPr>
        <w:t>done</w:t>
      </w:r>
    </w:p>
    <w:p>
      <w:pPr>
        <w:spacing w:after="0" w:before="0"/>
        <w:ind w:left="216"/>
      </w:pPr>
      <w:r>
        <w:rPr>
          <w:rFonts w:ascii="Consolas" w:hAnsi="Consolas"/>
          <w:color w:val="1A1A1A"/>
          <w:sz w:val="16"/>
        </w:rPr>
        <w:t>cd ..</w:t>
      </w:r>
    </w:p>
    <w:p>
      <w:pPr>
        <w:spacing w:after="0" w:before="0"/>
        <w:ind w:left="216"/>
      </w:pPr>
      <w:r>
        <w:rPr>
          <w:rFonts w:ascii="Consolas" w:hAnsi="Consolas"/>
          <w:color w:val="1A1A1A"/>
          <w:sz w:val="16"/>
        </w:rPr>
        <w:t>podman exec -i km-pg psql -U erp -d erp -v ON_ERROR_STOP=1 -q &lt; seed.sql</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 3. Backend</w:t>
      </w:r>
    </w:p>
    <w:p>
      <w:pPr>
        <w:spacing w:after="0" w:before="0"/>
        <w:ind w:left="216"/>
      </w:pPr>
      <w:r>
        <w:rPr>
          <w:rFonts w:ascii="Consolas" w:hAnsi="Consolas"/>
          <w:color w:val="1A1A1A"/>
          <w:sz w:val="16"/>
        </w:rPr>
        <w:t>DATABASE_URL='postgres://erp:erp@127.0.0.1:55432/erp?sslmode=disable' \</w:t>
      </w:r>
    </w:p>
    <w:p>
      <w:pPr>
        <w:spacing w:after="0" w:before="0"/>
        <w:ind w:left="216"/>
      </w:pPr>
      <w:r>
        <w:rPr>
          <w:rFonts w:ascii="Consolas" w:hAnsi="Consolas"/>
          <w:color w:val="1A1A1A"/>
          <w:sz w:val="16"/>
        </w:rPr>
        <w:t>REDIS_URL='redis://127.0.0.1:56379/0' go run ./cmd/server</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 4. Frontends (separate terminals)</w:t>
      </w:r>
    </w:p>
    <w:p>
      <w:pPr>
        <w:spacing w:after="0" w:before="0"/>
        <w:ind w:left="216"/>
      </w:pPr>
      <w:r>
        <w:rPr>
          <w:rFonts w:ascii="Consolas" w:hAnsi="Consolas"/>
          <w:color w:val="1A1A1A"/>
          <w:sz w:val="16"/>
        </w:rPr>
        <w:t>pnpm --filter @keluargamart/erp dev        # http://localhost:5173</w:t>
      </w:r>
    </w:p>
    <w:p>
      <w:pPr>
        <w:spacing w:after="0" w:before="0"/>
        <w:ind w:left="216"/>
      </w:pPr>
      <w:r>
        <w:rPr>
          <w:rFonts w:ascii="Consolas" w:hAnsi="Consolas"/>
          <w:color w:val="1A1A1A"/>
          <w:sz w:val="16"/>
        </w:rPr>
        <w:t>pnpm --filter @keluargamart/pos dev        # http://localhost:5174</w:t>
      </w:r>
    </w:p>
    <w:p>
      <w:pPr>
        <w:spacing w:after="0" w:before="0"/>
        <w:ind w:left="216"/>
      </w:pPr>
      <w:r>
        <w:rPr>
          <w:rFonts w:ascii="Consolas" w:hAnsi="Consolas"/>
          <w:color w:val="1A1A1A"/>
          <w:sz w:val="16"/>
        </w:rPr>
        <w:t>pnpm --filter @keluargamart/b2b dev        # http://localhost:3000</w:t>
      </w:r>
    </w:p>
    <w:p>
      <w:pPr>
        <w:spacing w:after="200"/>
      </w:pPr>
      <w:r>
        <w:rPr>
          <w:i/>
          <w:color w:val="555F6D"/>
          <w:sz w:val="17"/>
        </w:rPr>
        <w:t>Table 76. Verified first-run sequence</w:t>
      </w:r>
    </w:p>
    <w:p>
      <w:pPr>
        <w:spacing w:after="160"/>
        <w:ind w:left="216"/>
        <w:pBdr>
          <w:left w:val="single" w:sz="18" w:space="6" w:color="9B2C2C"/>
        </w:pBdr>
      </w:pPr>
      <w:r>
        <w:rPr>
          <w:b/>
          <w:color w:val="9B2C2C"/>
          <w:sz w:val="19"/>
        </w:rPr>
        <w:t xml:space="preserve">Two corrections to the existing guide: </w:t>
      </w:r>
      <w:r>
        <w:rPr>
          <w:sz w:val="19"/>
        </w:rPr>
        <w:t>docs/development/getting-started.md tells you to start db/redis/minio/mailpit from apps/backend/docker-compose.dev.yml. That file defines backend, pos-dev, erp-dev and b2b-dev (plus the base compose's postgres and redis); it has no minio or mailpit service. The sequence above works without either.</w:t>
      </w:r>
    </w:p>
    <w:p>
      <w:bookmarkStart w:id="1290" w:name="_Toc1290"/>
      <w:pPr>
        <w:pStyle w:val="Heading2"/>
      </w:pPr>
      <w:r>
        <w:t>25.3 Seed data</w:t>
      </w:r>
      <w:bookmarkEnd w:id="1290"/>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304"/>
            <w:shd w:val="clear" w:color="auto" w:fill="1F3A5F"/>
          </w:tcPr>
          <w:p>
            <w:pPr>
              <w:spacing w:after="0"/>
            </w:pPr>
            <w:r/>
            <w:r>
              <w:rPr>
                <w:b/>
                <w:color w:val="FFFFFF"/>
                <w:sz w:val="15"/>
              </w:rPr>
              <w:t>File</w:t>
            </w:r>
          </w:p>
        </w:tc>
        <w:tc>
          <w:tcPr>
            <w:tcW w:type="dxa" w:w="4896"/>
            <w:shd w:val="clear" w:color="auto" w:fill="1F3A5F"/>
          </w:tcPr>
          <w:p>
            <w:pPr>
              <w:spacing w:after="0"/>
            </w:pPr>
            <w:r/>
            <w:r>
              <w:rPr>
                <w:b/>
                <w:color w:val="FFFFFF"/>
                <w:sz w:val="15"/>
              </w:rPr>
              <w:t>Contents</w:t>
            </w:r>
          </w:p>
        </w:tc>
        <w:tc>
          <w:tcPr>
            <w:tcW w:type="dxa" w:w="2160"/>
            <w:shd w:val="clear" w:color="auto" w:fill="1F3A5F"/>
          </w:tcPr>
          <w:p>
            <w:pPr>
              <w:spacing w:after="0"/>
            </w:pPr>
            <w:r/>
            <w:r>
              <w:rPr>
                <w:b/>
                <w:color w:val="FFFFFF"/>
                <w:sz w:val="15"/>
              </w:rPr>
              <w:t>When to use</w:t>
            </w:r>
          </w:p>
        </w:tc>
      </w:tr>
      <w:tr>
        <w:trPr>
          <w:cantSplit/>
        </w:trPr>
        <w:tc>
          <w:tcPr>
            <w:tcW w:type="dxa" w:w="2304"/>
          </w:tcPr>
          <w:p>
            <w:pPr>
              <w:spacing w:after="0"/>
            </w:pPr>
            <w:r/>
            <w:r>
              <w:rPr>
                <w:sz w:val="15"/>
              </w:rPr>
              <w:t>seed.sql</w:t>
            </w:r>
          </w:p>
        </w:tc>
        <w:tc>
          <w:tcPr>
            <w:tcW w:type="dxa" w:w="4896"/>
          </w:tcPr>
          <w:p>
            <w:pPr>
              <w:spacing w:after="0"/>
            </w:pPr>
            <w:r/>
            <w:r>
              <w:rPr>
                <w:sz w:val="15"/>
              </w:rPr>
              <w:t>1 admin (admin@keluargamart.local / Admin@1234), 12 units, categories, 6 empty warehouses, membership tiers, roles, fleet, exactly 1 product (Galon Indodes) with base unit and barcode</w:t>
            </w:r>
          </w:p>
        </w:tc>
        <w:tc>
          <w:tcPr>
            <w:tcW w:type="dxa" w:w="2160"/>
          </w:tcPr>
          <w:p>
            <w:pPr>
              <w:spacing w:after="0"/>
            </w:pPr>
            <w:r/>
            <w:r>
              <w:rPr>
                <w:sz w:val="15"/>
              </w:rPr>
              <w:t>Bootstrap; idempotent via WHERE NOT EXISTS</w:t>
            </w:r>
          </w:p>
        </w:tc>
      </w:tr>
      <w:tr>
        <w:trPr>
          <w:cantSplit/>
        </w:trPr>
        <w:tc>
          <w:tcPr>
            <w:tcW w:type="dxa" w:w="2304"/>
          </w:tcPr>
          <w:p>
            <w:pPr>
              <w:spacing w:after="0"/>
            </w:pPr>
            <w:r/>
            <w:r>
              <w:rPr>
                <w:sz w:val="15"/>
              </w:rPr>
              <w:t>seed_testdata.sql</w:t>
            </w:r>
          </w:p>
        </w:tc>
        <w:tc>
          <w:tcPr>
            <w:tcW w:type="dxa" w:w="4896"/>
          </w:tcPr>
          <w:p>
            <w:pPr>
              <w:spacing w:after="0"/>
            </w:pPr>
            <w:r/>
            <w:r>
              <w:rPr>
                <w:sz w:val="15"/>
              </w:rPr>
              <w:t>Realistic products, customers, suppliers, orders, stock</w:t>
            </w:r>
          </w:p>
        </w:tc>
        <w:tc>
          <w:tcPr>
            <w:tcW w:type="dxa" w:w="2160"/>
          </w:tcPr>
          <w:p>
            <w:pPr>
              <w:spacing w:after="0"/>
            </w:pPr>
            <w:r/>
            <w:r>
              <w:rPr>
                <w:sz w:val="15"/>
              </w:rPr>
              <w:t>Local development and demos</w:t>
            </w:r>
          </w:p>
        </w:tc>
      </w:tr>
      <w:tr>
        <w:trPr>
          <w:cantSplit/>
        </w:trPr>
        <w:tc>
          <w:tcPr>
            <w:tcW w:type="dxa" w:w="2304"/>
          </w:tcPr>
          <w:p>
            <w:pPr>
              <w:spacing w:after="0"/>
            </w:pPr>
            <w:r/>
            <w:r>
              <w:rPr>
                <w:sz w:val="15"/>
              </w:rPr>
              <w:t>seed_location_demo.sql</w:t>
            </w:r>
          </w:p>
        </w:tc>
        <w:tc>
          <w:tcPr>
            <w:tcW w:type="dxa" w:w="4896"/>
          </w:tcPr>
          <w:p>
            <w:pPr>
              <w:spacing w:after="0"/>
            </w:pPr>
            <w:r/>
            <w:r>
              <w:rPr>
                <w:sz w:val="15"/>
              </w:rPr>
              <w:t>Location/tracking/fleet demo layer</w:t>
            </w:r>
          </w:p>
        </w:tc>
        <w:tc>
          <w:tcPr>
            <w:tcW w:type="dxa" w:w="2160"/>
          </w:tcPr>
          <w:p>
            <w:pPr>
              <w:spacing w:after="0"/>
            </w:pPr>
            <w:r/>
            <w:r>
              <w:rPr>
                <w:sz w:val="15"/>
              </w:rPr>
              <w:t>Map and tracking work</w:t>
            </w:r>
          </w:p>
        </w:tc>
      </w:tr>
      <w:tr>
        <w:trPr>
          <w:cantSplit/>
        </w:trPr>
        <w:tc>
          <w:tcPr>
            <w:tcW w:type="dxa" w:w="2304"/>
          </w:tcPr>
          <w:p>
            <w:pPr>
              <w:spacing w:after="0"/>
            </w:pPr>
            <w:r/>
            <w:r>
              <w:rPr>
                <w:sz w:val="15"/>
              </w:rPr>
              <w:t>apps/backend/scripts/seed.sh</w:t>
            </w:r>
          </w:p>
        </w:tc>
        <w:tc>
          <w:tcPr>
            <w:tcW w:type="dxa" w:w="4896"/>
          </w:tcPr>
          <w:p>
            <w:pPr>
              <w:spacing w:after="0"/>
            </w:pPr>
            <w:r/>
            <w:r>
              <w:rPr>
                <w:sz w:val="15"/>
              </w:rPr>
              <w:t>Wrapper: bootstrap | testdata | demo | all</w:t>
            </w:r>
          </w:p>
        </w:tc>
        <w:tc>
          <w:tcPr>
            <w:tcW w:type="dxa" w:w="2160"/>
          </w:tcPr>
          <w:p>
            <w:pPr>
              <w:spacing w:after="0"/>
            </w:pPr>
            <w:r/>
            <w:r>
              <w:rPr>
                <w:sz w:val="15"/>
              </w:rPr>
              <w:t>Convenience</w:t>
            </w:r>
          </w:p>
        </w:tc>
      </w:tr>
    </w:tbl>
    <w:p>
      <w:pPr>
        <w:spacing w:after="200"/>
      </w:pPr>
      <w:r>
        <w:rPr>
          <w:i/>
          <w:color w:val="555F6D"/>
          <w:sz w:val="17"/>
        </w:rPr>
        <w:t>Table 77. Seed layers</w:t>
      </w:r>
    </w:p>
    <w:p>
      <w:pPr>
        <w:spacing w:after="160"/>
        <w:ind w:left="216"/>
        <w:pBdr>
          <w:left w:val="single" w:sz="18" w:space="6" w:color="9B2C2C"/>
        </w:pBdr>
      </w:pPr>
      <w:r>
        <w:rPr>
          <w:b/>
          <w:color w:val="9B2C2C"/>
          <w:sz w:val="19"/>
        </w:rPr>
        <w:t xml:space="preserve">Seed credentials: </w:t>
      </w:r>
      <w:r>
        <w:rPr>
          <w:sz w:val="19"/>
        </w:rPr>
        <w:t>The bootstrap admin password is committed in seed.sql for local use. It must never be used on a reachable deployment; change it immediately after the first login.</w:t>
      </w:r>
    </w:p>
    <w:p>
      <w:bookmarkStart w:id="1291" w:name="_Toc1291"/>
      <w:pPr>
        <w:pStyle w:val="Heading2"/>
      </w:pPr>
      <w:r>
        <w:t>25.4 Testing</w:t>
      </w:r>
      <w:bookmarkEnd w:id="1291"/>
    </w:p>
    <w:p>
      <w:pPr>
        <w:spacing w:after="0" w:before="0"/>
        <w:ind w:left="216"/>
      </w:pPr>
      <w:r>
        <w:rPr>
          <w:rFonts w:ascii="Consolas" w:hAnsi="Consolas"/>
          <w:color w:val="1A1A1A"/>
          <w:sz w:val="16"/>
        </w:rPr>
        <w:t># Go — unit tests only (integration skips without DATABASE_URL)</w:t>
      </w:r>
    </w:p>
    <w:p>
      <w:pPr>
        <w:spacing w:after="0" w:before="0"/>
        <w:ind w:left="216"/>
      </w:pPr>
      <w:r>
        <w:rPr>
          <w:rFonts w:ascii="Consolas" w:hAnsi="Consolas"/>
          <w:color w:val="1A1A1A"/>
          <w:sz w:val="16"/>
        </w:rPr>
        <w:t>cd apps/backend &amp;&amp; go test ./...</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 Go — including integration, against a THROWAWAY database</w:t>
      </w:r>
    </w:p>
    <w:p>
      <w:pPr>
        <w:spacing w:after="0" w:before="0"/>
        <w:ind w:left="216"/>
      </w:pPr>
      <w:r>
        <w:rPr>
          <w:rFonts w:ascii="Consolas" w:hAnsi="Consolas"/>
          <w:color w:val="1A1A1A"/>
          <w:sz w:val="16"/>
        </w:rPr>
        <w:t>DATABASE_URL='postgres://erp:erp@127.0.0.1:55432/km_test?sslmode=disable' \</w:t>
      </w:r>
    </w:p>
    <w:p>
      <w:pPr>
        <w:spacing w:after="0" w:before="0"/>
        <w:ind w:left="216"/>
      </w:pPr>
      <w:r>
        <w:rPr>
          <w:rFonts w:ascii="Consolas" w:hAnsi="Consolas"/>
          <w:color w:val="1A1A1A"/>
          <w:sz w:val="16"/>
        </w:rPr>
        <w:t>KG_ALLOW_DESTRUCTIVE_DB_TESTS=1 go test ./...</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 Race detector (slow; use before a risky change)</w:t>
      </w:r>
    </w:p>
    <w:p>
      <w:pPr>
        <w:spacing w:after="0" w:before="0"/>
        <w:ind w:left="216"/>
      </w:pPr>
      <w:r>
        <w:rPr>
          <w:rFonts w:ascii="Consolas" w:hAnsi="Consolas"/>
          <w:color w:val="1A1A1A"/>
          <w:sz w:val="16"/>
        </w:rPr>
        <w:t>go test -race ./internal/sales/... ./internal/finance/...</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 JS workspace</w:t>
      </w:r>
    </w:p>
    <w:p>
      <w:pPr>
        <w:spacing w:after="0" w:before="0"/>
        <w:ind w:left="216"/>
      </w:pPr>
      <w:r>
        <w:rPr>
          <w:rFonts w:ascii="Consolas" w:hAnsi="Consolas"/>
          <w:color w:val="1A1A1A"/>
          <w:sz w:val="16"/>
        </w:rPr>
        <w:t>pnpm turbo run test --force</w:t>
      </w:r>
    </w:p>
    <w:p>
      <w:pPr>
        <w:spacing w:after="0" w:before="0"/>
        <w:ind w:left="216"/>
      </w:pPr>
      <w:r>
        <w:rPr>
          <w:rFonts w:ascii="Consolas" w:hAnsi="Consolas"/>
          <w:color w:val="1A1A1A"/>
          <w:sz w:val="16"/>
        </w:rPr>
        <w:t>pnpm --filter @keluargamart/erp test      # single package</w:t>
      </w:r>
    </w:p>
    <w:p>
      <w:pPr>
        <w:spacing w:after="200"/>
      </w:pPr>
      <w:r>
        <w:rPr>
          <w:i/>
          <w:color w:val="555F6D"/>
          <w:sz w:val="17"/>
        </w:rPr>
        <w:t>Table 78. Test commands</w:t>
      </w:r>
    </w:p>
    <w:p>
      <w:pPr>
        <w:spacing w:after="160"/>
        <w:ind w:left="216"/>
        <w:pBdr>
          <w:left w:val="single" w:sz="18" w:space="6" w:color="9B2C2C"/>
        </w:pBdr>
      </w:pPr>
      <w:r>
        <w:rPr>
          <w:b/>
          <w:color w:val="9B2C2C"/>
          <w:sz w:val="19"/>
        </w:rPr>
        <w:t xml:space="preserve">Destructive consent: </w:t>
      </w:r>
      <w:r>
        <w:rPr>
          <w:sz w:val="19"/>
        </w:rPr>
        <w:t>KG_ALLOW_DESTRUCTIVE_DB_TESTS=1 authorises TRUNCATE of 66 tables (transitively). Point DATABASE_URL at a database you are willing to lose. See finding F-05.</w:t>
      </w:r>
    </w:p>
    <w:p>
      <w:bookmarkStart w:id="1292" w:name="_Toc1292"/>
      <w:pPr>
        <w:pStyle w:val="Heading2"/>
      </w:pPr>
      <w:r>
        <w:t>25.5 Adding a feature</w:t>
      </w:r>
      <w:bookmarkEnd w:id="1292"/>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1872"/>
            <w:shd w:val="clear" w:color="auto" w:fill="1F3A5F"/>
          </w:tcPr>
          <w:p>
            <w:pPr>
              <w:spacing w:after="0"/>
            </w:pPr>
            <w:r/>
            <w:r>
              <w:rPr>
                <w:b/>
                <w:color w:val="FFFFFF"/>
                <w:sz w:val="15"/>
              </w:rPr>
              <w:t>Task</w:t>
            </w:r>
          </w:p>
        </w:tc>
        <w:tc>
          <w:tcPr>
            <w:tcW w:type="dxa" w:w="5184"/>
            <w:shd w:val="clear" w:color="auto" w:fill="1F3A5F"/>
          </w:tcPr>
          <w:p>
            <w:pPr>
              <w:spacing w:after="0"/>
            </w:pPr>
            <w:r/>
            <w:r>
              <w:rPr>
                <w:b/>
                <w:color w:val="FFFFFF"/>
                <w:sz w:val="15"/>
              </w:rPr>
              <w:t>Steps</w:t>
            </w:r>
          </w:p>
        </w:tc>
        <w:tc>
          <w:tcPr>
            <w:tcW w:type="dxa" w:w="2304"/>
            <w:shd w:val="clear" w:color="auto" w:fill="1F3A5F"/>
          </w:tcPr>
          <w:p>
            <w:pPr>
              <w:spacing w:after="0"/>
            </w:pPr>
            <w:r/>
            <w:r>
              <w:rPr>
                <w:b/>
                <w:color w:val="FFFFFF"/>
                <w:sz w:val="15"/>
              </w:rPr>
              <w:t>Files</w:t>
            </w:r>
          </w:p>
        </w:tc>
      </w:tr>
      <w:tr>
        <w:trPr>
          <w:cantSplit/>
        </w:trPr>
        <w:tc>
          <w:tcPr>
            <w:tcW w:type="dxa" w:w="1872"/>
          </w:tcPr>
          <w:p>
            <w:pPr>
              <w:spacing w:after="0"/>
            </w:pPr>
            <w:r/>
            <w:r>
              <w:rPr>
                <w:sz w:val="15"/>
              </w:rPr>
              <w:t>New endpoint</w:t>
            </w:r>
          </w:p>
        </w:tc>
        <w:tc>
          <w:tcPr>
            <w:tcW w:type="dxa" w:w="5184"/>
          </w:tcPr>
          <w:p>
            <w:pPr>
              <w:spacing w:after="0"/>
            </w:pPr>
            <w:r/>
            <w:r>
              <w:rPr>
                <w:sz w:val="15"/>
              </w:rPr>
              <w:t>1) add the query to db/query/*.sql (or hand-write it) 2) repository → service → handler 3) mount in cmd/server/main.go with the permission gate 4) document in apps/backend/docs/openapi.yaml 5) pnpm contracts:generate 6) pnpm drift:check</w:t>
            </w:r>
          </w:p>
        </w:tc>
        <w:tc>
          <w:tcPr>
            <w:tcW w:type="dxa" w:w="2304"/>
          </w:tcPr>
          <w:p>
            <w:pPr>
              <w:spacing w:after="0"/>
            </w:pPr>
            <w:r/>
            <w:r>
              <w:rPr>
                <w:sz w:val="15"/>
              </w:rPr>
              <w:t>apps/backend/internal/&lt;module&gt;/, cmd/server/main.go, apps/backend/docs/openapi.yaml</w:t>
            </w:r>
          </w:p>
        </w:tc>
      </w:tr>
      <w:tr>
        <w:trPr>
          <w:cantSplit/>
        </w:trPr>
        <w:tc>
          <w:tcPr>
            <w:tcW w:type="dxa" w:w="1872"/>
          </w:tcPr>
          <w:p>
            <w:pPr>
              <w:spacing w:after="0"/>
            </w:pPr>
            <w:r/>
            <w:r>
              <w:rPr>
                <w:sz w:val="15"/>
              </w:rPr>
              <w:t>New table</w:t>
            </w:r>
          </w:p>
        </w:tc>
        <w:tc>
          <w:tcPr>
            <w:tcW w:type="dxa" w:w="5184"/>
          </w:tcPr>
          <w:p>
            <w:pPr>
              <w:spacing w:after="0"/>
            </w:pPr>
            <w:r/>
            <w:r>
              <w:rPr>
                <w:sz w:val="15"/>
              </w:rPr>
              <w:t>1) migrations/NNNNNN_name.sql (six-digit prefix, one transaction) 2) add the query 3) refresh db/schema.sql 4) consider a CHECK for state vocabularies</w:t>
            </w:r>
          </w:p>
        </w:tc>
        <w:tc>
          <w:tcPr>
            <w:tcW w:type="dxa" w:w="2304"/>
          </w:tcPr>
          <w:p>
            <w:pPr>
              <w:spacing w:after="0"/>
            </w:pPr>
            <w:r/>
            <w:r>
              <w:rPr>
                <w:sz w:val="15"/>
              </w:rPr>
              <w:t>apps/backend/migrations/</w:t>
            </w:r>
          </w:p>
        </w:tc>
      </w:tr>
      <w:tr>
        <w:trPr>
          <w:cantSplit/>
        </w:trPr>
        <w:tc>
          <w:tcPr>
            <w:tcW w:type="dxa" w:w="1872"/>
          </w:tcPr>
          <w:p>
            <w:pPr>
              <w:spacing w:after="0"/>
            </w:pPr>
            <w:r/>
            <w:r>
              <w:rPr>
                <w:sz w:val="15"/>
              </w:rPr>
              <w:t>New permission</w:t>
            </w:r>
          </w:p>
        </w:tc>
        <w:tc>
          <w:tcPr>
            <w:tcW w:type="dxa" w:w="5184"/>
          </w:tcPr>
          <w:p>
            <w:pPr>
              <w:spacing w:after="0"/>
            </w:pPr>
            <w:r/>
            <w:r>
              <w:rPr>
                <w:sz w:val="15"/>
              </w:rPr>
              <w:t>1) add the key to internal/auth/catalog.go 2) grant it in a migration 3) pnpm permissions:generate 4) add the UI gate (meta.perm / nav perm)</w:t>
            </w:r>
          </w:p>
        </w:tc>
        <w:tc>
          <w:tcPr>
            <w:tcW w:type="dxa" w:w="2304"/>
          </w:tcPr>
          <w:p>
            <w:pPr>
              <w:spacing w:after="0"/>
            </w:pPr>
            <w:r/>
            <w:r>
              <w:rPr>
                <w:sz w:val="15"/>
              </w:rPr>
              <w:t>catalog.go, packages/permissions</w:t>
            </w:r>
          </w:p>
        </w:tc>
      </w:tr>
      <w:tr>
        <w:trPr>
          <w:cantSplit/>
        </w:trPr>
        <w:tc>
          <w:tcPr>
            <w:tcW w:type="dxa" w:w="1872"/>
          </w:tcPr>
          <w:p>
            <w:pPr>
              <w:spacing w:after="0"/>
            </w:pPr>
            <w:r/>
            <w:r>
              <w:rPr>
                <w:sz w:val="15"/>
              </w:rPr>
              <w:t>New ERP page</w:t>
            </w:r>
          </w:p>
        </w:tc>
        <w:tc>
          <w:tcPr>
            <w:tcW w:type="dxa" w:w="5184"/>
          </w:tcPr>
          <w:p>
            <w:pPr>
              <w:spacing w:after="0"/>
            </w:pPr>
            <w:r/>
            <w:r>
              <w:rPr>
                <w:sz w:val="15"/>
              </w:rPr>
              <w:t>1) pages/&lt;area&gt;/XPage.vue 2) route with meta.perm 3) nav item with the same perm</w:t>
            </w:r>
          </w:p>
        </w:tc>
        <w:tc>
          <w:tcPr>
            <w:tcW w:type="dxa" w:w="2304"/>
          </w:tcPr>
          <w:p>
            <w:pPr>
              <w:spacing w:after="0"/>
            </w:pPr>
            <w:r/>
            <w:r>
              <w:rPr>
                <w:sz w:val="15"/>
              </w:rPr>
              <w:t>apps/erp/src/{pages,router,config}</w:t>
            </w:r>
          </w:p>
        </w:tc>
      </w:tr>
      <w:tr>
        <w:trPr>
          <w:cantSplit/>
        </w:trPr>
        <w:tc>
          <w:tcPr>
            <w:tcW w:type="dxa" w:w="1872"/>
          </w:tcPr>
          <w:p>
            <w:pPr>
              <w:spacing w:after="0"/>
            </w:pPr>
            <w:r/>
            <w:r>
              <w:rPr>
                <w:sz w:val="15"/>
              </w:rPr>
              <w:t>New POS workflow</w:t>
            </w:r>
          </w:p>
        </w:tc>
        <w:tc>
          <w:tcPr>
            <w:tcW w:type="dxa" w:w="5184"/>
          </w:tcPr>
          <w:p>
            <w:pPr>
              <w:spacing w:after="0"/>
            </w:pPr>
            <w:r/>
            <w:r>
              <w:rPr>
                <w:sz w:val="15"/>
              </w:rPr>
              <w:t>1) page + route with meta.permission 2) service in src/services/api 3) store action 4) test</w:t>
            </w:r>
          </w:p>
        </w:tc>
        <w:tc>
          <w:tcPr>
            <w:tcW w:type="dxa" w:w="2304"/>
          </w:tcPr>
          <w:p>
            <w:pPr>
              <w:spacing w:after="0"/>
            </w:pPr>
            <w:r/>
            <w:r>
              <w:rPr>
                <w:sz w:val="15"/>
              </w:rPr>
              <w:t>apps/pos/src/</w:t>
            </w:r>
          </w:p>
        </w:tc>
      </w:tr>
      <w:tr>
        <w:trPr>
          <w:cantSplit/>
        </w:trPr>
        <w:tc>
          <w:tcPr>
            <w:tcW w:type="dxa" w:w="1872"/>
          </w:tcPr>
          <w:p>
            <w:pPr>
              <w:spacing w:after="0"/>
            </w:pPr>
            <w:r/>
            <w:r>
              <w:rPr>
                <w:sz w:val="15"/>
              </w:rPr>
              <w:t>New B2B page</w:t>
            </w:r>
          </w:p>
        </w:tc>
        <w:tc>
          <w:tcPr>
            <w:tcW w:type="dxa" w:w="5184"/>
          </w:tcPr>
          <w:p>
            <w:pPr>
              <w:spacing w:after="0"/>
            </w:pPr>
            <w:r/>
            <w:r>
              <w:rPr>
                <w:sz w:val="15"/>
              </w:rPr>
              <w:t>1) app/pages/&lt;path&gt;.vue 2) composable in app/composables 3) middleware if authenticated 4) test</w:t>
            </w:r>
          </w:p>
        </w:tc>
        <w:tc>
          <w:tcPr>
            <w:tcW w:type="dxa" w:w="2304"/>
          </w:tcPr>
          <w:p>
            <w:pPr>
              <w:spacing w:after="0"/>
            </w:pPr>
            <w:r/>
            <w:r>
              <w:rPr>
                <w:sz w:val="15"/>
              </w:rPr>
              <w:t>apps/b2b/app/</w:t>
            </w:r>
          </w:p>
        </w:tc>
      </w:tr>
      <w:tr>
        <w:trPr>
          <w:cantSplit/>
        </w:trPr>
        <w:tc>
          <w:tcPr>
            <w:tcW w:type="dxa" w:w="1872"/>
          </w:tcPr>
          <w:p>
            <w:pPr>
              <w:spacing w:after="0"/>
            </w:pPr>
            <w:r/>
            <w:r>
              <w:rPr>
                <w:sz w:val="15"/>
              </w:rPr>
              <w:t>New report</w:t>
            </w:r>
          </w:p>
        </w:tc>
        <w:tc>
          <w:tcPr>
            <w:tcW w:type="dxa" w:w="5184"/>
          </w:tcPr>
          <w:p>
            <w:pPr>
              <w:spacing w:after="0"/>
            </w:pPr>
            <w:r/>
            <w:r>
              <w:rPr>
                <w:sz w:val="15"/>
              </w:rPr>
              <w:t>1) template JSON in a migration (report_templates) 2) templatePerms entry 3) data shaper in reportproxy 4) verify with format=pdf</w:t>
            </w:r>
          </w:p>
        </w:tc>
        <w:tc>
          <w:tcPr>
            <w:tcW w:type="dxa" w:w="2304"/>
          </w:tcPr>
          <w:p>
            <w:pPr>
              <w:spacing w:after="0"/>
            </w:pPr>
            <w:r/>
            <w:r>
              <w:rPr>
                <w:sz w:val="15"/>
              </w:rPr>
              <w:t>internal/reportproxy, migrations</w:t>
            </w:r>
          </w:p>
        </w:tc>
      </w:tr>
      <w:tr>
        <w:trPr>
          <w:cantSplit/>
        </w:trPr>
        <w:tc>
          <w:tcPr>
            <w:tcW w:type="dxa" w:w="1872"/>
          </w:tcPr>
          <w:p>
            <w:pPr>
              <w:spacing w:after="0"/>
            </w:pPr>
            <w:r/>
            <w:r>
              <w:rPr>
                <w:sz w:val="15"/>
              </w:rPr>
              <w:t>New shared component</w:t>
            </w:r>
          </w:p>
        </w:tc>
        <w:tc>
          <w:tcPr>
            <w:tcW w:type="dxa" w:w="5184"/>
          </w:tcPr>
          <w:p>
            <w:pPr>
              <w:spacing w:after="0"/>
            </w:pPr>
            <w:r/>
            <w:r>
              <w:rPr>
                <w:sz w:val="15"/>
              </w:rPr>
              <w:t>Add to the app's own component layer (k/ in ERP, ui/ in POS); do not add to packages/ui unless you also wire the imports (it is currently unused)</w:t>
            </w:r>
          </w:p>
        </w:tc>
        <w:tc>
          <w:tcPr>
            <w:tcW w:type="dxa" w:w="2304"/>
          </w:tcPr>
          <w:p>
            <w:pPr>
              <w:spacing w:after="0"/>
            </w:pPr>
            <w:r/>
            <w:r>
              <w:rPr>
                <w:sz w:val="15"/>
              </w:rPr>
              <w:t>apps/*/src/components</w:t>
            </w:r>
          </w:p>
        </w:tc>
      </w:tr>
      <w:tr>
        <w:trPr>
          <w:cantSplit/>
        </w:trPr>
        <w:tc>
          <w:tcPr>
            <w:tcW w:type="dxa" w:w="1872"/>
          </w:tcPr>
          <w:p>
            <w:pPr>
              <w:spacing w:after="0"/>
            </w:pPr>
            <w:r/>
            <w:r>
              <w:rPr>
                <w:sz w:val="15"/>
              </w:rPr>
              <w:t>New application or package</w:t>
            </w:r>
          </w:p>
        </w:tc>
        <w:tc>
          <w:tcPr>
            <w:tcW w:type="dxa" w:w="5184"/>
          </w:tcPr>
          <w:p>
            <w:pPr>
              <w:spacing w:after="0"/>
            </w:pPr>
            <w:r/>
            <w:r>
              <w:rPr>
                <w:sz w:val="15"/>
              </w:rPr>
              <w:t>1) apps/&lt;name&gt;/package.json with name @keluargamart/&lt;name&gt; 2) Dockerfile 3) add to compose + deploy matrix 4) document it</w:t>
            </w:r>
          </w:p>
        </w:tc>
        <w:tc>
          <w:tcPr>
            <w:tcW w:type="dxa" w:w="2304"/>
          </w:tcPr>
          <w:p>
            <w:pPr>
              <w:spacing w:after="0"/>
            </w:pPr>
            <w:r/>
            <w:r>
              <w:rPr>
                <w:sz w:val="15"/>
              </w:rPr>
              <w:t>apps/, packages/, .github/workflows</w:t>
            </w:r>
          </w:p>
        </w:tc>
      </w:tr>
    </w:tbl>
    <w:p>
      <w:pPr>
        <w:spacing w:after="200"/>
      </w:pPr>
      <w:r>
        <w:rPr>
          <w:i/>
          <w:color w:val="555F6D"/>
          <w:sz w:val="17"/>
        </w:rPr>
        <w:t>Table 79. Extension recipes</w:t>
      </w:r>
    </w:p>
    <w:p>
      <w:bookmarkStart w:id="1293" w:name="_Toc1293"/>
      <w:pPr>
        <w:pStyle w:val="Heading2"/>
      </w:pPr>
      <w:r>
        <w:t>25.6 Conventions observed in the code</w:t>
      </w:r>
      <w:bookmarkEnd w:id="1293"/>
    </w:p>
    <w:p>
      <w:pPr>
        <w:pStyle w:val="ListBullet"/>
      </w:pPr>
      <w:r>
        <w:t>Money is decimal everywhere; float64 is not used for currency.</w:t>
      </w:r>
    </w:p>
    <w:p>
      <w:pPr>
        <w:pStyle w:val="ListBullet"/>
      </w:pPr>
      <w:r>
        <w:t>Every mutation that touches money, stock or a status runs in a transaction and locks the contended row.</w:t>
      </w:r>
    </w:p>
    <w:p>
      <w:pPr>
        <w:pStyle w:val="ListBullet"/>
      </w:pPr>
      <w:r>
        <w:t>Errors are sentinel values mapped in the handler; internal error text is never returned to the client.</w:t>
      </w:r>
    </w:p>
    <w:p>
      <w:pPr>
        <w:pStyle w:val="ListBullet"/>
      </w:pPr>
      <w:r>
        <w:t>Comments carry the reason and the date of the change (e.g. 'client feedback 2026-08-26'), not a restatement of the code.</w:t>
      </w:r>
    </w:p>
    <w:p>
      <w:pPr>
        <w:pStyle w:val="ListBullet"/>
      </w:pPr>
      <w:r>
        <w:t>Tests are table-driven and named as claims (TestBuyerValidatesVoucherWithoutGainingTheList).</w:t>
      </w:r>
    </w:p>
    <w:p>
      <w:pPr>
        <w:pStyle w:val="ListBullet"/>
      </w:pPr>
      <w:r>
        <w:t>Commit messages are conventional (feat(erp/reports): …).</w:t>
      </w:r>
    </w:p>
    <w:p>
      <w:bookmarkStart w:id="1294" w:name="_Toc1294"/>
      <w:pPr>
        <w:pStyle w:val="Heading1"/>
        <w:pageBreakBefore/>
      </w:pPr>
      <w:r>
        <w:t>26. Development and testing workflow</w:t>
      </w:r>
      <w:bookmarkEnd w:id="1294"/>
    </w:p>
    <w:p>
      <w:bookmarkStart w:id="1295" w:name="_Toc1295"/>
      <w:pPr>
        <w:pStyle w:val="Heading2"/>
      </w:pPr>
      <w:r>
        <w:t>26.1 Test inventory</w:t>
      </w:r>
      <w:bookmarkEnd w:id="1295"/>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504" w:type="dxa"/>
      </w:tblPr>
      <w:tblGrid>
        <w:gridCol w:w="1930"/>
        <w:gridCol w:w="1930"/>
        <w:gridCol w:w="1930"/>
        <w:gridCol w:w="1930"/>
        <w:gridCol w:w="1930"/>
      </w:tblGrid>
      <w:tr>
        <w:trPr>
          <w:tblHeader w:val="true"/>
        </w:trPr>
        <w:tc>
          <w:tcPr>
            <w:tcW w:type="dxa" w:w="2016"/>
            <w:shd w:val="clear" w:color="auto" w:fill="1F3A5F"/>
          </w:tcPr>
          <w:p>
            <w:pPr>
              <w:spacing w:after="0"/>
            </w:pPr>
            <w:r/>
            <w:r>
              <w:rPr>
                <w:b/>
                <w:color w:val="FFFFFF"/>
                <w:sz w:val="15"/>
              </w:rPr>
              <w:t>Suite</w:t>
            </w:r>
          </w:p>
        </w:tc>
        <w:tc>
          <w:tcPr>
            <w:tcW w:type="dxa" w:w="2736"/>
            <w:shd w:val="clear" w:color="auto" w:fill="1F3A5F"/>
          </w:tcPr>
          <w:p>
            <w:pPr>
              <w:spacing w:after="0"/>
            </w:pPr>
            <w:r/>
            <w:r>
              <w:rPr>
                <w:b/>
                <w:color w:val="FFFFFF"/>
                <w:sz w:val="15"/>
              </w:rPr>
              <w:t>Framework</w:t>
            </w:r>
          </w:p>
        </w:tc>
        <w:tc>
          <w:tcPr>
            <w:tcW w:type="dxa" w:w="1152"/>
            <w:shd w:val="clear" w:color="auto" w:fill="1F3A5F"/>
          </w:tcPr>
          <w:p>
            <w:pPr>
              <w:spacing w:after="0"/>
            </w:pPr>
            <w:r/>
            <w:r>
              <w:rPr>
                <w:b/>
                <w:color w:val="FFFFFF"/>
                <w:sz w:val="15"/>
              </w:rPr>
              <w:t>Files</w:t>
            </w:r>
          </w:p>
        </w:tc>
        <w:tc>
          <w:tcPr>
            <w:tcW w:type="dxa" w:w="1872"/>
            <w:shd w:val="clear" w:color="auto" w:fill="1F3A5F"/>
          </w:tcPr>
          <w:p>
            <w:pPr>
              <w:spacing w:after="0"/>
            </w:pPr>
            <w:r/>
            <w:r>
              <w:rPr>
                <w:b/>
                <w:color w:val="FFFFFF"/>
                <w:sz w:val="15"/>
              </w:rPr>
              <w:t>Tests</w:t>
            </w:r>
          </w:p>
        </w:tc>
        <w:tc>
          <w:tcPr>
            <w:tcW w:type="dxa" w:w="1728"/>
            <w:shd w:val="clear" w:color="auto" w:fill="1F3A5F"/>
          </w:tcPr>
          <w:p>
            <w:pPr>
              <w:spacing w:after="0"/>
            </w:pPr>
            <w:r/>
            <w:r>
              <w:rPr>
                <w:b/>
                <w:color w:val="FFFFFF"/>
                <w:sz w:val="15"/>
              </w:rPr>
              <w:t>Executed in this audit</w:t>
            </w:r>
          </w:p>
        </w:tc>
      </w:tr>
      <w:tr>
        <w:trPr>
          <w:cantSplit/>
        </w:trPr>
        <w:tc>
          <w:tcPr>
            <w:tcW w:type="dxa" w:w="2016"/>
          </w:tcPr>
          <w:p>
            <w:pPr>
              <w:spacing w:after="0"/>
            </w:pPr>
            <w:r/>
            <w:r>
              <w:rPr>
                <w:sz w:val="15"/>
              </w:rPr>
              <w:t>Go unit + package</w:t>
            </w:r>
          </w:p>
        </w:tc>
        <w:tc>
          <w:tcPr>
            <w:tcW w:type="dxa" w:w="2736"/>
          </w:tcPr>
          <w:p>
            <w:pPr>
              <w:spacing w:after="0"/>
            </w:pPr>
            <w:r/>
            <w:r>
              <w:rPr>
                <w:sz w:val="15"/>
              </w:rPr>
              <w:t>go test</w:t>
            </w:r>
          </w:p>
        </w:tc>
        <w:tc>
          <w:tcPr>
            <w:tcW w:type="dxa" w:w="1152"/>
          </w:tcPr>
          <w:p>
            <w:pPr>
              <w:spacing w:after="0"/>
            </w:pPr>
            <w:r/>
            <w:r>
              <w:rPr>
                <w:sz w:val="15"/>
              </w:rPr>
              <w:t>139 files</w:t>
            </w:r>
          </w:p>
        </w:tc>
        <w:tc>
          <w:tcPr>
            <w:tcW w:type="dxa" w:w="1872"/>
          </w:tcPr>
          <w:p>
            <w:pPr>
              <w:spacing w:after="0"/>
            </w:pPr>
            <w:r/>
            <w:r>
              <w:rPr>
                <w:sz w:val="15"/>
              </w:rPr>
              <w:t>1176 pass, 38 skip</w:t>
            </w:r>
          </w:p>
        </w:tc>
        <w:tc>
          <w:tcPr>
            <w:tcW w:type="dxa" w:w="1728"/>
          </w:tcPr>
          <w:p>
            <w:pPr>
              <w:spacing w:after="0"/>
            </w:pPr>
            <w:r/>
            <w:r>
              <w:rPr>
                <w:sz w:val="15"/>
              </w:rPr>
              <w:t>Yes — full suite</w:t>
            </w:r>
          </w:p>
        </w:tc>
      </w:tr>
      <w:tr>
        <w:trPr>
          <w:cantSplit/>
        </w:trPr>
        <w:tc>
          <w:tcPr>
            <w:tcW w:type="dxa" w:w="2016"/>
          </w:tcPr>
          <w:p>
            <w:pPr>
              <w:spacing w:after="0"/>
            </w:pPr>
            <w:r/>
            <w:r>
              <w:rPr>
                <w:sz w:val="15"/>
              </w:rPr>
              <w:t>Go integration</w:t>
            </w:r>
          </w:p>
        </w:tc>
        <w:tc>
          <w:tcPr>
            <w:tcW w:type="dxa" w:w="2736"/>
          </w:tcPr>
          <w:p>
            <w:pPr>
              <w:spacing w:after="0"/>
            </w:pPr>
            <w:r/>
            <w:r>
              <w:rPr>
                <w:sz w:val="15"/>
              </w:rPr>
              <w:t>go test (internal/integration)</w:t>
            </w:r>
          </w:p>
        </w:tc>
        <w:tc>
          <w:tcPr>
            <w:tcW w:type="dxa" w:w="1152"/>
          </w:tcPr>
          <w:p>
            <w:pPr>
              <w:spacing w:after="0"/>
            </w:pPr>
            <w:r/>
            <w:r>
              <w:rPr>
                <w:sz w:val="15"/>
              </w:rPr>
              <w:t>26 files</w:t>
            </w:r>
          </w:p>
        </w:tc>
        <w:tc>
          <w:tcPr>
            <w:tcW w:type="dxa" w:w="1872"/>
          </w:tcPr>
          <w:p>
            <w:pPr>
              <w:spacing w:after="0"/>
            </w:pPr>
            <w:r/>
            <w:r>
              <w:rPr>
                <w:sz w:val="15"/>
              </w:rPr>
              <w:t>88 pass</w:t>
            </w:r>
          </w:p>
        </w:tc>
        <w:tc>
          <w:tcPr>
            <w:tcW w:type="dxa" w:w="1728"/>
          </w:tcPr>
          <w:p>
            <w:pPr>
              <w:spacing w:after="0"/>
            </w:pPr>
            <w:r/>
            <w:r>
              <w:rPr>
                <w:sz w:val="15"/>
              </w:rPr>
              <w:t>Yes — with consent, against the audit DB</w:t>
            </w:r>
          </w:p>
        </w:tc>
      </w:tr>
      <w:tr>
        <w:trPr>
          <w:cantSplit/>
        </w:trPr>
        <w:tc>
          <w:tcPr>
            <w:tcW w:type="dxa" w:w="2016"/>
          </w:tcPr>
          <w:p>
            <w:pPr>
              <w:spacing w:after="0"/>
            </w:pPr>
            <w:r/>
            <w:r>
              <w:rPr>
                <w:sz w:val="15"/>
              </w:rPr>
              <w:t>ERP</w:t>
            </w:r>
          </w:p>
        </w:tc>
        <w:tc>
          <w:tcPr>
            <w:tcW w:type="dxa" w:w="2736"/>
          </w:tcPr>
          <w:p>
            <w:pPr>
              <w:spacing w:after="0"/>
            </w:pPr>
            <w:r/>
            <w:r>
              <w:rPr>
                <w:sz w:val="15"/>
              </w:rPr>
              <w:t>Vitest + @vue/test-utils + jsdom</w:t>
            </w:r>
          </w:p>
        </w:tc>
        <w:tc>
          <w:tcPr>
            <w:tcW w:type="dxa" w:w="1152"/>
          </w:tcPr>
          <w:p>
            <w:pPr>
              <w:spacing w:after="0"/>
            </w:pPr>
            <w:r/>
            <w:r>
              <w:rPr>
                <w:sz w:val="15"/>
              </w:rPr>
              <w:t>39</w:t>
            </w:r>
          </w:p>
        </w:tc>
        <w:tc>
          <w:tcPr>
            <w:tcW w:type="dxa" w:w="1872"/>
          </w:tcPr>
          <w:p>
            <w:pPr>
              <w:spacing w:after="0"/>
            </w:pPr>
            <w:r/>
            <w:r>
              <w:rPr>
                <w:sz w:val="15"/>
              </w:rPr>
              <w:t>344</w:t>
            </w:r>
          </w:p>
        </w:tc>
        <w:tc>
          <w:tcPr>
            <w:tcW w:type="dxa" w:w="1728"/>
          </w:tcPr>
          <w:p>
            <w:pPr>
              <w:spacing w:after="0"/>
            </w:pPr>
            <w:r/>
            <w:r>
              <w:rPr>
                <w:sz w:val="15"/>
              </w:rPr>
              <w:t>Yes</w:t>
            </w:r>
          </w:p>
        </w:tc>
      </w:tr>
      <w:tr>
        <w:trPr>
          <w:cantSplit/>
        </w:trPr>
        <w:tc>
          <w:tcPr>
            <w:tcW w:type="dxa" w:w="2016"/>
          </w:tcPr>
          <w:p>
            <w:pPr>
              <w:spacing w:after="0"/>
            </w:pPr>
            <w:r/>
            <w:r>
              <w:rPr>
                <w:sz w:val="15"/>
              </w:rPr>
              <w:t>POS</w:t>
            </w:r>
          </w:p>
        </w:tc>
        <w:tc>
          <w:tcPr>
            <w:tcW w:type="dxa" w:w="2736"/>
          </w:tcPr>
          <w:p>
            <w:pPr>
              <w:spacing w:after="0"/>
            </w:pPr>
            <w:r/>
            <w:r>
              <w:rPr>
                <w:sz w:val="15"/>
              </w:rPr>
              <w:t>Vitest</w:t>
            </w:r>
          </w:p>
        </w:tc>
        <w:tc>
          <w:tcPr>
            <w:tcW w:type="dxa" w:w="1152"/>
          </w:tcPr>
          <w:p>
            <w:pPr>
              <w:spacing w:after="0"/>
            </w:pPr>
            <w:r/>
            <w:r>
              <w:rPr>
                <w:sz w:val="15"/>
              </w:rPr>
              <w:t>20</w:t>
            </w:r>
          </w:p>
        </w:tc>
        <w:tc>
          <w:tcPr>
            <w:tcW w:type="dxa" w:w="1872"/>
          </w:tcPr>
          <w:p>
            <w:pPr>
              <w:spacing w:after="0"/>
            </w:pPr>
            <w:r/>
            <w:r>
              <w:rPr>
                <w:sz w:val="15"/>
              </w:rPr>
              <w:t>111</w:t>
            </w:r>
          </w:p>
        </w:tc>
        <w:tc>
          <w:tcPr>
            <w:tcW w:type="dxa" w:w="1728"/>
          </w:tcPr>
          <w:p>
            <w:pPr>
              <w:spacing w:after="0"/>
            </w:pPr>
            <w:r/>
            <w:r>
              <w:rPr>
                <w:sz w:val="15"/>
              </w:rPr>
              <w:t>Yes</w:t>
            </w:r>
          </w:p>
        </w:tc>
      </w:tr>
      <w:tr>
        <w:trPr>
          <w:cantSplit/>
        </w:trPr>
        <w:tc>
          <w:tcPr>
            <w:tcW w:type="dxa" w:w="2016"/>
          </w:tcPr>
          <w:p>
            <w:pPr>
              <w:spacing w:after="0"/>
            </w:pPr>
            <w:r/>
            <w:r>
              <w:rPr>
                <w:sz w:val="15"/>
              </w:rPr>
              <w:t>B2B</w:t>
            </w:r>
          </w:p>
        </w:tc>
        <w:tc>
          <w:tcPr>
            <w:tcW w:type="dxa" w:w="2736"/>
          </w:tcPr>
          <w:p>
            <w:pPr>
              <w:spacing w:after="0"/>
            </w:pPr>
            <w:r/>
            <w:r>
              <w:rPr>
                <w:sz w:val="15"/>
              </w:rPr>
              <w:t>Vitest</w:t>
            </w:r>
          </w:p>
        </w:tc>
        <w:tc>
          <w:tcPr>
            <w:tcW w:type="dxa" w:w="1152"/>
          </w:tcPr>
          <w:p>
            <w:pPr>
              <w:spacing w:after="0"/>
            </w:pPr>
            <w:r/>
            <w:r>
              <w:rPr>
                <w:sz w:val="15"/>
              </w:rPr>
              <w:t>20</w:t>
            </w:r>
          </w:p>
        </w:tc>
        <w:tc>
          <w:tcPr>
            <w:tcW w:type="dxa" w:w="1872"/>
          </w:tcPr>
          <w:p>
            <w:pPr>
              <w:spacing w:after="0"/>
            </w:pPr>
            <w:r/>
            <w:r>
              <w:rPr>
                <w:sz w:val="15"/>
              </w:rPr>
              <w:t>170</w:t>
            </w:r>
          </w:p>
        </w:tc>
        <w:tc>
          <w:tcPr>
            <w:tcW w:type="dxa" w:w="1728"/>
          </w:tcPr>
          <w:p>
            <w:pPr>
              <w:spacing w:after="0"/>
            </w:pPr>
            <w:r/>
            <w:r>
              <w:rPr>
                <w:sz w:val="15"/>
              </w:rPr>
              <w:t>Yes</w:t>
            </w:r>
          </w:p>
        </w:tc>
      </w:tr>
      <w:tr>
        <w:trPr>
          <w:cantSplit/>
        </w:trPr>
        <w:tc>
          <w:tcPr>
            <w:tcW w:type="dxa" w:w="2016"/>
          </w:tcPr>
          <w:p>
            <w:pPr>
              <w:spacing w:after="0"/>
            </w:pPr>
            <w:r/>
            <w:r>
              <w:rPr>
                <w:sz w:val="15"/>
              </w:rPr>
              <w:t>api-client</w:t>
            </w:r>
          </w:p>
        </w:tc>
        <w:tc>
          <w:tcPr>
            <w:tcW w:type="dxa" w:w="2736"/>
          </w:tcPr>
          <w:p>
            <w:pPr>
              <w:spacing w:after="0"/>
            </w:pPr>
            <w:r/>
            <w:r>
              <w:rPr>
                <w:sz w:val="15"/>
              </w:rPr>
              <w:t>Vitest</w:t>
            </w:r>
          </w:p>
        </w:tc>
        <w:tc>
          <w:tcPr>
            <w:tcW w:type="dxa" w:w="1152"/>
          </w:tcPr>
          <w:p>
            <w:pPr>
              <w:spacing w:after="0"/>
            </w:pPr>
            <w:r/>
            <w:r>
              <w:rPr>
                <w:sz w:val="15"/>
              </w:rPr>
              <w:t>1</w:t>
            </w:r>
          </w:p>
        </w:tc>
        <w:tc>
          <w:tcPr>
            <w:tcW w:type="dxa" w:w="1872"/>
          </w:tcPr>
          <w:p>
            <w:pPr>
              <w:spacing w:after="0"/>
            </w:pPr>
            <w:r/>
            <w:r>
              <w:rPr>
                <w:sz w:val="15"/>
              </w:rPr>
              <w:t>3</w:t>
            </w:r>
          </w:p>
        </w:tc>
        <w:tc>
          <w:tcPr>
            <w:tcW w:type="dxa" w:w="1728"/>
          </w:tcPr>
          <w:p>
            <w:pPr>
              <w:spacing w:after="0"/>
            </w:pPr>
            <w:r/>
            <w:r>
              <w:rPr>
                <w:sz w:val="15"/>
              </w:rPr>
              <w:t>Yes</w:t>
            </w:r>
          </w:p>
        </w:tc>
      </w:tr>
      <w:tr>
        <w:trPr>
          <w:cantSplit/>
        </w:trPr>
        <w:tc>
          <w:tcPr>
            <w:tcW w:type="dxa" w:w="2016"/>
          </w:tcPr>
          <w:p>
            <w:pPr>
              <w:spacing w:after="0"/>
            </w:pPr>
            <w:r/>
            <w:r>
              <w:rPr>
                <w:sz w:val="15"/>
              </w:rPr>
              <w:t>contracts</w:t>
            </w:r>
          </w:p>
        </w:tc>
        <w:tc>
          <w:tcPr>
            <w:tcW w:type="dxa" w:w="2736"/>
          </w:tcPr>
          <w:p>
            <w:pPr>
              <w:spacing w:after="0"/>
            </w:pPr>
            <w:r/>
            <w:r>
              <w:rPr>
                <w:sz w:val="15"/>
              </w:rPr>
              <w:t>Vitest</w:t>
            </w:r>
          </w:p>
        </w:tc>
        <w:tc>
          <w:tcPr>
            <w:tcW w:type="dxa" w:w="1152"/>
          </w:tcPr>
          <w:p>
            <w:pPr>
              <w:spacing w:after="0"/>
            </w:pPr>
            <w:r/>
            <w:r>
              <w:rPr>
                <w:sz w:val="15"/>
              </w:rPr>
              <w:t>1</w:t>
            </w:r>
          </w:p>
        </w:tc>
        <w:tc>
          <w:tcPr>
            <w:tcW w:type="dxa" w:w="1872"/>
          </w:tcPr>
          <w:p>
            <w:pPr>
              <w:spacing w:after="0"/>
            </w:pPr>
            <w:r/>
            <w:r>
              <w:rPr>
                <w:sz w:val="15"/>
              </w:rPr>
              <w:t>4</w:t>
            </w:r>
          </w:p>
        </w:tc>
        <w:tc>
          <w:tcPr>
            <w:tcW w:type="dxa" w:w="1728"/>
          </w:tcPr>
          <w:p>
            <w:pPr>
              <w:spacing w:after="0"/>
            </w:pPr>
            <w:r/>
            <w:r>
              <w:rPr>
                <w:sz w:val="15"/>
              </w:rPr>
              <w:t>Yes</w:t>
            </w:r>
          </w:p>
        </w:tc>
      </w:tr>
      <w:tr>
        <w:trPr>
          <w:cantSplit/>
        </w:trPr>
        <w:tc>
          <w:tcPr>
            <w:tcW w:type="dxa" w:w="2016"/>
          </w:tcPr>
          <w:p>
            <w:pPr>
              <w:spacing w:after="0"/>
            </w:pPr>
            <w:r/>
            <w:r>
              <w:rPr>
                <w:sz w:val="15"/>
              </w:rPr>
              <w:t>permissions</w:t>
            </w:r>
          </w:p>
        </w:tc>
        <w:tc>
          <w:tcPr>
            <w:tcW w:type="dxa" w:w="2736"/>
          </w:tcPr>
          <w:p>
            <w:pPr>
              <w:spacing w:after="0"/>
            </w:pPr>
            <w:r/>
            <w:r>
              <w:rPr>
                <w:sz w:val="15"/>
              </w:rPr>
              <w:t>Vitest</w:t>
            </w:r>
          </w:p>
        </w:tc>
        <w:tc>
          <w:tcPr>
            <w:tcW w:type="dxa" w:w="1152"/>
          </w:tcPr>
          <w:p>
            <w:pPr>
              <w:spacing w:after="0"/>
            </w:pPr>
            <w:r/>
            <w:r>
              <w:rPr>
                <w:sz w:val="15"/>
              </w:rPr>
              <w:t>1</w:t>
            </w:r>
          </w:p>
        </w:tc>
        <w:tc>
          <w:tcPr>
            <w:tcW w:type="dxa" w:w="1872"/>
          </w:tcPr>
          <w:p>
            <w:pPr>
              <w:spacing w:after="0"/>
            </w:pPr>
            <w:r/>
            <w:r>
              <w:rPr>
                <w:sz w:val="15"/>
              </w:rPr>
              <w:t>5</w:t>
            </w:r>
          </w:p>
        </w:tc>
        <w:tc>
          <w:tcPr>
            <w:tcW w:type="dxa" w:w="1728"/>
          </w:tcPr>
          <w:p>
            <w:pPr>
              <w:spacing w:after="0"/>
            </w:pPr>
            <w:r/>
            <w:r>
              <w:rPr>
                <w:sz w:val="15"/>
              </w:rPr>
              <w:t>Yes</w:t>
            </w:r>
          </w:p>
        </w:tc>
      </w:tr>
      <w:tr>
        <w:trPr>
          <w:cantSplit/>
        </w:trPr>
        <w:tc>
          <w:tcPr>
            <w:tcW w:type="dxa" w:w="2016"/>
          </w:tcPr>
          <w:p>
            <w:pPr>
              <w:spacing w:after="0"/>
            </w:pPr>
            <w:r/>
            <w:r>
              <w:rPr>
                <w:sz w:val="15"/>
              </w:rPr>
              <w:t>ui</w:t>
            </w:r>
          </w:p>
        </w:tc>
        <w:tc>
          <w:tcPr>
            <w:tcW w:type="dxa" w:w="2736"/>
          </w:tcPr>
          <w:p>
            <w:pPr>
              <w:spacing w:after="0"/>
            </w:pPr>
            <w:r/>
            <w:r>
              <w:rPr>
                <w:sz w:val="15"/>
              </w:rPr>
              <w:t>Vitest</w:t>
            </w:r>
          </w:p>
        </w:tc>
        <w:tc>
          <w:tcPr>
            <w:tcW w:type="dxa" w:w="1152"/>
          </w:tcPr>
          <w:p>
            <w:pPr>
              <w:spacing w:after="0"/>
            </w:pPr>
            <w:r/>
            <w:r>
              <w:rPr>
                <w:sz w:val="15"/>
              </w:rPr>
              <w:t>1</w:t>
            </w:r>
          </w:p>
        </w:tc>
        <w:tc>
          <w:tcPr>
            <w:tcW w:type="dxa" w:w="1872"/>
          </w:tcPr>
          <w:p>
            <w:pPr>
              <w:spacing w:after="0"/>
            </w:pPr>
            <w:r/>
            <w:r>
              <w:rPr>
                <w:sz w:val="15"/>
              </w:rPr>
              <w:t>10</w:t>
            </w:r>
          </w:p>
        </w:tc>
        <w:tc>
          <w:tcPr>
            <w:tcW w:type="dxa" w:w="1728"/>
          </w:tcPr>
          <w:p>
            <w:pPr>
              <w:spacing w:after="0"/>
            </w:pPr>
            <w:r/>
            <w:r>
              <w:rPr>
                <w:sz w:val="15"/>
              </w:rPr>
              <w:t>Yes</w:t>
            </w:r>
          </w:p>
        </w:tc>
      </w:tr>
      <w:tr>
        <w:trPr>
          <w:cantSplit/>
        </w:trPr>
        <w:tc>
          <w:tcPr>
            <w:tcW w:type="dxa" w:w="2016"/>
          </w:tcPr>
          <w:p>
            <w:pPr>
              <w:spacing w:after="0"/>
            </w:pPr>
            <w:r/>
            <w:r>
              <w:rPr>
                <w:sz w:val="15"/>
              </w:rPr>
              <w:t>utils</w:t>
            </w:r>
          </w:p>
        </w:tc>
        <w:tc>
          <w:tcPr>
            <w:tcW w:type="dxa" w:w="2736"/>
          </w:tcPr>
          <w:p>
            <w:pPr>
              <w:spacing w:after="0"/>
            </w:pPr>
            <w:r/>
            <w:r>
              <w:rPr>
                <w:sz w:val="15"/>
              </w:rPr>
              <w:t>Vitest</w:t>
            </w:r>
          </w:p>
        </w:tc>
        <w:tc>
          <w:tcPr>
            <w:tcW w:type="dxa" w:w="1152"/>
          </w:tcPr>
          <w:p>
            <w:pPr>
              <w:spacing w:after="0"/>
            </w:pPr>
            <w:r/>
            <w:r>
              <w:rPr>
                <w:sz w:val="15"/>
              </w:rPr>
              <w:t>1</w:t>
            </w:r>
          </w:p>
        </w:tc>
        <w:tc>
          <w:tcPr>
            <w:tcW w:type="dxa" w:w="1872"/>
          </w:tcPr>
          <w:p>
            <w:pPr>
              <w:spacing w:after="0"/>
            </w:pPr>
            <w:r/>
            <w:r>
              <w:rPr>
                <w:sz w:val="15"/>
              </w:rPr>
              <w:t>6</w:t>
            </w:r>
          </w:p>
        </w:tc>
        <w:tc>
          <w:tcPr>
            <w:tcW w:type="dxa" w:w="1728"/>
          </w:tcPr>
          <w:p>
            <w:pPr>
              <w:spacing w:after="0"/>
            </w:pPr>
            <w:r/>
            <w:r>
              <w:rPr>
                <w:sz w:val="15"/>
              </w:rPr>
              <w:t>Yes</w:t>
            </w:r>
          </w:p>
        </w:tc>
      </w:tr>
      <w:tr>
        <w:trPr>
          <w:cantSplit/>
        </w:trPr>
        <w:tc>
          <w:tcPr>
            <w:tcW w:type="dxa" w:w="2016"/>
          </w:tcPr>
          <w:p>
            <w:pPr>
              <w:spacing w:after="0"/>
            </w:pPr>
            <w:r/>
            <w:r>
              <w:rPr>
                <w:sz w:val="15"/>
              </w:rPr>
              <w:t>Drift guard</w:t>
            </w:r>
          </w:p>
        </w:tc>
        <w:tc>
          <w:tcPr>
            <w:tcW w:type="dxa" w:w="2736"/>
          </w:tcPr>
          <w:p>
            <w:pPr>
              <w:spacing w:after="0"/>
            </w:pPr>
            <w:r/>
            <w:r>
              <w:rPr>
                <w:sz w:val="15"/>
              </w:rPr>
              <w:t>Python</w:t>
            </w:r>
          </w:p>
        </w:tc>
        <w:tc>
          <w:tcPr>
            <w:tcW w:type="dxa" w:w="1152"/>
          </w:tcPr>
          <w:p>
            <w:pPr>
              <w:spacing w:after="0"/>
            </w:pPr>
            <w:r/>
            <w:r>
              <w:rPr>
                <w:sz w:val="15"/>
              </w:rPr>
              <w:t>1 script</w:t>
            </w:r>
          </w:p>
        </w:tc>
        <w:tc>
          <w:tcPr>
            <w:tcW w:type="dxa" w:w="1872"/>
          </w:tcPr>
          <w:p>
            <w:pPr>
              <w:spacing w:after="0"/>
            </w:pPr>
            <w:r/>
            <w:r>
              <w:rPr>
                <w:sz w:val="15"/>
              </w:rPr>
              <w:t>2 checks</w:t>
            </w:r>
          </w:p>
        </w:tc>
        <w:tc>
          <w:tcPr>
            <w:tcW w:type="dxa" w:w="1728"/>
          </w:tcPr>
          <w:p>
            <w:pPr>
              <w:spacing w:after="0"/>
            </w:pPr>
            <w:r/>
            <w:r>
              <w:rPr>
                <w:sz w:val="15"/>
              </w:rPr>
              <w:t>Yes — both pass</w:t>
            </w:r>
          </w:p>
        </w:tc>
      </w:tr>
    </w:tbl>
    <w:p>
      <w:pPr>
        <w:spacing w:after="200"/>
      </w:pPr>
      <w:r>
        <w:rPr>
          <w:i/>
          <w:color w:val="555F6D"/>
          <w:sz w:val="17"/>
        </w:rPr>
        <w:t>Table 80. Test inventory and execution status</w:t>
      </w:r>
    </w:p>
    <w:p>
      <w:bookmarkStart w:id="1296" w:name="_Toc1296"/>
      <w:pPr>
        <w:pStyle w:val="Heading2"/>
      </w:pPr>
      <w:r>
        <w:t>26.2 What the suites actually cover</w:t>
      </w:r>
      <w:bookmarkEnd w:id="1296"/>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016"/>
            <w:shd w:val="clear" w:color="auto" w:fill="1F3A5F"/>
          </w:tcPr>
          <w:p>
            <w:pPr>
              <w:spacing w:after="0"/>
            </w:pPr>
            <w:r/>
            <w:r>
              <w:rPr>
                <w:b/>
                <w:color w:val="FFFFFF"/>
                <w:sz w:val="15"/>
              </w:rPr>
              <w:t>Workflow</w:t>
            </w:r>
          </w:p>
        </w:tc>
        <w:tc>
          <w:tcPr>
            <w:tcW w:type="dxa" w:w="1152"/>
            <w:shd w:val="clear" w:color="auto" w:fill="1F3A5F"/>
          </w:tcPr>
          <w:p>
            <w:pPr>
              <w:spacing w:after="0"/>
            </w:pPr>
            <w:r/>
            <w:r>
              <w:rPr>
                <w:b/>
                <w:color w:val="FFFFFF"/>
                <w:sz w:val="15"/>
              </w:rPr>
              <w:t>Coverage</w:t>
            </w:r>
          </w:p>
        </w:tc>
        <w:tc>
          <w:tcPr>
            <w:tcW w:type="dxa" w:w="6192"/>
            <w:shd w:val="clear" w:color="auto" w:fill="1F3A5F"/>
          </w:tcPr>
          <w:p>
            <w:pPr>
              <w:spacing w:after="0"/>
            </w:pPr>
            <w:r/>
            <w:r>
              <w:rPr>
                <w:b/>
                <w:color w:val="FFFFFF"/>
                <w:sz w:val="15"/>
              </w:rPr>
              <w:t>Representative tests</w:t>
            </w:r>
          </w:p>
        </w:tc>
      </w:tr>
      <w:tr>
        <w:trPr>
          <w:cantSplit/>
        </w:trPr>
        <w:tc>
          <w:tcPr>
            <w:tcW w:type="dxa" w:w="2016"/>
          </w:tcPr>
          <w:p>
            <w:pPr>
              <w:spacing w:after="0"/>
            </w:pPr>
            <w:r/>
            <w:r>
              <w:rPr>
                <w:sz w:val="15"/>
              </w:rPr>
              <w:t>RBAC / permissions</w:t>
            </w:r>
          </w:p>
        </w:tc>
        <w:tc>
          <w:tcPr>
            <w:tcW w:type="dxa" w:w="1152"/>
          </w:tcPr>
          <w:p>
            <w:pPr>
              <w:spacing w:after="0"/>
            </w:pPr>
            <w:r/>
            <w:r>
              <w:rPr>
                <w:sz w:val="15"/>
              </w:rPr>
              <w:t>Strong</w:t>
            </w:r>
          </w:p>
        </w:tc>
        <w:tc>
          <w:tcPr>
            <w:tcW w:type="dxa" w:w="6192"/>
          </w:tcPr>
          <w:p>
            <w:pPr>
              <w:spacing w:after="0"/>
            </w:pPr>
            <w:r/>
            <w:r>
              <w:rPr>
                <w:sz w:val="15"/>
              </w:rPr>
              <w:t>catalog_test, matrix_test, chain_test, permissions_scope_test, rbac_visit_schedule_test, plus a route→gate table that fails if a route loses its permission</w:t>
            </w:r>
          </w:p>
        </w:tc>
      </w:tr>
      <w:tr>
        <w:trPr>
          <w:cantSplit/>
        </w:trPr>
        <w:tc>
          <w:tcPr>
            <w:tcW w:type="dxa" w:w="2016"/>
          </w:tcPr>
          <w:p>
            <w:pPr>
              <w:spacing w:after="0"/>
            </w:pPr>
            <w:r/>
            <w:r>
              <w:rPr>
                <w:sz w:val="15"/>
              </w:rPr>
              <w:t>Route ↔ OpenAPI contract</w:t>
            </w:r>
          </w:p>
        </w:tc>
        <w:tc>
          <w:tcPr>
            <w:tcW w:type="dxa" w:w="1152"/>
          </w:tcPr>
          <w:p>
            <w:pPr>
              <w:spacing w:after="0"/>
            </w:pPr>
            <w:r/>
            <w:r>
              <w:rPr>
                <w:sz w:val="15"/>
              </w:rPr>
              <w:t>Strong</w:t>
            </w:r>
          </w:p>
        </w:tc>
        <w:tc>
          <w:tcPr>
            <w:tcW w:type="dxa" w:w="6192"/>
          </w:tcPr>
          <w:p>
            <w:pPr>
              <w:spacing w:after="0"/>
            </w:pPr>
            <w:r/>
            <w:r>
              <w:rPr>
                <w:sz w:val="15"/>
              </w:rPr>
              <w:t>TestMountedRoutesMatchOpenAPI (373 vs 373), TestMountedRouteGates, TestGateTableIsNotVacuous</w:t>
            </w:r>
          </w:p>
        </w:tc>
      </w:tr>
      <w:tr>
        <w:trPr>
          <w:cantSplit/>
        </w:trPr>
        <w:tc>
          <w:tcPr>
            <w:tcW w:type="dxa" w:w="2016"/>
          </w:tcPr>
          <w:p>
            <w:pPr>
              <w:spacing w:after="0"/>
            </w:pPr>
            <w:r/>
            <w:r>
              <w:rPr>
                <w:sz w:val="15"/>
              </w:rPr>
              <w:t>Pricing snapshots</w:t>
            </w:r>
          </w:p>
        </w:tc>
        <w:tc>
          <w:tcPr>
            <w:tcW w:type="dxa" w:w="1152"/>
          </w:tcPr>
          <w:p>
            <w:pPr>
              <w:spacing w:after="0"/>
            </w:pPr>
            <w:r/>
            <w:r>
              <w:rPr>
                <w:sz w:val="15"/>
              </w:rPr>
              <w:t>Strong</w:t>
            </w:r>
          </w:p>
        </w:tc>
        <w:tc>
          <w:tcPr>
            <w:tcW w:type="dxa" w:w="6192"/>
          </w:tcPr>
          <w:p>
            <w:pPr>
              <w:spacing w:after="0"/>
            </w:pPr>
            <w:r/>
            <w:r>
              <w:rPr>
                <w:sz w:val="15"/>
              </w:rPr>
              <w:t>catalog cost_view_test, pricing service_test, integration/pricing_test</w:t>
            </w:r>
          </w:p>
        </w:tc>
      </w:tr>
      <w:tr>
        <w:trPr>
          <w:cantSplit/>
        </w:trPr>
        <w:tc>
          <w:tcPr>
            <w:tcW w:type="dxa" w:w="2016"/>
          </w:tcPr>
          <w:p>
            <w:pPr>
              <w:spacing w:after="0"/>
            </w:pPr>
            <w:r/>
            <w:r>
              <w:rPr>
                <w:sz w:val="15"/>
              </w:rPr>
              <w:t>POS checkout</w:t>
            </w:r>
          </w:p>
        </w:tc>
        <w:tc>
          <w:tcPr>
            <w:tcW w:type="dxa" w:w="1152"/>
          </w:tcPr>
          <w:p>
            <w:pPr>
              <w:spacing w:after="0"/>
            </w:pPr>
            <w:r/>
            <w:r>
              <w:rPr>
                <w:sz w:val="15"/>
              </w:rPr>
              <w:t>Strong</w:t>
            </w:r>
          </w:p>
        </w:tc>
        <w:tc>
          <w:tcPr>
            <w:tcW w:type="dxa" w:w="6192"/>
          </w:tcPr>
          <w:p>
            <w:pPr>
              <w:spacing w:after="0"/>
            </w:pPr>
            <w:r/>
            <w:r>
              <w:rPr>
                <w:sz w:val="15"/>
              </w:rPr>
              <w:t>integration/pos_test, cart_test, idempotency_test, sales/service_test</w:t>
            </w:r>
          </w:p>
        </w:tc>
      </w:tr>
      <w:tr>
        <w:trPr>
          <w:cantSplit/>
        </w:trPr>
        <w:tc>
          <w:tcPr>
            <w:tcW w:type="dxa" w:w="2016"/>
          </w:tcPr>
          <w:p>
            <w:pPr>
              <w:spacing w:after="0"/>
            </w:pPr>
            <w:r/>
            <w:r>
              <w:rPr>
                <w:sz w:val="15"/>
              </w:rPr>
              <w:t>Idempotency</w:t>
            </w:r>
          </w:p>
        </w:tc>
        <w:tc>
          <w:tcPr>
            <w:tcW w:type="dxa" w:w="1152"/>
          </w:tcPr>
          <w:p>
            <w:pPr>
              <w:spacing w:after="0"/>
            </w:pPr>
            <w:r/>
            <w:r>
              <w:rPr>
                <w:sz w:val="15"/>
              </w:rPr>
              <w:t>Strong</w:t>
            </w:r>
          </w:p>
        </w:tc>
        <w:tc>
          <w:tcPr>
            <w:tcW w:type="dxa" w:w="6192"/>
          </w:tcPr>
          <w:p>
            <w:pPr>
              <w:spacing w:after="0"/>
            </w:pPr>
            <w:r/>
            <w:r>
              <w:rPr>
                <w:sz w:val="15"/>
              </w:rPr>
              <w:t>integration/idempotency_test (replay + conflict), pkg/redis/idempotency_test</w:t>
            </w:r>
          </w:p>
        </w:tc>
      </w:tr>
      <w:tr>
        <w:trPr>
          <w:cantSplit/>
        </w:trPr>
        <w:tc>
          <w:tcPr>
            <w:tcW w:type="dxa" w:w="2016"/>
          </w:tcPr>
          <w:p>
            <w:pPr>
              <w:spacing w:after="0"/>
            </w:pPr>
            <w:r/>
            <w:r>
              <w:rPr>
                <w:sz w:val="15"/>
              </w:rPr>
              <w:t>Document numbering</w:t>
            </w:r>
          </w:p>
        </w:tc>
        <w:tc>
          <w:tcPr>
            <w:tcW w:type="dxa" w:w="1152"/>
          </w:tcPr>
          <w:p>
            <w:pPr>
              <w:spacing w:after="0"/>
            </w:pPr>
            <w:r/>
            <w:r>
              <w:rPr>
                <w:sz w:val="15"/>
              </w:rPr>
              <w:t>Strong</w:t>
            </w:r>
          </w:p>
        </w:tc>
        <w:tc>
          <w:tcPr>
            <w:tcW w:type="dxa" w:w="6192"/>
          </w:tcPr>
          <w:p>
            <w:pPr>
              <w:spacing w:after="0"/>
            </w:pPr>
            <w:r/>
            <w:r>
              <w:rPr>
                <w:sz w:val="15"/>
              </w:rPr>
              <w:t>TestConcurrentSalesOrderNumbers, TestMonthlyDocumentNumbers, sequence-anchor migrations</w:t>
            </w:r>
          </w:p>
        </w:tc>
      </w:tr>
      <w:tr>
        <w:trPr>
          <w:cantSplit/>
        </w:trPr>
        <w:tc>
          <w:tcPr>
            <w:tcW w:type="dxa" w:w="2016"/>
          </w:tcPr>
          <w:p>
            <w:pPr>
              <w:spacing w:after="0"/>
            </w:pPr>
            <w:r/>
            <w:r>
              <w:rPr>
                <w:sz w:val="15"/>
              </w:rPr>
              <w:t>Finance / cashflow</w:t>
            </w:r>
          </w:p>
        </w:tc>
        <w:tc>
          <w:tcPr>
            <w:tcW w:type="dxa" w:w="1152"/>
          </w:tcPr>
          <w:p>
            <w:pPr>
              <w:spacing w:after="0"/>
            </w:pPr>
            <w:r/>
            <w:r>
              <w:rPr>
                <w:sz w:val="15"/>
              </w:rPr>
              <w:t>Strong</w:t>
            </w:r>
          </w:p>
        </w:tc>
        <w:tc>
          <w:tcPr>
            <w:tcW w:type="dxa" w:w="6192"/>
          </w:tcPr>
          <w:p>
            <w:pPr>
              <w:spacing w:after="0"/>
            </w:pPr>
            <w:r/>
            <w:r>
              <w:rPr>
                <w:sz w:val="15"/>
              </w:rPr>
              <w:t>finance service_test, cashflow_scope_test, handler_contract_test, midtrans_test</w:t>
            </w:r>
          </w:p>
        </w:tc>
      </w:tr>
      <w:tr>
        <w:trPr>
          <w:cantSplit/>
        </w:trPr>
        <w:tc>
          <w:tcPr>
            <w:tcW w:type="dxa" w:w="2016"/>
          </w:tcPr>
          <w:p>
            <w:pPr>
              <w:spacing w:after="0"/>
            </w:pPr>
            <w:r/>
            <w:r>
              <w:rPr>
                <w:sz w:val="15"/>
              </w:rPr>
              <w:t>Returns</w:t>
            </w:r>
          </w:p>
        </w:tc>
        <w:tc>
          <w:tcPr>
            <w:tcW w:type="dxa" w:w="1152"/>
          </w:tcPr>
          <w:p>
            <w:pPr>
              <w:spacing w:after="0"/>
            </w:pPr>
            <w:r/>
            <w:r>
              <w:rPr>
                <w:sz w:val="15"/>
              </w:rPr>
              <w:t>Good</w:t>
            </w:r>
          </w:p>
        </w:tc>
        <w:tc>
          <w:tcPr>
            <w:tcW w:type="dxa" w:w="6192"/>
          </w:tcPr>
          <w:p>
            <w:pPr>
              <w:spacing w:after="0"/>
            </w:pPr>
            <w:r/>
            <w:r>
              <w:rPr>
                <w:sz w:val="15"/>
              </w:rPr>
              <w:t>sales service_test return paths; no dedicated end-to-end return test</w:t>
            </w:r>
          </w:p>
        </w:tc>
      </w:tr>
      <w:tr>
        <w:trPr>
          <w:cantSplit/>
        </w:trPr>
        <w:tc>
          <w:tcPr>
            <w:tcW w:type="dxa" w:w="2016"/>
          </w:tcPr>
          <w:p>
            <w:pPr>
              <w:spacing w:after="0"/>
            </w:pPr>
            <w:r/>
            <w:r>
              <w:rPr>
                <w:sz w:val="15"/>
              </w:rPr>
              <w:t>Accounting</w:t>
            </w:r>
          </w:p>
        </w:tc>
        <w:tc>
          <w:tcPr>
            <w:tcW w:type="dxa" w:w="1152"/>
          </w:tcPr>
          <w:p>
            <w:pPr>
              <w:spacing w:after="0"/>
            </w:pPr>
            <w:r/>
            <w:r>
              <w:rPr>
                <w:sz w:val="15"/>
              </w:rPr>
              <w:t>Good</w:t>
            </w:r>
          </w:p>
        </w:tc>
        <w:tc>
          <w:tcPr>
            <w:tcW w:type="dxa" w:w="6192"/>
          </w:tcPr>
          <w:p>
            <w:pPr>
              <w:spacing w:after="0"/>
            </w:pPr>
            <w:r/>
            <w:r>
              <w:rPr>
                <w:sz w:val="15"/>
              </w:rPr>
              <w:t>accounting service_test; journal posting/reversal rules</w:t>
            </w:r>
          </w:p>
        </w:tc>
      </w:tr>
      <w:tr>
        <w:trPr>
          <w:cantSplit/>
        </w:trPr>
        <w:tc>
          <w:tcPr>
            <w:tcW w:type="dxa" w:w="2016"/>
          </w:tcPr>
          <w:p>
            <w:pPr>
              <w:spacing w:after="0"/>
            </w:pPr>
            <w:r/>
            <w:r>
              <w:rPr>
                <w:sz w:val="15"/>
              </w:rPr>
              <w:t>Distribution</w:t>
            </w:r>
          </w:p>
        </w:tc>
        <w:tc>
          <w:tcPr>
            <w:tcW w:type="dxa" w:w="1152"/>
          </w:tcPr>
          <w:p>
            <w:pPr>
              <w:spacing w:after="0"/>
            </w:pPr>
            <w:r/>
            <w:r>
              <w:rPr>
                <w:sz w:val="15"/>
              </w:rPr>
              <w:t>Good</w:t>
            </w:r>
          </w:p>
        </w:tc>
        <w:tc>
          <w:tcPr>
            <w:tcW w:type="dxa" w:w="6192"/>
          </w:tcPr>
          <w:p>
            <w:pPr>
              <w:spacing w:after="0"/>
            </w:pPr>
            <w:r/>
            <w:r>
              <w:rPr>
                <w:sz w:val="15"/>
              </w:rPr>
              <w:t>distribution service_flow_test, dispatch/deliver guards, tracking</w:t>
            </w:r>
          </w:p>
        </w:tc>
      </w:tr>
      <w:tr>
        <w:trPr>
          <w:cantSplit/>
        </w:trPr>
        <w:tc>
          <w:tcPr>
            <w:tcW w:type="dxa" w:w="2016"/>
          </w:tcPr>
          <w:p>
            <w:pPr>
              <w:spacing w:after="0"/>
            </w:pPr>
            <w:r/>
            <w:r>
              <w:rPr>
                <w:sz w:val="15"/>
              </w:rPr>
              <w:t>HR payroll</w:t>
            </w:r>
          </w:p>
        </w:tc>
        <w:tc>
          <w:tcPr>
            <w:tcW w:type="dxa" w:w="1152"/>
          </w:tcPr>
          <w:p>
            <w:pPr>
              <w:spacing w:after="0"/>
            </w:pPr>
            <w:r/>
            <w:r>
              <w:rPr>
                <w:sz w:val="15"/>
              </w:rPr>
              <w:t>Good</w:t>
            </w:r>
          </w:p>
        </w:tc>
        <w:tc>
          <w:tcPr>
            <w:tcW w:type="dxa" w:w="6192"/>
          </w:tcPr>
          <w:p>
            <w:pPr>
              <w:spacing w:after="0"/>
            </w:pPr>
            <w:r/>
            <w:r>
              <w:rPr>
                <w:sz w:val="15"/>
              </w:rPr>
              <w:t>payroll_allocator_test, payroll_counter_test, employee_number_test</w:t>
            </w:r>
          </w:p>
        </w:tc>
      </w:tr>
      <w:tr>
        <w:trPr>
          <w:cantSplit/>
        </w:trPr>
        <w:tc>
          <w:tcPr>
            <w:tcW w:type="dxa" w:w="2016"/>
          </w:tcPr>
          <w:p>
            <w:pPr>
              <w:spacing w:after="0"/>
            </w:pPr>
            <w:r/>
            <w:r>
              <w:rPr>
                <w:sz w:val="15"/>
              </w:rPr>
              <w:t>Reports/NextReport</w:t>
            </w:r>
          </w:p>
        </w:tc>
        <w:tc>
          <w:tcPr>
            <w:tcW w:type="dxa" w:w="1152"/>
          </w:tcPr>
          <w:p>
            <w:pPr>
              <w:spacing w:after="0"/>
            </w:pPr>
            <w:r/>
            <w:r>
              <w:rPr>
                <w:sz w:val="15"/>
              </w:rPr>
              <w:t>Moderate</w:t>
            </w:r>
          </w:p>
        </w:tc>
        <w:tc>
          <w:tcPr>
            <w:tcW w:type="dxa" w:w="6192"/>
          </w:tcPr>
          <w:p>
            <w:pPr>
              <w:spacing w:after="0"/>
            </w:pPr>
            <w:r/>
            <w:r>
              <w:rPr>
                <w:sz w:val="15"/>
              </w:rPr>
              <w:t>reportproxy shaper tests, templates service_test; PDF path verified manually</w:t>
            </w:r>
          </w:p>
        </w:tc>
      </w:tr>
      <w:tr>
        <w:trPr>
          <w:cantSplit/>
        </w:trPr>
        <w:tc>
          <w:tcPr>
            <w:tcW w:type="dxa" w:w="2016"/>
          </w:tcPr>
          <w:p>
            <w:pPr>
              <w:spacing w:after="0"/>
            </w:pPr>
            <w:r/>
            <w:r>
              <w:rPr>
                <w:sz w:val="15"/>
              </w:rPr>
              <w:t>B2B storefront</w:t>
            </w:r>
          </w:p>
        </w:tc>
        <w:tc>
          <w:tcPr>
            <w:tcW w:type="dxa" w:w="1152"/>
          </w:tcPr>
          <w:p>
            <w:pPr>
              <w:spacing w:after="0"/>
            </w:pPr>
            <w:r/>
            <w:r>
              <w:rPr>
                <w:sz w:val="15"/>
              </w:rPr>
              <w:t>Moderate</w:t>
            </w:r>
          </w:p>
        </w:tc>
        <w:tc>
          <w:tcPr>
            <w:tcW w:type="dxa" w:w="6192"/>
          </w:tcPr>
          <w:p>
            <w:pPr>
              <w:spacing w:after="0"/>
            </w:pPr>
            <w:r/>
            <w:r>
              <w:rPr>
                <w:sz w:val="15"/>
              </w:rPr>
              <w:t>20 Vitest files over composables and services; no browser E2E</w:t>
            </w:r>
          </w:p>
        </w:tc>
      </w:tr>
      <w:tr>
        <w:trPr>
          <w:cantSplit/>
        </w:trPr>
        <w:tc>
          <w:tcPr>
            <w:tcW w:type="dxa" w:w="2016"/>
          </w:tcPr>
          <w:p>
            <w:pPr>
              <w:spacing w:after="0"/>
            </w:pPr>
            <w:r/>
            <w:r>
              <w:rPr>
                <w:sz w:val="15"/>
              </w:rPr>
              <w:t>ERP pages</w:t>
            </w:r>
          </w:p>
        </w:tc>
        <w:tc>
          <w:tcPr>
            <w:tcW w:type="dxa" w:w="1152"/>
          </w:tcPr>
          <w:p>
            <w:pPr>
              <w:spacing w:after="0"/>
            </w:pPr>
            <w:r/>
            <w:r>
              <w:rPr>
                <w:sz w:val="15"/>
              </w:rPr>
              <w:t>Moderate</w:t>
            </w:r>
          </w:p>
        </w:tc>
        <w:tc>
          <w:tcPr>
            <w:tcW w:type="dxa" w:w="6192"/>
          </w:tcPr>
          <w:p>
            <w:pPr>
              <w:spacing w:after="0"/>
            </w:pPr>
            <w:r/>
            <w:r>
              <w:rPr>
                <w:sz w:val="15"/>
              </w:rPr>
              <w:t>39 files, mostly component/unit; no browser E2E</w:t>
            </w:r>
          </w:p>
        </w:tc>
      </w:tr>
      <w:tr>
        <w:trPr>
          <w:cantSplit/>
        </w:trPr>
        <w:tc>
          <w:tcPr>
            <w:tcW w:type="dxa" w:w="2016"/>
          </w:tcPr>
          <w:p>
            <w:pPr>
              <w:spacing w:after="0"/>
            </w:pPr>
            <w:r/>
            <w:r>
              <w:rPr>
                <w:sz w:val="15"/>
              </w:rPr>
              <w:t>Migrations</w:t>
            </w:r>
          </w:p>
        </w:tc>
        <w:tc>
          <w:tcPr>
            <w:tcW w:type="dxa" w:w="1152"/>
          </w:tcPr>
          <w:p>
            <w:pPr>
              <w:spacing w:after="0"/>
            </w:pPr>
            <w:r/>
            <w:r>
              <w:rPr>
                <w:sz w:val="15"/>
              </w:rPr>
              <w:t>Moderate</w:t>
            </w:r>
          </w:p>
        </w:tc>
        <w:tc>
          <w:tcPr>
            <w:tcW w:type="dxa" w:w="6192"/>
          </w:tcPr>
          <w:p>
            <w:pPr>
              <w:spacing w:after="0"/>
            </w:pPr>
            <w:r/>
            <w:r>
              <w:rPr>
                <w:sz w:val="15"/>
              </w:rPr>
              <w:t>dbmigrate runner_test, integration/migrate_test, phantom_schema_test; no full replay test in CI</w:t>
            </w:r>
          </w:p>
        </w:tc>
      </w:tr>
      <w:tr>
        <w:trPr>
          <w:cantSplit/>
        </w:trPr>
        <w:tc>
          <w:tcPr>
            <w:tcW w:type="dxa" w:w="2016"/>
          </w:tcPr>
          <w:p>
            <w:pPr>
              <w:spacing w:after="0"/>
            </w:pPr>
            <w:r/>
            <w:r>
              <w:rPr>
                <w:sz w:val="15"/>
              </w:rPr>
              <w:t>Backup/restore</w:t>
            </w:r>
          </w:p>
        </w:tc>
        <w:tc>
          <w:tcPr>
            <w:tcW w:type="dxa" w:w="1152"/>
          </w:tcPr>
          <w:p>
            <w:pPr>
              <w:spacing w:after="0"/>
            </w:pPr>
            <w:r/>
            <w:r>
              <w:rPr>
                <w:sz w:val="15"/>
              </w:rPr>
              <w:t>None</w:t>
            </w:r>
          </w:p>
        </w:tc>
        <w:tc>
          <w:tcPr>
            <w:tcW w:type="dxa" w:w="6192"/>
          </w:tcPr>
          <w:p>
            <w:pPr>
              <w:spacing w:after="0"/>
            </w:pPr>
            <w:r/>
            <w:r>
              <w:rPr>
                <w:sz w:val="15"/>
              </w:rPr>
              <w:t>No test or drill exists</w:t>
            </w:r>
          </w:p>
        </w:tc>
      </w:tr>
    </w:tbl>
    <w:p>
      <w:pPr>
        <w:spacing w:after="200"/>
      </w:pPr>
      <w:r>
        <w:rPr>
          <w:i/>
          <w:color w:val="555F6D"/>
          <w:sz w:val="17"/>
        </w:rPr>
        <w:t>Table 81. Workflow coverage assessment (based on test names and contents, not line coverage)</w:t>
      </w:r>
    </w:p>
    <w:p>
      <w:pPr>
        <w:spacing w:after="160"/>
        <w:ind w:left="216"/>
        <w:pBdr>
          <w:left w:val="single" w:sz="18" w:space="6" w:color="1F4E79"/>
        </w:pBdr>
      </w:pPr>
      <w:r>
        <w:rPr>
          <w:b/>
          <w:color w:val="1F4E79"/>
          <w:sz w:val="19"/>
        </w:rPr>
        <w:t xml:space="preserve">No coverage measurement: </w:t>
      </w:r>
      <w:r>
        <w:rPr>
          <w:sz w:val="19"/>
        </w:rPr>
        <w:t>Neither the Go nor the JS suites emit a coverage report in CI, so this table is a qualitative mapping, not a percentage. Treat 'Strong' as 'the failure mode has a named test', not as proof of correctness.</w:t>
      </w:r>
    </w:p>
    <w:p>
      <w:bookmarkStart w:id="1297" w:name="_Toc1297"/>
      <w:pPr>
        <w:pStyle w:val="Heading2"/>
      </w:pPr>
      <w:r>
        <w:t>26.3 CI order</w:t>
      </w:r>
      <w:bookmarkEnd w:id="1297"/>
    </w:p>
    <w:p>
      <w:pPr>
        <w:keepNext/>
        <w:spacing w:before="80" w:after="40"/>
        <w:jc w:val="center"/>
      </w:pPr>
      <w:r>
        <w:drawing>
          <wp:inline xmlns:a="http://schemas.openxmlformats.org/drawingml/2006/main" xmlns:pic="http://schemas.openxmlformats.org/drawingml/2006/picture">
            <wp:extent cx="6035040" cy="3341903"/>
            <wp:docPr id="28" name="Picture 28"/>
            <wp:cNvGraphicFramePr>
              <a:graphicFrameLocks noChangeAspect="1"/>
            </wp:cNvGraphicFramePr>
            <a:graphic>
              <a:graphicData uri="http://schemas.openxmlformats.org/drawingml/2006/picture">
                <pic:pic>
                  <pic:nvPicPr>
                    <pic:cNvPr id="0" name="fig-ci-cd.png"/>
                    <pic:cNvPicPr/>
                  </pic:nvPicPr>
                  <pic:blipFill>
                    <a:blip r:embed="rId20"/>
                    <a:stretch>
                      <a:fillRect/>
                    </a:stretch>
                  </pic:blipFill>
                  <pic:spPr>
                    <a:xfrm>
                      <a:off x="0" y="0"/>
                      <a:ext cx="6035040" cy="3341903"/>
                    </a:xfrm>
                    <a:prstGeom prst="rect"/>
                  </pic:spPr>
                </pic:pic>
              </a:graphicData>
            </a:graphic>
          </wp:inline>
        </w:drawing>
      </w:r>
    </w:p>
    <w:p>
      <w:pPr>
        <w:spacing w:after="40"/>
        <w:jc w:val="center"/>
      </w:pPr>
      <w:r>
        <w:rPr>
          <w:i/>
          <w:color w:val="555F6D"/>
          <w:sz w:val="17"/>
        </w:rPr>
        <w:t>Figure 28. CI and image pipeline as configured. The dashed self-loop marks the job that cannot currently satisfy its own toolchain requirement.</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880"/>
            <w:shd w:val="clear" w:color="auto" w:fill="1F3A5F"/>
          </w:tcPr>
          <w:p>
            <w:pPr>
              <w:spacing w:after="0"/>
            </w:pPr>
            <w:r/>
            <w:r>
              <w:rPr>
                <w:b/>
                <w:color w:val="FFFFFF"/>
                <w:sz w:val="15"/>
              </w:rPr>
              <w:t>Job</w:t>
            </w:r>
          </w:p>
        </w:tc>
        <w:tc>
          <w:tcPr>
            <w:tcW w:type="dxa" w:w="4608"/>
            <w:shd w:val="clear" w:color="auto" w:fill="1F3A5F"/>
          </w:tcPr>
          <w:p>
            <w:pPr>
              <w:spacing w:after="0"/>
            </w:pPr>
            <w:r/>
            <w:r>
              <w:rPr>
                <w:b/>
                <w:color w:val="FFFFFF"/>
                <w:sz w:val="15"/>
              </w:rPr>
              <w:t>Steps</w:t>
            </w:r>
          </w:p>
        </w:tc>
        <w:tc>
          <w:tcPr>
            <w:tcW w:type="dxa" w:w="1872"/>
            <w:shd w:val="clear" w:color="auto" w:fill="1F3A5F"/>
          </w:tcPr>
          <w:p>
            <w:pPr>
              <w:spacing w:after="0"/>
            </w:pPr>
            <w:r/>
            <w:r>
              <w:rPr>
                <w:b/>
                <w:color w:val="FFFFFF"/>
                <w:sz w:val="15"/>
              </w:rPr>
              <w:t>Blocks</w:t>
            </w:r>
          </w:p>
        </w:tc>
      </w:tr>
      <w:tr>
        <w:trPr>
          <w:cantSplit/>
        </w:trPr>
        <w:tc>
          <w:tcPr>
            <w:tcW w:type="dxa" w:w="2880"/>
          </w:tcPr>
          <w:p>
            <w:pPr>
              <w:spacing w:after="0"/>
            </w:pPr>
            <w:r/>
            <w:r>
              <w:rPr>
                <w:sz w:val="15"/>
              </w:rPr>
              <w:t>contracts-drift-check</w:t>
            </w:r>
          </w:p>
        </w:tc>
        <w:tc>
          <w:tcPr>
            <w:tcW w:type="dxa" w:w="4608"/>
          </w:tcPr>
          <w:p>
            <w:pPr>
              <w:spacing w:after="0"/>
            </w:pPr>
            <w:r/>
            <w:r>
              <w:rPr>
                <w:sz w:val="15"/>
              </w:rPr>
              <w:t>python 3.11, pip install pyyaml, python3 scripts/check-drift.py</w:t>
            </w:r>
          </w:p>
        </w:tc>
        <w:tc>
          <w:tcPr>
            <w:tcW w:type="dxa" w:w="1872"/>
          </w:tcPr>
          <w:p>
            <w:pPr>
              <w:spacing w:after="0"/>
            </w:pPr>
            <w:r/>
            <w:r>
              <w:rPr>
                <w:sz w:val="15"/>
              </w:rPr>
              <w:t>Nothing</w:t>
            </w:r>
          </w:p>
        </w:tc>
      </w:tr>
      <w:tr>
        <w:trPr>
          <w:cantSplit/>
        </w:trPr>
        <w:tc>
          <w:tcPr>
            <w:tcW w:type="dxa" w:w="2880"/>
          </w:tcPr>
          <w:p>
            <w:pPr>
              <w:spacing w:after="0"/>
            </w:pPr>
            <w:r/>
            <w:r>
              <w:rPr>
                <w:sz w:val="15"/>
              </w:rPr>
              <w:t>backend-checks</w:t>
            </w:r>
          </w:p>
        </w:tc>
        <w:tc>
          <w:tcPr>
            <w:tcW w:type="dxa" w:w="4608"/>
          </w:tcPr>
          <w:p>
            <w:pPr>
              <w:spacing w:after="0"/>
            </w:pPr>
            <w:r/>
            <w:r>
              <w:rPr>
                <w:sz w:val="15"/>
              </w:rPr>
              <w:t>go 1.24, go vet ./..., go test -v ./..., CGO_ENABLED=0 go build</w:t>
            </w:r>
          </w:p>
        </w:tc>
        <w:tc>
          <w:tcPr>
            <w:tcW w:type="dxa" w:w="1872"/>
          </w:tcPr>
          <w:p>
            <w:pPr>
              <w:spacing w:after="0"/>
            </w:pPr>
            <w:r/>
            <w:r>
              <w:rPr>
                <w:sz w:val="15"/>
              </w:rPr>
              <w:t>Nothing (runs in parallel) — but fails on go.mod 1.26.5</w:t>
            </w:r>
          </w:p>
        </w:tc>
      </w:tr>
      <w:tr>
        <w:trPr>
          <w:cantSplit/>
        </w:trPr>
        <w:tc>
          <w:tcPr>
            <w:tcW w:type="dxa" w:w="2880"/>
          </w:tcPr>
          <w:p>
            <w:pPr>
              <w:spacing w:after="0"/>
            </w:pPr>
            <w:r/>
            <w:r>
              <w:rPr>
                <w:sz w:val="15"/>
              </w:rPr>
              <w:t>frontend-and-packages-checks</w:t>
            </w:r>
          </w:p>
        </w:tc>
        <w:tc>
          <w:tcPr>
            <w:tcW w:type="dxa" w:w="4608"/>
          </w:tcPr>
          <w:p>
            <w:pPr>
              <w:spacing w:after="0"/>
            </w:pPr>
            <w:r/>
            <w:r>
              <w:rPr>
                <w:sz w:val="15"/>
              </w:rPr>
              <w:t>node 22, pnpm 12.11.2, pnpm install, nuxt prepare, turbo test, turbo build</w:t>
            </w:r>
          </w:p>
        </w:tc>
        <w:tc>
          <w:tcPr>
            <w:tcW w:type="dxa" w:w="1872"/>
          </w:tcPr>
          <w:p>
            <w:pPr>
              <w:spacing w:after="0"/>
            </w:pPr>
            <w:r/>
            <w:r>
              <w:rPr>
                <w:sz w:val="15"/>
              </w:rPr>
              <w:t>Needs contracts-drift-check</w:t>
            </w:r>
          </w:p>
        </w:tc>
      </w:tr>
    </w:tbl>
    <w:p>
      <w:pPr>
        <w:spacing w:after="200"/>
      </w:pPr>
      <w:r>
        <w:rPr>
          <w:i/>
          <w:color w:val="555F6D"/>
          <w:sz w:val="17"/>
        </w:rPr>
        <w:t>Table 82. CI jobs</w:t>
      </w:r>
    </w:p>
    <w:p>
      <w:pPr>
        <w:spacing w:after="160"/>
        <w:ind w:left="216"/>
        <w:pBdr>
          <w:left w:val="single" w:sz="18" w:space="6" w:color="9B2C2C"/>
        </w:pBdr>
      </w:pPr>
      <w:r>
        <w:rPr>
          <w:b/>
          <w:color w:val="9B2C2C"/>
          <w:sz w:val="19"/>
        </w:rPr>
        <w:t xml:space="preserve">What CI does not do: </w:t>
      </w:r>
      <w:r>
        <w:rPr>
          <w:sz w:val="19"/>
        </w:rPr>
        <w:t>No lint job (turbo run lint would only run pos and b2b), no typecheck job, no migration replay, no database-backed Go test (no Postgres service is defined), and no coverage upload. The Go job therefore runs with no DATABASE_URL, which means internal/integration silently skips.</w:t>
      </w:r>
    </w:p>
    <w:p>
      <w:bookmarkStart w:id="1298" w:name="_Toc1298"/>
      <w:pPr>
        <w:pStyle w:val="Heading1"/>
        <w:pageBreakBefore/>
      </w:pPr>
      <w:r>
        <w:t>27. CI/CD and release process</w:t>
      </w:r>
      <w:bookmarkEnd w:id="1298"/>
    </w:p>
    <w:p>
      <w:bookmarkStart w:id="1299" w:name="_Toc1299"/>
      <w:pPr>
        <w:pStyle w:val="Heading2"/>
      </w:pPr>
      <w:r>
        <w:t>27.1 Triggers and permissions</w:t>
      </w:r>
      <w:bookmarkEnd w:id="1299"/>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648" w:type="dxa"/>
      </w:tblPr>
      <w:tblGrid>
        <w:gridCol w:w="2412"/>
        <w:gridCol w:w="2412"/>
        <w:gridCol w:w="2412"/>
        <w:gridCol w:w="2412"/>
      </w:tblGrid>
      <w:tr>
        <w:trPr>
          <w:tblHeader w:val="true"/>
        </w:trPr>
        <w:tc>
          <w:tcPr>
            <w:tcW w:type="dxa" w:w="1930"/>
            <w:shd w:val="clear" w:color="auto" w:fill="1F3A5F"/>
          </w:tcPr>
          <w:p>
            <w:pPr>
              <w:spacing w:after="0"/>
            </w:pPr>
            <w:r/>
            <w:r>
              <w:rPr>
                <w:b/>
                <w:color w:val="FFFFFF"/>
                <w:sz w:val="16"/>
              </w:rPr>
              <w:t>Workflow</w:t>
            </w:r>
          </w:p>
        </w:tc>
        <w:tc>
          <w:tcPr>
            <w:tcW w:type="dxa" w:w="3584"/>
            <w:shd w:val="clear" w:color="auto" w:fill="1F3A5F"/>
          </w:tcPr>
          <w:p>
            <w:pPr>
              <w:spacing w:after="0"/>
            </w:pPr>
            <w:r/>
            <w:r>
              <w:rPr>
                <w:b/>
                <w:color w:val="FFFFFF"/>
                <w:sz w:val="16"/>
              </w:rPr>
              <w:t>Triggers</w:t>
            </w:r>
          </w:p>
        </w:tc>
        <w:tc>
          <w:tcPr>
            <w:tcW w:type="dxa" w:w="2205"/>
            <w:shd w:val="clear" w:color="auto" w:fill="1F3A5F"/>
          </w:tcPr>
          <w:p>
            <w:pPr>
              <w:spacing w:after="0"/>
            </w:pPr>
            <w:r/>
            <w:r>
              <w:rPr>
                <w:b/>
                <w:color w:val="FFFFFF"/>
                <w:sz w:val="16"/>
              </w:rPr>
              <w:t>Permissions</w:t>
            </w:r>
          </w:p>
        </w:tc>
        <w:tc>
          <w:tcPr>
            <w:tcW w:type="dxa" w:w="1930"/>
            <w:shd w:val="clear" w:color="auto" w:fill="1F3A5F"/>
          </w:tcPr>
          <w:p>
            <w:pPr>
              <w:spacing w:after="0"/>
            </w:pPr>
            <w:r/>
            <w:r>
              <w:rPr>
                <w:b/>
                <w:color w:val="FFFFFF"/>
                <w:sz w:val="16"/>
              </w:rPr>
              <w:t>Concurrency</w:t>
            </w:r>
          </w:p>
        </w:tc>
      </w:tr>
      <w:tr>
        <w:trPr>
          <w:cantSplit/>
        </w:trPr>
        <w:tc>
          <w:tcPr>
            <w:tcW w:type="dxa" w:w="1930"/>
          </w:tcPr>
          <w:p>
            <w:pPr>
              <w:spacing w:after="0"/>
            </w:pPr>
            <w:r/>
            <w:r>
              <w:rPr>
                <w:sz w:val="16"/>
              </w:rPr>
              <w:t>ci.yml</w:t>
            </w:r>
          </w:p>
        </w:tc>
        <w:tc>
          <w:tcPr>
            <w:tcW w:type="dxa" w:w="3584"/>
          </w:tcPr>
          <w:p>
            <w:pPr>
              <w:spacing w:after="0"/>
            </w:pPr>
            <w:r/>
            <w:r>
              <w:rPr>
                <w:sz w:val="16"/>
              </w:rPr>
              <w:t>push to main, pull_request to main, workflow_dispatch</w:t>
            </w:r>
          </w:p>
        </w:tc>
        <w:tc>
          <w:tcPr>
            <w:tcW w:type="dxa" w:w="2205"/>
          </w:tcPr>
          <w:p>
            <w:pPr>
              <w:spacing w:after="0"/>
            </w:pPr>
            <w:r/>
            <w:r>
              <w:rPr>
                <w:sz w:val="16"/>
              </w:rPr>
              <w:t>default (read)</w:t>
            </w:r>
          </w:p>
        </w:tc>
        <w:tc>
          <w:tcPr>
            <w:tcW w:type="dxa" w:w="1930"/>
          </w:tcPr>
          <w:p>
            <w:pPr>
              <w:spacing w:after="0"/>
            </w:pPr>
            <w:r/>
            <w:r>
              <w:rPr>
                <w:sz w:val="16"/>
              </w:rPr>
              <w:t>none</w:t>
            </w:r>
          </w:p>
        </w:tc>
      </w:tr>
      <w:tr>
        <w:trPr>
          <w:cantSplit/>
        </w:trPr>
        <w:tc>
          <w:tcPr>
            <w:tcW w:type="dxa" w:w="1930"/>
          </w:tcPr>
          <w:p>
            <w:pPr>
              <w:spacing w:after="0"/>
            </w:pPr>
            <w:r/>
            <w:r>
              <w:rPr>
                <w:sz w:val="16"/>
              </w:rPr>
              <w:t>deploy-ghcr.yml</w:t>
            </w:r>
          </w:p>
        </w:tc>
        <w:tc>
          <w:tcPr>
            <w:tcW w:type="dxa" w:w="3584"/>
          </w:tcPr>
          <w:p>
            <w:pPr>
              <w:spacing w:after="0"/>
            </w:pPr>
            <w:r/>
            <w:r>
              <w:rPr>
                <w:sz w:val="16"/>
              </w:rPr>
              <w:t>push to main, tags v*.*.*, workflow_dispatch</w:t>
            </w:r>
          </w:p>
        </w:tc>
        <w:tc>
          <w:tcPr>
            <w:tcW w:type="dxa" w:w="2205"/>
          </w:tcPr>
          <w:p>
            <w:pPr>
              <w:spacing w:after="0"/>
            </w:pPr>
            <w:r/>
            <w:r>
              <w:rPr>
                <w:sz w:val="16"/>
              </w:rPr>
              <w:t>contents: read, packages: write</w:t>
            </w:r>
          </w:p>
        </w:tc>
        <w:tc>
          <w:tcPr>
            <w:tcW w:type="dxa" w:w="1930"/>
          </w:tcPr>
          <w:p>
            <w:pPr>
              <w:spacing w:after="0"/>
            </w:pPr>
            <w:r/>
            <w:r>
              <w:rPr>
                <w:sz w:val="16"/>
              </w:rPr>
              <w:t>group per ref, cancel-in-progress</w:t>
            </w:r>
          </w:p>
        </w:tc>
      </w:tr>
    </w:tbl>
    <w:p>
      <w:pPr>
        <w:spacing w:after="200"/>
      </w:pPr>
      <w:r>
        <w:rPr>
          <w:i/>
          <w:color w:val="555F6D"/>
          <w:sz w:val="17"/>
        </w:rPr>
        <w:t>Table 83. Workflow triggers</w:t>
      </w:r>
    </w:p>
    <w:p>
      <w:bookmarkStart w:id="1300" w:name="_Toc1300"/>
      <w:pPr>
        <w:pStyle w:val="Heading2"/>
      </w:pPr>
      <w:r>
        <w:t>27.2 Image build matrix</w:t>
      </w:r>
      <w:bookmarkEnd w:id="1300"/>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648" w:type="dxa"/>
      </w:tblPr>
      <w:tblGrid>
        <w:gridCol w:w="2412"/>
        <w:gridCol w:w="2412"/>
        <w:gridCol w:w="2412"/>
        <w:gridCol w:w="2412"/>
      </w:tblGrid>
      <w:tr>
        <w:trPr>
          <w:tblHeader w:val="true"/>
        </w:trPr>
        <w:tc>
          <w:tcPr>
            <w:tcW w:type="dxa" w:w="1654"/>
            <w:shd w:val="clear" w:color="auto" w:fill="1F3A5F"/>
          </w:tcPr>
          <w:p>
            <w:pPr>
              <w:spacing w:after="0"/>
            </w:pPr>
            <w:r/>
            <w:r>
              <w:rPr>
                <w:b/>
                <w:color w:val="FFFFFF"/>
                <w:sz w:val="16"/>
              </w:rPr>
              <w:t>Service</w:t>
            </w:r>
          </w:p>
        </w:tc>
        <w:tc>
          <w:tcPr>
            <w:tcW w:type="dxa" w:w="2343"/>
            <w:shd w:val="clear" w:color="auto" w:fill="1F3A5F"/>
          </w:tcPr>
          <w:p>
            <w:pPr>
              <w:spacing w:after="0"/>
            </w:pPr>
            <w:r/>
            <w:r>
              <w:rPr>
                <w:b/>
                <w:color w:val="FFFFFF"/>
                <w:sz w:val="16"/>
              </w:rPr>
              <w:t>Context</w:t>
            </w:r>
          </w:p>
        </w:tc>
        <w:tc>
          <w:tcPr>
            <w:tcW w:type="dxa" w:w="2894"/>
            <w:shd w:val="clear" w:color="auto" w:fill="1F3A5F"/>
          </w:tcPr>
          <w:p>
            <w:pPr>
              <w:spacing w:after="0"/>
            </w:pPr>
            <w:r/>
            <w:r>
              <w:rPr>
                <w:b/>
                <w:color w:val="FFFFFF"/>
                <w:sz w:val="16"/>
              </w:rPr>
              <w:t>Dockerfile</w:t>
            </w:r>
          </w:p>
        </w:tc>
        <w:tc>
          <w:tcPr>
            <w:tcW w:type="dxa" w:w="2757"/>
            <w:shd w:val="clear" w:color="auto" w:fill="1F3A5F"/>
          </w:tcPr>
          <w:p>
            <w:pPr>
              <w:spacing w:after="0"/>
            </w:pPr>
            <w:r/>
            <w:r>
              <w:rPr>
                <w:b/>
                <w:color w:val="FFFFFF"/>
                <w:sz w:val="16"/>
              </w:rPr>
              <w:t>Image</w:t>
            </w:r>
          </w:p>
        </w:tc>
      </w:tr>
      <w:tr>
        <w:trPr>
          <w:cantSplit/>
        </w:trPr>
        <w:tc>
          <w:tcPr>
            <w:tcW w:type="dxa" w:w="1654"/>
          </w:tcPr>
          <w:p>
            <w:pPr>
              <w:spacing w:after="0"/>
            </w:pPr>
            <w:r/>
            <w:r>
              <w:rPr>
                <w:sz w:val="16"/>
              </w:rPr>
              <w:t>backend</w:t>
            </w:r>
          </w:p>
        </w:tc>
        <w:tc>
          <w:tcPr>
            <w:tcW w:type="dxa" w:w="2343"/>
          </w:tcPr>
          <w:p>
            <w:pPr>
              <w:spacing w:after="0"/>
            </w:pPr>
            <w:r/>
            <w:r>
              <w:rPr>
                <w:sz w:val="16"/>
              </w:rPr>
              <w:t>./apps/backend</w:t>
            </w:r>
          </w:p>
        </w:tc>
        <w:tc>
          <w:tcPr>
            <w:tcW w:type="dxa" w:w="2894"/>
          </w:tcPr>
          <w:p>
            <w:pPr>
              <w:spacing w:after="0"/>
            </w:pPr>
            <w:r/>
            <w:r>
              <w:rPr>
                <w:sz w:val="16"/>
              </w:rPr>
              <w:t>./apps/backend/Dockerfile</w:t>
            </w:r>
          </w:p>
        </w:tc>
        <w:tc>
          <w:tcPr>
            <w:tcW w:type="dxa" w:w="2757"/>
          </w:tcPr>
          <w:p>
            <w:pPr>
              <w:spacing w:after="0"/>
            </w:pPr>
            <w:r/>
            <w:r>
              <w:rPr>
                <w:sz w:val="16"/>
              </w:rPr>
              <w:t>ghcr.io/tarulab/km-backend</w:t>
            </w:r>
          </w:p>
        </w:tc>
      </w:tr>
      <w:tr>
        <w:trPr>
          <w:cantSplit/>
        </w:trPr>
        <w:tc>
          <w:tcPr>
            <w:tcW w:type="dxa" w:w="1654"/>
          </w:tcPr>
          <w:p>
            <w:pPr>
              <w:spacing w:after="0"/>
            </w:pPr>
            <w:r/>
            <w:r>
              <w:rPr>
                <w:sz w:val="16"/>
              </w:rPr>
              <w:t>erp</w:t>
            </w:r>
          </w:p>
        </w:tc>
        <w:tc>
          <w:tcPr>
            <w:tcW w:type="dxa" w:w="2343"/>
          </w:tcPr>
          <w:p>
            <w:pPr>
              <w:spacing w:after="0"/>
            </w:pPr>
            <w:r/>
            <w:r>
              <w:rPr>
                <w:sz w:val="16"/>
              </w:rPr>
              <w:t>.</w:t>
            </w:r>
          </w:p>
        </w:tc>
        <w:tc>
          <w:tcPr>
            <w:tcW w:type="dxa" w:w="2894"/>
          </w:tcPr>
          <w:p>
            <w:pPr>
              <w:spacing w:after="0"/>
            </w:pPr>
            <w:r/>
            <w:r>
              <w:rPr>
                <w:sz w:val="16"/>
              </w:rPr>
              <w:t>./apps/erp/Dockerfile</w:t>
            </w:r>
          </w:p>
        </w:tc>
        <w:tc>
          <w:tcPr>
            <w:tcW w:type="dxa" w:w="2757"/>
          </w:tcPr>
          <w:p>
            <w:pPr>
              <w:spacing w:after="0"/>
            </w:pPr>
            <w:r/>
            <w:r>
              <w:rPr>
                <w:sz w:val="16"/>
              </w:rPr>
              <w:t>ghcr.io/tarulab/km-erp</w:t>
            </w:r>
          </w:p>
        </w:tc>
      </w:tr>
      <w:tr>
        <w:trPr>
          <w:cantSplit/>
        </w:trPr>
        <w:tc>
          <w:tcPr>
            <w:tcW w:type="dxa" w:w="1654"/>
          </w:tcPr>
          <w:p>
            <w:pPr>
              <w:spacing w:after="0"/>
            </w:pPr>
            <w:r/>
            <w:r>
              <w:rPr>
                <w:sz w:val="16"/>
              </w:rPr>
              <w:t>pos</w:t>
            </w:r>
          </w:p>
        </w:tc>
        <w:tc>
          <w:tcPr>
            <w:tcW w:type="dxa" w:w="2343"/>
          </w:tcPr>
          <w:p>
            <w:pPr>
              <w:spacing w:after="0"/>
            </w:pPr>
            <w:r/>
            <w:r>
              <w:rPr>
                <w:sz w:val="16"/>
              </w:rPr>
              <w:t>.</w:t>
            </w:r>
          </w:p>
        </w:tc>
        <w:tc>
          <w:tcPr>
            <w:tcW w:type="dxa" w:w="2894"/>
          </w:tcPr>
          <w:p>
            <w:pPr>
              <w:spacing w:after="0"/>
            </w:pPr>
            <w:r/>
            <w:r>
              <w:rPr>
                <w:sz w:val="16"/>
              </w:rPr>
              <w:t>./apps/pos/Dockerfile</w:t>
            </w:r>
          </w:p>
        </w:tc>
        <w:tc>
          <w:tcPr>
            <w:tcW w:type="dxa" w:w="2757"/>
          </w:tcPr>
          <w:p>
            <w:pPr>
              <w:spacing w:after="0"/>
            </w:pPr>
            <w:r/>
            <w:r>
              <w:rPr>
                <w:sz w:val="16"/>
              </w:rPr>
              <w:t>ghcr.io/tarulab/km-pos</w:t>
            </w:r>
          </w:p>
        </w:tc>
      </w:tr>
      <w:tr>
        <w:trPr>
          <w:cantSplit/>
        </w:trPr>
        <w:tc>
          <w:tcPr>
            <w:tcW w:type="dxa" w:w="1654"/>
          </w:tcPr>
          <w:p>
            <w:pPr>
              <w:spacing w:after="0"/>
            </w:pPr>
            <w:r/>
            <w:r>
              <w:rPr>
                <w:sz w:val="16"/>
              </w:rPr>
              <w:t>b2b</w:t>
            </w:r>
          </w:p>
        </w:tc>
        <w:tc>
          <w:tcPr>
            <w:tcW w:type="dxa" w:w="2343"/>
          </w:tcPr>
          <w:p>
            <w:pPr>
              <w:spacing w:after="0"/>
            </w:pPr>
            <w:r/>
            <w:r>
              <w:rPr>
                <w:sz w:val="16"/>
              </w:rPr>
              <w:t>.</w:t>
            </w:r>
          </w:p>
        </w:tc>
        <w:tc>
          <w:tcPr>
            <w:tcW w:type="dxa" w:w="2894"/>
          </w:tcPr>
          <w:p>
            <w:pPr>
              <w:spacing w:after="0"/>
            </w:pPr>
            <w:r/>
            <w:r>
              <w:rPr>
                <w:sz w:val="16"/>
              </w:rPr>
              <w:t>./apps/b2b/Dockerfile</w:t>
            </w:r>
          </w:p>
        </w:tc>
        <w:tc>
          <w:tcPr>
            <w:tcW w:type="dxa" w:w="2757"/>
          </w:tcPr>
          <w:p>
            <w:pPr>
              <w:spacing w:after="0"/>
            </w:pPr>
            <w:r/>
            <w:r>
              <w:rPr>
                <w:sz w:val="16"/>
              </w:rPr>
              <w:t>ghcr.io/tarulab/km-b2b</w:t>
            </w:r>
          </w:p>
        </w:tc>
      </w:tr>
      <w:tr>
        <w:trPr>
          <w:cantSplit/>
        </w:trPr>
        <w:tc>
          <w:tcPr>
            <w:tcW w:type="dxa" w:w="1654"/>
          </w:tcPr>
          <w:p>
            <w:pPr>
              <w:spacing w:after="0"/>
            </w:pPr>
            <w:r/>
            <w:r>
              <w:rPr>
                <w:sz w:val="16"/>
              </w:rPr>
              <w:t>nextreport</w:t>
            </w:r>
          </w:p>
        </w:tc>
        <w:tc>
          <w:tcPr>
            <w:tcW w:type="dxa" w:w="2343"/>
          </w:tcPr>
          <w:p>
            <w:pPr>
              <w:spacing w:after="0"/>
            </w:pPr>
            <w:r/>
            <w:r>
              <w:rPr>
                <w:sz w:val="16"/>
              </w:rPr>
              <w:t>./apps/nextreport</w:t>
            </w:r>
          </w:p>
        </w:tc>
        <w:tc>
          <w:tcPr>
            <w:tcW w:type="dxa" w:w="2894"/>
          </w:tcPr>
          <w:p>
            <w:pPr>
              <w:spacing w:after="0"/>
            </w:pPr>
            <w:r/>
            <w:r>
              <w:rPr>
                <w:sz w:val="16"/>
              </w:rPr>
              <w:t>./apps/nextreport/Dockerfile</w:t>
            </w:r>
          </w:p>
        </w:tc>
        <w:tc>
          <w:tcPr>
            <w:tcW w:type="dxa" w:w="2757"/>
          </w:tcPr>
          <w:p>
            <w:pPr>
              <w:spacing w:after="0"/>
            </w:pPr>
            <w:r/>
            <w:r>
              <w:rPr>
                <w:sz w:val="16"/>
              </w:rPr>
              <w:t>ghcr.io/tarulab/km-nextreport</w:t>
            </w:r>
          </w:p>
        </w:tc>
      </w:tr>
    </w:tbl>
    <w:p>
      <w:pPr>
        <w:spacing w:after="200"/>
      </w:pPr>
      <w:r>
        <w:rPr>
          <w:i/>
          <w:color w:val="555F6D"/>
          <w:sz w:val="17"/>
        </w:rPr>
        <w:t>Table 84. Image matrix</w:t>
      </w:r>
    </w:p>
    <w:p>
      <w:r>
        <w:rPr>
          <w:i w:val="0"/>
        </w:rPr>
        <w:t>Tags are always latest and the commit SHA; a v*.*.* tag also publishes the tag name. Build cache uses the GitHub Actions cache with a per-service scope. fail-fast is false, so one broken image does not cancel the others.</w:t>
      </w:r>
    </w:p>
    <w:p>
      <w:pPr>
        <w:spacing w:after="160"/>
        <w:ind w:left="216"/>
        <w:pBdr>
          <w:left w:val="single" w:sz="18" w:space="6" w:color="9B2C2C"/>
        </w:pBdr>
      </w:pPr>
      <w:r>
        <w:rPr>
          <w:b/>
          <w:color w:val="9B2C2C"/>
          <w:sz w:val="19"/>
        </w:rPr>
        <w:t xml:space="preserve">Deployment is not automated: </w:t>
      </w:r>
      <w:r>
        <w:rPr>
          <w:sz w:val="19"/>
        </w:rPr>
        <w:t>The workflow stops at the registry. The runbooks describe a manual `podman compose -f compose.prod.yml up -d` on the VPS with IMAGE_TAG set. There is no automatic rollback and no post-deploy smoke test in the pipeline.</w:t>
      </w:r>
    </w:p>
    <w:p>
      <w:bookmarkStart w:id="1301" w:name="_Toc1301"/>
      <w:pPr>
        <w:pStyle w:val="Heading2"/>
      </w:pPr>
      <w:r>
        <w:t>27.3 Release and rollback</w:t>
      </w:r>
      <w:bookmarkEnd w:id="1301"/>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1872"/>
            <w:shd w:val="clear" w:color="auto" w:fill="1F3A5F"/>
          </w:tcPr>
          <w:p>
            <w:pPr>
              <w:spacing w:after="0"/>
            </w:pPr>
            <w:r/>
            <w:r>
              <w:rPr>
                <w:b/>
                <w:color w:val="FFFFFF"/>
                <w:sz w:val="15"/>
              </w:rPr>
              <w:t>Step</w:t>
            </w:r>
          </w:p>
        </w:tc>
        <w:tc>
          <w:tcPr>
            <w:tcW w:type="dxa" w:w="4608"/>
            <w:shd w:val="clear" w:color="auto" w:fill="1F3A5F"/>
          </w:tcPr>
          <w:p>
            <w:pPr>
              <w:spacing w:after="0"/>
            </w:pPr>
            <w:r/>
            <w:r>
              <w:rPr>
                <w:b/>
                <w:color w:val="FFFFFF"/>
                <w:sz w:val="15"/>
              </w:rPr>
              <w:t>Command / action</w:t>
            </w:r>
          </w:p>
        </w:tc>
        <w:tc>
          <w:tcPr>
            <w:tcW w:type="dxa" w:w="2880"/>
            <w:shd w:val="clear" w:color="auto" w:fill="1F3A5F"/>
          </w:tcPr>
          <w:p>
            <w:pPr>
              <w:spacing w:after="0"/>
            </w:pPr>
            <w:r/>
            <w:r>
              <w:rPr>
                <w:b/>
                <w:color w:val="FFFFFF"/>
                <w:sz w:val="15"/>
              </w:rPr>
              <w:t>Verification</w:t>
            </w:r>
          </w:p>
        </w:tc>
      </w:tr>
      <w:tr>
        <w:trPr>
          <w:cantSplit/>
        </w:trPr>
        <w:tc>
          <w:tcPr>
            <w:tcW w:type="dxa" w:w="1872"/>
          </w:tcPr>
          <w:p>
            <w:pPr>
              <w:spacing w:after="0"/>
            </w:pPr>
            <w:r/>
            <w:r>
              <w:rPr>
                <w:sz w:val="15"/>
              </w:rPr>
              <w:t>Tag a release</w:t>
            </w:r>
          </w:p>
        </w:tc>
        <w:tc>
          <w:tcPr>
            <w:tcW w:type="dxa" w:w="4608"/>
          </w:tcPr>
          <w:p>
            <w:pPr>
              <w:spacing w:after="0"/>
            </w:pPr>
            <w:r/>
            <w:r>
              <w:rPr>
                <w:sz w:val="15"/>
              </w:rPr>
              <w:t>git tag v1.2.3 &amp;&amp; git push origin v1.2.3</w:t>
            </w:r>
          </w:p>
        </w:tc>
        <w:tc>
          <w:tcPr>
            <w:tcW w:type="dxa" w:w="2880"/>
          </w:tcPr>
          <w:p>
            <w:pPr>
              <w:spacing w:after="0"/>
            </w:pPr>
            <w:r/>
            <w:r>
              <w:rPr>
                <w:sz w:val="15"/>
              </w:rPr>
              <w:t>Workflow publishes three tags per image</w:t>
            </w:r>
          </w:p>
        </w:tc>
      </w:tr>
      <w:tr>
        <w:trPr>
          <w:cantSplit/>
        </w:trPr>
        <w:tc>
          <w:tcPr>
            <w:tcW w:type="dxa" w:w="1872"/>
          </w:tcPr>
          <w:p>
            <w:pPr>
              <w:spacing w:after="0"/>
            </w:pPr>
            <w:r/>
            <w:r>
              <w:rPr>
                <w:sz w:val="15"/>
              </w:rPr>
              <w:t>Deploy on the VPS</w:t>
            </w:r>
          </w:p>
        </w:tc>
        <w:tc>
          <w:tcPr>
            <w:tcW w:type="dxa" w:w="4608"/>
          </w:tcPr>
          <w:p>
            <w:pPr>
              <w:spacing w:after="0"/>
            </w:pPr>
            <w:r/>
            <w:r>
              <w:rPr>
                <w:sz w:val="15"/>
              </w:rPr>
              <w:t>IMAGE_TAG=&lt;sha&gt; podman compose -f compose.prod.yml up -d</w:t>
            </w:r>
          </w:p>
        </w:tc>
        <w:tc>
          <w:tcPr>
            <w:tcW w:type="dxa" w:w="2880"/>
          </w:tcPr>
          <w:p>
            <w:pPr>
              <w:spacing w:after="0"/>
            </w:pPr>
            <w:r/>
            <w:r>
              <w:rPr>
                <w:sz w:val="15"/>
              </w:rPr>
              <w:t>Backend healthcheck every 10 s; `ss -tulpn | grep -E '3001|3002|3003|3004'`</w:t>
            </w:r>
          </w:p>
        </w:tc>
      </w:tr>
      <w:tr>
        <w:trPr>
          <w:cantSplit/>
        </w:trPr>
        <w:tc>
          <w:tcPr>
            <w:tcW w:type="dxa" w:w="1872"/>
          </w:tcPr>
          <w:p>
            <w:pPr>
              <w:spacing w:after="0"/>
            </w:pPr>
            <w:r/>
            <w:r>
              <w:rPr>
                <w:sz w:val="15"/>
              </w:rPr>
              <w:t>Verify</w:t>
            </w:r>
          </w:p>
        </w:tc>
        <w:tc>
          <w:tcPr>
            <w:tcW w:type="dxa" w:w="4608"/>
          </w:tcPr>
          <w:p>
            <w:pPr>
              <w:spacing w:after="0"/>
            </w:pPr>
            <w:r/>
            <w:r>
              <w:rPr>
                <w:sz w:val="15"/>
              </w:rPr>
              <w:t>curl -I http://127.0.0.1:3001 … and curl http://127.0.0.1:3004/health</w:t>
            </w:r>
          </w:p>
        </w:tc>
        <w:tc>
          <w:tcPr>
            <w:tcW w:type="dxa" w:w="2880"/>
          </w:tcPr>
          <w:p>
            <w:pPr>
              <w:spacing w:after="0"/>
            </w:pPr>
            <w:r/>
            <w:r>
              <w:rPr>
                <w:sz w:val="15"/>
              </w:rPr>
              <w:t>200 + {"status":"ok"}</w:t>
            </w:r>
          </w:p>
        </w:tc>
      </w:tr>
      <w:tr>
        <w:trPr>
          <w:cantSplit/>
        </w:trPr>
        <w:tc>
          <w:tcPr>
            <w:tcW w:type="dxa" w:w="1872"/>
          </w:tcPr>
          <w:p>
            <w:pPr>
              <w:spacing w:after="0"/>
            </w:pPr>
            <w:r/>
            <w:r>
              <w:rPr>
                <w:sz w:val="15"/>
              </w:rPr>
              <w:t>Rollback</w:t>
            </w:r>
          </w:p>
        </w:tc>
        <w:tc>
          <w:tcPr>
            <w:tcW w:type="dxa" w:w="4608"/>
          </w:tcPr>
          <w:p>
            <w:pPr>
              <w:spacing w:after="0"/>
            </w:pPr>
            <w:r/>
            <w:r>
              <w:rPr>
                <w:sz w:val="15"/>
              </w:rPr>
              <w:t>set IMAGE_TAG to the previous SHA and re-run `up -d`</w:t>
            </w:r>
          </w:p>
        </w:tc>
        <w:tc>
          <w:tcPr>
            <w:tcW w:type="dxa" w:w="2880"/>
          </w:tcPr>
          <w:p>
            <w:pPr>
              <w:spacing w:after="0"/>
            </w:pPr>
            <w:r/>
            <w:r>
              <w:rPr>
                <w:sz w:val="15"/>
              </w:rPr>
              <w:t>Same checks; migrations are forward-only, so a rollback across a schema change needs a restore</w:t>
            </w:r>
          </w:p>
        </w:tc>
      </w:tr>
      <w:tr>
        <w:trPr>
          <w:cantSplit/>
        </w:trPr>
        <w:tc>
          <w:tcPr>
            <w:tcW w:type="dxa" w:w="1872"/>
          </w:tcPr>
          <w:p>
            <w:pPr>
              <w:spacing w:after="0"/>
            </w:pPr>
            <w:r/>
            <w:r>
              <w:rPr>
                <w:sz w:val="15"/>
              </w:rPr>
              <w:t>Database rollback</w:t>
            </w:r>
          </w:p>
        </w:tc>
        <w:tc>
          <w:tcPr>
            <w:tcW w:type="dxa" w:w="4608"/>
          </w:tcPr>
          <w:p>
            <w:pPr>
              <w:spacing w:after="0"/>
            </w:pPr>
            <w:r/>
            <w:r>
              <w:rPr>
                <w:sz w:val="15"/>
              </w:rPr>
              <w:t>restore the last dump</w:t>
            </w:r>
          </w:p>
        </w:tc>
        <w:tc>
          <w:tcPr>
            <w:tcW w:type="dxa" w:w="2880"/>
          </w:tcPr>
          <w:p>
            <w:pPr>
              <w:spacing w:after="0"/>
            </w:pPr>
            <w:r/>
            <w:r>
              <w:rPr>
                <w:sz w:val="15"/>
              </w:rPr>
              <w:t>No DOWN migrations exist</w:t>
            </w:r>
          </w:p>
        </w:tc>
      </w:tr>
    </w:tbl>
    <w:p>
      <w:pPr>
        <w:spacing w:after="200"/>
      </w:pPr>
      <w:r>
        <w:rPr>
          <w:i/>
          <w:color w:val="555F6D"/>
          <w:sz w:val="17"/>
        </w:rPr>
        <w:t>Table 85. Release and rollback procedure</w:t>
      </w:r>
    </w:p>
    <w:p>
      <w:bookmarkStart w:id="1302" w:name="_Toc1302"/>
      <w:pPr>
        <w:pStyle w:val="Heading1"/>
        <w:pageBreakBefore/>
      </w:pPr>
      <w:r>
        <w:t>28. Deployment and infrastructure</w:t>
      </w:r>
      <w:bookmarkEnd w:id="1302"/>
    </w:p>
    <w:p>
      <w:bookmarkStart w:id="1303" w:name="_Toc1303"/>
      <w:pPr>
        <w:pStyle w:val="Heading2"/>
      </w:pPr>
      <w:r>
        <w:t>28.1 Topology</w:t>
      </w:r>
      <w:bookmarkEnd w:id="1303"/>
    </w:p>
    <w:p>
      <w:pPr>
        <w:keepNext/>
        <w:spacing w:before="80" w:after="40"/>
        <w:jc w:val="center"/>
      </w:pPr>
      <w:r>
        <w:drawing>
          <wp:inline xmlns:a="http://schemas.openxmlformats.org/drawingml/2006/main" xmlns:pic="http://schemas.openxmlformats.org/drawingml/2006/picture">
            <wp:extent cx="4770424" cy="6766559"/>
            <wp:docPr id="29" name="Picture 29"/>
            <wp:cNvGraphicFramePr>
              <a:graphicFrameLocks noChangeAspect="1"/>
            </wp:cNvGraphicFramePr>
            <a:graphic>
              <a:graphicData uri="http://schemas.openxmlformats.org/drawingml/2006/picture">
                <pic:pic>
                  <pic:nvPicPr>
                    <pic:cNvPr id="0" name="fig-deployment.png"/>
                    <pic:cNvPicPr/>
                  </pic:nvPicPr>
                  <pic:blipFill>
                    <a:blip r:embed="rId37"/>
                    <a:stretch>
                      <a:fillRect/>
                    </a:stretch>
                  </pic:blipFill>
                  <pic:spPr>
                    <a:xfrm>
                      <a:off x="0" y="0"/>
                      <a:ext cx="4770424" cy="6766559"/>
                    </a:xfrm>
                    <a:prstGeom prst="rect"/>
                  </pic:spPr>
                </pic:pic>
              </a:graphicData>
            </a:graphic>
          </wp:inline>
        </w:drawing>
      </w:r>
    </w:p>
    <w:p>
      <w:pPr>
        <w:spacing w:after="40"/>
        <w:jc w:val="center"/>
      </w:pPr>
      <w:r>
        <w:rPr>
          <w:i/>
          <w:color w:val="555F6D"/>
          <w:sz w:val="17"/>
        </w:rPr>
        <w:t>Figure 29. Deployment topology as configured. Loopback bindings and the container network are from infra/containers/compose.prod.yml; the tunnel agent is a host service.</w:t>
      </w:r>
    </w:p>
    <w:p>
      <w:bookmarkStart w:id="1304" w:name="_Toc1304"/>
      <w:pPr>
        <w:pStyle w:val="Heading2"/>
      </w:pPr>
      <w:r>
        <w:t>28.2 Services</w:t>
      </w:r>
      <w:bookmarkEnd w:id="1304"/>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504" w:type="dxa"/>
      </w:tblPr>
      <w:tblGrid>
        <w:gridCol w:w="1930"/>
        <w:gridCol w:w="1930"/>
        <w:gridCol w:w="1930"/>
        <w:gridCol w:w="1930"/>
        <w:gridCol w:w="1930"/>
      </w:tblGrid>
      <w:tr>
        <w:trPr>
          <w:tblHeader w:val="true"/>
        </w:trPr>
        <w:tc>
          <w:tcPr>
            <w:tcW w:type="dxa" w:w="1296"/>
            <w:shd w:val="clear" w:color="auto" w:fill="1F3A5F"/>
          </w:tcPr>
          <w:p>
            <w:pPr>
              <w:spacing w:after="0"/>
            </w:pPr>
            <w:r/>
            <w:r>
              <w:rPr>
                <w:b/>
                <w:color w:val="FFFFFF"/>
                <w:sz w:val="15"/>
              </w:rPr>
              <w:t>Service</w:t>
            </w:r>
          </w:p>
        </w:tc>
        <w:tc>
          <w:tcPr>
            <w:tcW w:type="dxa" w:w="2736"/>
            <w:shd w:val="clear" w:color="auto" w:fill="1F3A5F"/>
          </w:tcPr>
          <w:p>
            <w:pPr>
              <w:spacing w:after="0"/>
            </w:pPr>
            <w:r/>
            <w:r>
              <w:rPr>
                <w:b/>
                <w:color w:val="FFFFFF"/>
                <w:sz w:val="15"/>
              </w:rPr>
              <w:t>Image</w:t>
            </w:r>
          </w:p>
        </w:tc>
        <w:tc>
          <w:tcPr>
            <w:tcW w:type="dxa" w:w="2304"/>
            <w:shd w:val="clear" w:color="auto" w:fill="1F3A5F"/>
          </w:tcPr>
          <w:p>
            <w:pPr>
              <w:spacing w:after="0"/>
            </w:pPr>
            <w:r/>
            <w:r>
              <w:rPr>
                <w:b/>
                <w:color w:val="FFFFFF"/>
                <w:sz w:val="15"/>
              </w:rPr>
              <w:t>Host binding</w:t>
            </w:r>
          </w:p>
        </w:tc>
        <w:tc>
          <w:tcPr>
            <w:tcW w:type="dxa" w:w="1728"/>
            <w:shd w:val="clear" w:color="auto" w:fill="1F3A5F"/>
          </w:tcPr>
          <w:p>
            <w:pPr>
              <w:spacing w:after="0"/>
            </w:pPr>
            <w:r/>
            <w:r>
              <w:rPr>
                <w:b/>
                <w:color w:val="FFFFFF"/>
                <w:sz w:val="15"/>
              </w:rPr>
              <w:t>CPU / memory limit</w:t>
            </w:r>
          </w:p>
        </w:tc>
        <w:tc>
          <w:tcPr>
            <w:tcW w:type="dxa" w:w="1440"/>
            <w:shd w:val="clear" w:color="auto" w:fill="1F3A5F"/>
          </w:tcPr>
          <w:p>
            <w:pPr>
              <w:spacing w:after="0"/>
            </w:pPr>
            <w:r/>
            <w:r>
              <w:rPr>
                <w:b/>
                <w:color w:val="FFFFFF"/>
                <w:sz w:val="15"/>
              </w:rPr>
              <w:t>Notes</w:t>
            </w:r>
          </w:p>
        </w:tc>
      </w:tr>
      <w:tr>
        <w:trPr>
          <w:cantSplit/>
        </w:trPr>
        <w:tc>
          <w:tcPr>
            <w:tcW w:type="dxa" w:w="1296"/>
          </w:tcPr>
          <w:p>
            <w:pPr>
              <w:spacing w:after="0"/>
            </w:pPr>
            <w:r/>
            <w:r>
              <w:rPr>
                <w:sz w:val="15"/>
              </w:rPr>
              <w:t>erp</w:t>
            </w:r>
          </w:p>
        </w:tc>
        <w:tc>
          <w:tcPr>
            <w:tcW w:type="dxa" w:w="2736"/>
          </w:tcPr>
          <w:p>
            <w:pPr>
              <w:spacing w:after="0"/>
            </w:pPr>
            <w:r/>
            <w:r>
              <w:rPr>
                <w:sz w:val="15"/>
              </w:rPr>
              <w:t>ghcr.io/tarulab/km-erp</w:t>
            </w:r>
          </w:p>
        </w:tc>
        <w:tc>
          <w:tcPr>
            <w:tcW w:type="dxa" w:w="2304"/>
          </w:tcPr>
          <w:p>
            <w:pPr>
              <w:spacing w:after="0"/>
            </w:pPr>
            <w:r/>
            <w:r>
              <w:rPr>
                <w:sz w:val="15"/>
              </w:rPr>
              <w:t>127.0.0.1:3001 → 8080</w:t>
            </w:r>
          </w:p>
        </w:tc>
        <w:tc>
          <w:tcPr>
            <w:tcW w:type="dxa" w:w="1728"/>
          </w:tcPr>
          <w:p>
            <w:pPr>
              <w:spacing w:after="0"/>
            </w:pPr>
            <w:r/>
            <w:r>
              <w:rPr>
                <w:sz w:val="15"/>
              </w:rPr>
              <w:t>0.50 / 128M</w:t>
            </w:r>
          </w:p>
        </w:tc>
        <w:tc>
          <w:tcPr>
            <w:tcW w:type="dxa" w:w="1440"/>
          </w:tcPr>
          <w:p>
            <w:pPr>
              <w:spacing w:after="0"/>
            </w:pPr>
            <w:r/>
            <w:r>
              <w:rPr>
                <w:sz w:val="15"/>
              </w:rPr>
              <w:t>nginx 1.29-alpine, non-root</w:t>
            </w:r>
          </w:p>
        </w:tc>
      </w:tr>
      <w:tr>
        <w:trPr>
          <w:cantSplit/>
        </w:trPr>
        <w:tc>
          <w:tcPr>
            <w:tcW w:type="dxa" w:w="1296"/>
          </w:tcPr>
          <w:p>
            <w:pPr>
              <w:spacing w:after="0"/>
            </w:pPr>
            <w:r/>
            <w:r>
              <w:rPr>
                <w:sz w:val="15"/>
              </w:rPr>
              <w:t>b2b</w:t>
            </w:r>
          </w:p>
        </w:tc>
        <w:tc>
          <w:tcPr>
            <w:tcW w:type="dxa" w:w="2736"/>
          </w:tcPr>
          <w:p>
            <w:pPr>
              <w:spacing w:after="0"/>
            </w:pPr>
            <w:r/>
            <w:r>
              <w:rPr>
                <w:sz w:val="15"/>
              </w:rPr>
              <w:t>ghcr.io/tarulab/km-b2b</w:t>
            </w:r>
          </w:p>
        </w:tc>
        <w:tc>
          <w:tcPr>
            <w:tcW w:type="dxa" w:w="2304"/>
          </w:tcPr>
          <w:p>
            <w:pPr>
              <w:spacing w:after="0"/>
            </w:pPr>
            <w:r/>
            <w:r>
              <w:rPr>
                <w:sz w:val="15"/>
              </w:rPr>
              <w:t>127.0.0.1:3002 → 3000</w:t>
            </w:r>
          </w:p>
        </w:tc>
        <w:tc>
          <w:tcPr>
            <w:tcW w:type="dxa" w:w="1728"/>
          </w:tcPr>
          <w:p>
            <w:pPr>
              <w:spacing w:after="0"/>
            </w:pPr>
            <w:r/>
            <w:r>
              <w:rPr>
                <w:sz w:val="15"/>
              </w:rPr>
              <w:t>0.80 / 512M</w:t>
            </w:r>
          </w:p>
        </w:tc>
        <w:tc>
          <w:tcPr>
            <w:tcW w:type="dxa" w:w="1440"/>
          </w:tcPr>
          <w:p>
            <w:pPr>
              <w:spacing w:after="0"/>
            </w:pPr>
            <w:r/>
            <w:r>
              <w:rPr>
                <w:sz w:val="15"/>
              </w:rPr>
              <w:t>Nuxt 4 Nitro, node 22</w:t>
            </w:r>
          </w:p>
        </w:tc>
      </w:tr>
      <w:tr>
        <w:trPr>
          <w:cantSplit/>
        </w:trPr>
        <w:tc>
          <w:tcPr>
            <w:tcW w:type="dxa" w:w="1296"/>
          </w:tcPr>
          <w:p>
            <w:pPr>
              <w:spacing w:after="0"/>
            </w:pPr>
            <w:r/>
            <w:r>
              <w:rPr>
                <w:sz w:val="15"/>
              </w:rPr>
              <w:t>pos</w:t>
            </w:r>
          </w:p>
        </w:tc>
        <w:tc>
          <w:tcPr>
            <w:tcW w:type="dxa" w:w="2736"/>
          </w:tcPr>
          <w:p>
            <w:pPr>
              <w:spacing w:after="0"/>
            </w:pPr>
            <w:r/>
            <w:r>
              <w:rPr>
                <w:sz w:val="15"/>
              </w:rPr>
              <w:t>ghcr.io/tarulab/km-pos</w:t>
            </w:r>
          </w:p>
        </w:tc>
        <w:tc>
          <w:tcPr>
            <w:tcW w:type="dxa" w:w="2304"/>
          </w:tcPr>
          <w:p>
            <w:pPr>
              <w:spacing w:after="0"/>
            </w:pPr>
            <w:r/>
            <w:r>
              <w:rPr>
                <w:sz w:val="15"/>
              </w:rPr>
              <w:t>127.0.0.1:3003 → 8080</w:t>
            </w:r>
          </w:p>
        </w:tc>
        <w:tc>
          <w:tcPr>
            <w:tcW w:type="dxa" w:w="1728"/>
          </w:tcPr>
          <w:p>
            <w:pPr>
              <w:spacing w:after="0"/>
            </w:pPr>
            <w:r/>
            <w:r>
              <w:rPr>
                <w:sz w:val="15"/>
              </w:rPr>
              <w:t>0.50 / 128M</w:t>
            </w:r>
          </w:p>
        </w:tc>
        <w:tc>
          <w:tcPr>
            <w:tcW w:type="dxa" w:w="1440"/>
          </w:tcPr>
          <w:p>
            <w:pPr>
              <w:spacing w:after="0"/>
            </w:pPr>
            <w:r/>
            <w:r>
              <w:rPr>
                <w:sz w:val="15"/>
              </w:rPr>
              <w:t>nginx 1.29-alpine, non-root</w:t>
            </w:r>
          </w:p>
        </w:tc>
      </w:tr>
      <w:tr>
        <w:trPr>
          <w:cantSplit/>
        </w:trPr>
        <w:tc>
          <w:tcPr>
            <w:tcW w:type="dxa" w:w="1296"/>
          </w:tcPr>
          <w:p>
            <w:pPr>
              <w:spacing w:after="0"/>
            </w:pPr>
            <w:r/>
            <w:r>
              <w:rPr>
                <w:sz w:val="15"/>
              </w:rPr>
              <w:t>backend</w:t>
            </w:r>
          </w:p>
        </w:tc>
        <w:tc>
          <w:tcPr>
            <w:tcW w:type="dxa" w:w="2736"/>
          </w:tcPr>
          <w:p>
            <w:pPr>
              <w:spacing w:after="0"/>
            </w:pPr>
            <w:r/>
            <w:r>
              <w:rPr>
                <w:sz w:val="15"/>
              </w:rPr>
              <w:t>ghcr.io/tarulab/km-backend</w:t>
            </w:r>
          </w:p>
        </w:tc>
        <w:tc>
          <w:tcPr>
            <w:tcW w:type="dxa" w:w="2304"/>
          </w:tcPr>
          <w:p>
            <w:pPr>
              <w:spacing w:after="0"/>
            </w:pPr>
            <w:r/>
            <w:r>
              <w:rPr>
                <w:sz w:val="15"/>
              </w:rPr>
              <w:t>127.0.0.1:3004 → 8080</w:t>
            </w:r>
          </w:p>
        </w:tc>
        <w:tc>
          <w:tcPr>
            <w:tcW w:type="dxa" w:w="1728"/>
          </w:tcPr>
          <w:p>
            <w:pPr>
              <w:spacing w:after="0"/>
            </w:pPr>
            <w:r/>
            <w:r>
              <w:rPr>
                <w:sz w:val="15"/>
              </w:rPr>
              <w:t>1.00 / 768M</w:t>
            </w:r>
          </w:p>
        </w:tc>
        <w:tc>
          <w:tcPr>
            <w:tcW w:type="dxa" w:w="1440"/>
          </w:tcPr>
          <w:p>
            <w:pPr>
              <w:spacing w:after="0"/>
            </w:pPr>
            <w:r/>
            <w:r>
              <w:rPr>
                <w:sz w:val="15"/>
              </w:rPr>
              <w:t>Go static binary, alpine, uid 10001</w:t>
            </w:r>
          </w:p>
        </w:tc>
      </w:tr>
      <w:tr>
        <w:trPr>
          <w:cantSplit/>
        </w:trPr>
        <w:tc>
          <w:tcPr>
            <w:tcW w:type="dxa" w:w="1296"/>
          </w:tcPr>
          <w:p>
            <w:pPr>
              <w:spacing w:after="0"/>
            </w:pPr>
            <w:r/>
            <w:r>
              <w:rPr>
                <w:sz w:val="15"/>
              </w:rPr>
              <w:t>nextreport</w:t>
            </w:r>
          </w:p>
        </w:tc>
        <w:tc>
          <w:tcPr>
            <w:tcW w:type="dxa" w:w="2736"/>
          </w:tcPr>
          <w:p>
            <w:pPr>
              <w:spacing w:after="0"/>
            </w:pPr>
            <w:r/>
            <w:r>
              <w:rPr>
                <w:sz w:val="15"/>
              </w:rPr>
              <w:t>ghcr.io/tarulab/km-nextreport</w:t>
            </w:r>
          </w:p>
        </w:tc>
        <w:tc>
          <w:tcPr>
            <w:tcW w:type="dxa" w:w="2304"/>
          </w:tcPr>
          <w:p>
            <w:pPr>
              <w:spacing w:after="0"/>
            </w:pPr>
            <w:r/>
            <w:r>
              <w:rPr>
                <w:sz w:val="15"/>
              </w:rPr>
              <w:t>internal 5489 only</w:t>
            </w:r>
          </w:p>
        </w:tc>
        <w:tc>
          <w:tcPr>
            <w:tcW w:type="dxa" w:w="1728"/>
          </w:tcPr>
          <w:p>
            <w:pPr>
              <w:spacing w:after="0"/>
            </w:pPr>
            <w:r/>
            <w:r>
              <w:rPr>
                <w:sz w:val="15"/>
              </w:rPr>
              <w:t>0.80 / 512M</w:t>
            </w:r>
          </w:p>
        </w:tc>
        <w:tc>
          <w:tcPr>
            <w:tcW w:type="dxa" w:w="1440"/>
          </w:tcPr>
          <w:p>
            <w:pPr>
              <w:spacing w:after="0"/>
            </w:pPr>
            <w:r/>
            <w:r>
              <w:rPr>
                <w:sz w:val="15"/>
              </w:rPr>
              <w:t>Node 22 + Chromium</w:t>
            </w:r>
          </w:p>
        </w:tc>
      </w:tr>
      <w:tr>
        <w:trPr>
          <w:cantSplit/>
        </w:trPr>
        <w:tc>
          <w:tcPr>
            <w:tcW w:type="dxa" w:w="1296"/>
          </w:tcPr>
          <w:p>
            <w:pPr>
              <w:spacing w:after="0"/>
            </w:pPr>
            <w:r/>
            <w:r>
              <w:rPr>
                <w:sz w:val="15"/>
              </w:rPr>
              <w:t>postgres</w:t>
            </w:r>
          </w:p>
        </w:tc>
        <w:tc>
          <w:tcPr>
            <w:tcW w:type="dxa" w:w="2736"/>
          </w:tcPr>
          <w:p>
            <w:pPr>
              <w:spacing w:after="0"/>
            </w:pPr>
            <w:r/>
            <w:r>
              <w:rPr>
                <w:sz w:val="15"/>
              </w:rPr>
              <w:t>postgres:16-alpine</w:t>
            </w:r>
          </w:p>
        </w:tc>
        <w:tc>
          <w:tcPr>
            <w:tcW w:type="dxa" w:w="2304"/>
          </w:tcPr>
          <w:p>
            <w:pPr>
              <w:spacing w:after="0"/>
            </w:pPr>
            <w:r/>
            <w:r>
              <w:rPr>
                <w:sz w:val="15"/>
              </w:rPr>
              <w:t>internal 5432 only</w:t>
            </w:r>
          </w:p>
        </w:tc>
        <w:tc>
          <w:tcPr>
            <w:tcW w:type="dxa" w:w="1728"/>
          </w:tcPr>
          <w:p>
            <w:pPr>
              <w:spacing w:after="0"/>
            </w:pPr>
            <w:r/>
            <w:r>
              <w:rPr>
                <w:sz w:val="15"/>
              </w:rPr>
              <w:t>1.00 / 1024M</w:t>
            </w:r>
          </w:p>
        </w:tc>
        <w:tc>
          <w:tcPr>
            <w:tcW w:type="dxa" w:w="1440"/>
          </w:tcPr>
          <w:p>
            <w:pPr>
              <w:spacing w:after="0"/>
            </w:pPr>
            <w:r/>
            <w:r>
              <w:rPr>
                <w:sz w:val="15"/>
              </w:rPr>
              <w:t>pgdata volume</w:t>
            </w:r>
          </w:p>
        </w:tc>
      </w:tr>
      <w:tr>
        <w:trPr>
          <w:cantSplit/>
        </w:trPr>
        <w:tc>
          <w:tcPr>
            <w:tcW w:type="dxa" w:w="1296"/>
          </w:tcPr>
          <w:p>
            <w:pPr>
              <w:spacing w:after="0"/>
            </w:pPr>
            <w:r/>
            <w:r>
              <w:rPr>
                <w:sz w:val="15"/>
              </w:rPr>
              <w:t>redis</w:t>
            </w:r>
          </w:p>
        </w:tc>
        <w:tc>
          <w:tcPr>
            <w:tcW w:type="dxa" w:w="2736"/>
          </w:tcPr>
          <w:p>
            <w:pPr>
              <w:spacing w:after="0"/>
            </w:pPr>
            <w:r/>
            <w:r>
              <w:rPr>
                <w:sz w:val="15"/>
              </w:rPr>
              <w:t>redis:7-alpine</w:t>
            </w:r>
          </w:p>
        </w:tc>
        <w:tc>
          <w:tcPr>
            <w:tcW w:type="dxa" w:w="2304"/>
          </w:tcPr>
          <w:p>
            <w:pPr>
              <w:spacing w:after="0"/>
            </w:pPr>
            <w:r/>
            <w:r>
              <w:rPr>
                <w:sz w:val="15"/>
              </w:rPr>
              <w:t>internal 6379 only</w:t>
            </w:r>
          </w:p>
        </w:tc>
        <w:tc>
          <w:tcPr>
            <w:tcW w:type="dxa" w:w="1728"/>
          </w:tcPr>
          <w:p>
            <w:pPr>
              <w:spacing w:after="0"/>
            </w:pPr>
            <w:r/>
            <w:r>
              <w:rPr>
                <w:sz w:val="15"/>
              </w:rPr>
              <w:t>0.20 / 128M</w:t>
            </w:r>
          </w:p>
        </w:tc>
        <w:tc>
          <w:tcPr>
            <w:tcW w:type="dxa" w:w="1440"/>
          </w:tcPr>
          <w:p>
            <w:pPr>
              <w:spacing w:after="0"/>
            </w:pPr>
            <w:r/>
            <w:r>
              <w:rPr>
                <w:sz w:val="15"/>
              </w:rPr>
              <w:t>AOF on, maxmemory 96mb, volatile-lru</w:t>
            </w:r>
          </w:p>
        </w:tc>
      </w:tr>
    </w:tbl>
    <w:p>
      <w:pPr>
        <w:spacing w:after="200"/>
      </w:pPr>
      <w:r>
        <w:rPr>
          <w:i/>
          <w:color w:val="555F6D"/>
          <w:sz w:val="17"/>
        </w:rPr>
        <w:t>Table 86. Compose services (infra/containers/compose.prod.yml)</w:t>
      </w:r>
    </w:p>
    <w:p>
      <w:r>
        <w:rPr>
          <w:i w:val="0"/>
        </w:rPr>
        <w:t>Every service logs through the json-file driver with max-size 10m and max-file 3, so each container is capped at 30 MB of logs. ERP, POS and backend bind only to 127.0.0.1. PostgreSQL, Redis and NextReport publish no host port at all.</w:t>
      </w:r>
    </w:p>
    <w:p>
      <w:bookmarkStart w:id="1305" w:name="_Toc1305"/>
      <w:pPr>
        <w:pStyle w:val="Heading2"/>
      </w:pPr>
      <w:r>
        <w:t>28.3 Container images</w:t>
      </w:r>
      <w:bookmarkEnd w:id="1305"/>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1872"/>
            <w:shd w:val="clear" w:color="auto" w:fill="1F3A5F"/>
          </w:tcPr>
          <w:p>
            <w:pPr>
              <w:spacing w:after="0"/>
            </w:pPr>
            <w:r/>
            <w:r>
              <w:rPr>
                <w:b/>
                <w:color w:val="FFFFFF"/>
                <w:sz w:val="15"/>
              </w:rPr>
              <w:t>Image</w:t>
            </w:r>
          </w:p>
        </w:tc>
        <w:tc>
          <w:tcPr>
            <w:tcW w:type="dxa" w:w="4320"/>
            <w:shd w:val="clear" w:color="auto" w:fill="1F3A5F"/>
          </w:tcPr>
          <w:p>
            <w:pPr>
              <w:spacing w:after="0"/>
            </w:pPr>
            <w:r/>
            <w:r>
              <w:rPr>
                <w:b/>
                <w:color w:val="FFFFFF"/>
                <w:sz w:val="15"/>
              </w:rPr>
              <w:t>Build stages</w:t>
            </w:r>
          </w:p>
        </w:tc>
        <w:tc>
          <w:tcPr>
            <w:tcW w:type="dxa" w:w="1440"/>
            <w:shd w:val="clear" w:color="auto" w:fill="1F3A5F"/>
          </w:tcPr>
          <w:p>
            <w:pPr>
              <w:spacing w:after="0"/>
            </w:pPr>
            <w:r/>
            <w:r>
              <w:rPr>
                <w:b/>
                <w:color w:val="FFFFFF"/>
                <w:sz w:val="15"/>
              </w:rPr>
              <w:t>Runtime user</w:t>
            </w:r>
          </w:p>
        </w:tc>
        <w:tc>
          <w:tcPr>
            <w:tcW w:type="dxa" w:w="1728"/>
            <w:shd w:val="clear" w:color="auto" w:fill="1F3A5F"/>
          </w:tcPr>
          <w:p>
            <w:pPr>
              <w:spacing w:after="0"/>
            </w:pPr>
            <w:r/>
            <w:r>
              <w:rPr>
                <w:b/>
                <w:color w:val="FFFFFF"/>
                <w:sz w:val="15"/>
              </w:rPr>
              <w:t>Healthcheck</w:t>
            </w:r>
          </w:p>
        </w:tc>
      </w:tr>
      <w:tr>
        <w:trPr>
          <w:cantSplit/>
        </w:trPr>
        <w:tc>
          <w:tcPr>
            <w:tcW w:type="dxa" w:w="1872"/>
          </w:tcPr>
          <w:p>
            <w:pPr>
              <w:spacing w:after="0"/>
            </w:pPr>
            <w:r/>
            <w:r>
              <w:rPr>
                <w:sz w:val="15"/>
              </w:rPr>
              <w:t>km-backend</w:t>
            </w:r>
          </w:p>
        </w:tc>
        <w:tc>
          <w:tcPr>
            <w:tcW w:type="dxa" w:w="4320"/>
          </w:tcPr>
          <w:p>
            <w:pPr>
              <w:spacing w:after="0"/>
            </w:pPr>
            <w:r/>
            <w:r>
              <w:rPr>
                <w:sz w:val="15"/>
              </w:rPr>
              <w:t>golang:alpine (cross-compiled CGO_ENABLED=0) → alpine:3.20 with ca-certificates + wget</w:t>
            </w:r>
          </w:p>
        </w:tc>
        <w:tc>
          <w:tcPr>
            <w:tcW w:type="dxa" w:w="1440"/>
          </w:tcPr>
          <w:p>
            <w:pPr>
              <w:spacing w:after="0"/>
            </w:pPr>
            <w:r/>
            <w:r>
              <w:rPr>
                <w:sz w:val="15"/>
              </w:rPr>
              <w:t>appuser uid 10001</w:t>
            </w:r>
          </w:p>
        </w:tc>
        <w:tc>
          <w:tcPr>
            <w:tcW w:type="dxa" w:w="1728"/>
          </w:tcPr>
          <w:p>
            <w:pPr>
              <w:spacing w:after="0"/>
            </w:pPr>
            <w:r/>
            <w:r>
              <w:rPr>
                <w:sz w:val="15"/>
              </w:rPr>
              <w:t>wget /health (image + compose)</w:t>
            </w:r>
          </w:p>
        </w:tc>
      </w:tr>
      <w:tr>
        <w:trPr>
          <w:cantSplit/>
        </w:trPr>
        <w:tc>
          <w:tcPr>
            <w:tcW w:type="dxa" w:w="1872"/>
          </w:tcPr>
          <w:p>
            <w:pPr>
              <w:spacing w:after="0"/>
            </w:pPr>
            <w:r/>
            <w:r>
              <w:rPr>
                <w:sz w:val="15"/>
              </w:rPr>
              <w:t>km-erp / km-pos</w:t>
            </w:r>
          </w:p>
        </w:tc>
        <w:tc>
          <w:tcPr>
            <w:tcW w:type="dxa" w:w="4320"/>
          </w:tcPr>
          <w:p>
            <w:pPr>
              <w:spacing w:after="0"/>
            </w:pPr>
            <w:r/>
            <w:r>
              <w:rPr>
                <w:sz w:val="15"/>
              </w:rPr>
              <w:t>node:22-alpine + pnpm install + vite build → nginx:1.29-alpine</w:t>
            </w:r>
          </w:p>
        </w:tc>
        <w:tc>
          <w:tcPr>
            <w:tcW w:type="dxa" w:w="1440"/>
          </w:tcPr>
          <w:p>
            <w:pPr>
              <w:spacing w:after="0"/>
            </w:pPr>
            <w:r/>
            <w:r>
              <w:rPr>
                <w:sz w:val="15"/>
              </w:rPr>
              <w:t>nginx</w:t>
            </w:r>
          </w:p>
        </w:tc>
        <w:tc>
          <w:tcPr>
            <w:tcW w:type="dxa" w:w="1728"/>
          </w:tcPr>
          <w:p>
            <w:pPr>
              <w:spacing w:after="0"/>
            </w:pPr>
            <w:r/>
            <w:r>
              <w:rPr>
                <w:sz w:val="15"/>
              </w:rPr>
              <w:t>none in the image; compose waits on backend health</w:t>
            </w:r>
          </w:p>
        </w:tc>
      </w:tr>
      <w:tr>
        <w:trPr>
          <w:cantSplit/>
        </w:trPr>
        <w:tc>
          <w:tcPr>
            <w:tcW w:type="dxa" w:w="1872"/>
          </w:tcPr>
          <w:p>
            <w:pPr>
              <w:spacing w:after="0"/>
            </w:pPr>
            <w:r/>
            <w:r>
              <w:rPr>
                <w:sz w:val="15"/>
              </w:rPr>
              <w:t>km-b2b</w:t>
            </w:r>
          </w:p>
        </w:tc>
        <w:tc>
          <w:tcPr>
            <w:tcW w:type="dxa" w:w="4320"/>
          </w:tcPr>
          <w:p>
            <w:pPr>
              <w:spacing w:after="0"/>
            </w:pPr>
            <w:r/>
            <w:r>
              <w:rPr>
                <w:sz w:val="15"/>
              </w:rPr>
              <w:t>node:22-alpine + nuxt build → node:22 runtime</w:t>
            </w:r>
          </w:p>
        </w:tc>
        <w:tc>
          <w:tcPr>
            <w:tcW w:type="dxa" w:w="1440"/>
          </w:tcPr>
          <w:p>
            <w:pPr>
              <w:spacing w:after="0"/>
            </w:pPr>
            <w:r/>
            <w:r>
              <w:rPr>
                <w:sz w:val="15"/>
              </w:rPr>
              <w:t>node</w:t>
            </w:r>
          </w:p>
        </w:tc>
        <w:tc>
          <w:tcPr>
            <w:tcW w:type="dxa" w:w="1728"/>
          </w:tcPr>
          <w:p>
            <w:pPr>
              <w:spacing w:after="0"/>
            </w:pPr>
            <w:r/>
            <w:r>
              <w:rPr>
                <w:sz w:val="15"/>
              </w:rPr>
              <w:t>none</w:t>
            </w:r>
          </w:p>
        </w:tc>
      </w:tr>
      <w:tr>
        <w:trPr>
          <w:cantSplit/>
        </w:trPr>
        <w:tc>
          <w:tcPr>
            <w:tcW w:type="dxa" w:w="1872"/>
          </w:tcPr>
          <w:p>
            <w:pPr>
              <w:spacing w:after="0"/>
            </w:pPr>
            <w:r/>
            <w:r>
              <w:rPr>
                <w:sz w:val="15"/>
              </w:rPr>
              <w:t>km-nextreport</w:t>
            </w:r>
          </w:p>
        </w:tc>
        <w:tc>
          <w:tcPr>
            <w:tcW w:type="dxa" w:w="4320"/>
          </w:tcPr>
          <w:p>
            <w:pPr>
              <w:spacing w:after="0"/>
            </w:pPr>
            <w:r/>
            <w:r>
              <w:rPr>
                <w:sz w:val="15"/>
              </w:rPr>
              <w:t>node:22-slim + Chromium apt packages + npm install --omit=dev</w:t>
            </w:r>
          </w:p>
        </w:tc>
        <w:tc>
          <w:tcPr>
            <w:tcW w:type="dxa" w:w="1440"/>
          </w:tcPr>
          <w:p>
            <w:pPr>
              <w:spacing w:after="0"/>
            </w:pPr>
            <w:r/>
            <w:r>
              <w:rPr>
                <w:sz w:val="15"/>
              </w:rPr>
              <w:t>node</w:t>
            </w:r>
          </w:p>
        </w:tc>
        <w:tc>
          <w:tcPr>
            <w:tcW w:type="dxa" w:w="1728"/>
          </w:tcPr>
          <w:p>
            <w:pPr>
              <w:spacing w:after="0"/>
            </w:pPr>
            <w:r/>
            <w:r>
              <w:rPr>
                <w:sz w:val="15"/>
              </w:rPr>
              <w:t>none</w:t>
            </w:r>
          </w:p>
        </w:tc>
      </w:tr>
    </w:tbl>
    <w:p>
      <w:pPr>
        <w:spacing w:after="200"/>
      </w:pPr>
      <w:r>
        <w:rPr>
          <w:i/>
          <w:color w:val="555F6D"/>
          <w:sz w:val="17"/>
        </w:rPr>
        <w:t>Table 87. Image construction</w:t>
      </w:r>
    </w:p>
    <w:p>
      <w:bookmarkStart w:id="1306" w:name="_Toc1306"/>
      <w:pPr>
        <w:pStyle w:val="Heading2"/>
      </w:pPr>
      <w:r>
        <w:t>28.4 Resource allocation</w:t>
      </w:r>
      <w:bookmarkEnd w:id="1306"/>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8208" w:type="dxa"/>
      </w:tblPr>
      <w:tblGrid>
        <w:gridCol w:w="2412"/>
        <w:gridCol w:w="2412"/>
        <w:gridCol w:w="2412"/>
        <w:gridCol w:w="2412"/>
      </w:tblGrid>
      <w:tr>
        <w:trPr>
          <w:tblHeader w:val="true"/>
        </w:trPr>
        <w:tc>
          <w:tcPr>
            <w:tcW w:type="dxa" w:w="2160"/>
            <w:shd w:val="clear" w:color="auto" w:fill="1F3A5F"/>
          </w:tcPr>
          <w:p>
            <w:pPr>
              <w:spacing w:after="0"/>
            </w:pPr>
            <w:r/>
            <w:r>
              <w:rPr>
                <w:b/>
                <w:color w:val="FFFFFF"/>
                <w:sz w:val="16"/>
              </w:rPr>
              <w:t>Service</w:t>
            </w:r>
          </w:p>
        </w:tc>
        <w:tc>
          <w:tcPr>
            <w:tcW w:type="dxa" w:w="1728"/>
            <w:shd w:val="clear" w:color="auto" w:fill="1F3A5F"/>
          </w:tcPr>
          <w:p>
            <w:pPr>
              <w:spacing w:after="0"/>
            </w:pPr>
            <w:r/>
            <w:r>
              <w:rPr>
                <w:b/>
                <w:color w:val="FFFFFF"/>
                <w:sz w:val="16"/>
              </w:rPr>
              <w:t>CPU limit</w:t>
            </w:r>
          </w:p>
        </w:tc>
        <w:tc>
          <w:tcPr>
            <w:tcW w:type="dxa" w:w="2160"/>
            <w:shd w:val="clear" w:color="auto" w:fill="1F3A5F"/>
          </w:tcPr>
          <w:p>
            <w:pPr>
              <w:spacing w:after="0"/>
            </w:pPr>
            <w:r/>
            <w:r>
              <w:rPr>
                <w:b/>
                <w:color w:val="FFFFFF"/>
                <w:sz w:val="16"/>
              </w:rPr>
              <w:t>Memory limit</w:t>
            </w:r>
          </w:p>
        </w:tc>
        <w:tc>
          <w:tcPr>
            <w:tcW w:type="dxa" w:w="2160"/>
            <w:shd w:val="clear" w:color="auto" w:fill="1F3A5F"/>
          </w:tcPr>
          <w:p>
            <w:pPr>
              <w:spacing w:after="0"/>
            </w:pPr>
            <w:r/>
            <w:r>
              <w:rPr>
                <w:b/>
                <w:color w:val="FFFFFF"/>
                <w:sz w:val="16"/>
              </w:rPr>
              <w:t>Memory reservation</w:t>
            </w:r>
          </w:p>
        </w:tc>
      </w:tr>
      <w:tr>
        <w:trPr>
          <w:cantSplit/>
        </w:trPr>
        <w:tc>
          <w:tcPr>
            <w:tcW w:type="dxa" w:w="2160"/>
          </w:tcPr>
          <w:p>
            <w:pPr>
              <w:spacing w:after="0"/>
            </w:pPr>
            <w:r/>
            <w:r>
              <w:rPr>
                <w:sz w:val="16"/>
              </w:rPr>
              <w:t>erp</w:t>
            </w:r>
          </w:p>
        </w:tc>
        <w:tc>
          <w:tcPr>
            <w:tcW w:type="dxa" w:w="1728"/>
          </w:tcPr>
          <w:p>
            <w:pPr>
              <w:spacing w:after="0"/>
            </w:pPr>
            <w:r/>
            <w:r>
              <w:rPr>
                <w:sz w:val="16"/>
              </w:rPr>
              <w:t>0.50</w:t>
            </w:r>
          </w:p>
        </w:tc>
        <w:tc>
          <w:tcPr>
            <w:tcW w:type="dxa" w:w="2160"/>
          </w:tcPr>
          <w:p>
            <w:pPr>
              <w:spacing w:after="0"/>
            </w:pPr>
            <w:r/>
            <w:r>
              <w:rPr>
                <w:sz w:val="16"/>
              </w:rPr>
              <w:t>128M</w:t>
            </w:r>
          </w:p>
        </w:tc>
        <w:tc>
          <w:tcPr>
            <w:tcW w:type="dxa" w:w="2160"/>
          </w:tcPr>
          <w:p>
            <w:pPr>
              <w:spacing w:after="0"/>
            </w:pPr>
            <w:r/>
            <w:r>
              <w:rPr>
                <w:sz w:val="16"/>
              </w:rPr>
              <w:t>—</w:t>
            </w:r>
          </w:p>
        </w:tc>
      </w:tr>
      <w:tr>
        <w:trPr>
          <w:cantSplit/>
        </w:trPr>
        <w:tc>
          <w:tcPr>
            <w:tcW w:type="dxa" w:w="2160"/>
          </w:tcPr>
          <w:p>
            <w:pPr>
              <w:spacing w:after="0"/>
            </w:pPr>
            <w:r/>
            <w:r>
              <w:rPr>
                <w:sz w:val="16"/>
              </w:rPr>
              <w:t>b2b</w:t>
            </w:r>
          </w:p>
        </w:tc>
        <w:tc>
          <w:tcPr>
            <w:tcW w:type="dxa" w:w="1728"/>
          </w:tcPr>
          <w:p>
            <w:pPr>
              <w:spacing w:after="0"/>
            </w:pPr>
            <w:r/>
            <w:r>
              <w:rPr>
                <w:sz w:val="16"/>
              </w:rPr>
              <w:t>0.80</w:t>
            </w:r>
          </w:p>
        </w:tc>
        <w:tc>
          <w:tcPr>
            <w:tcW w:type="dxa" w:w="2160"/>
          </w:tcPr>
          <w:p>
            <w:pPr>
              <w:spacing w:after="0"/>
            </w:pPr>
            <w:r/>
            <w:r>
              <w:rPr>
                <w:sz w:val="16"/>
              </w:rPr>
              <w:t>512M</w:t>
            </w:r>
          </w:p>
        </w:tc>
        <w:tc>
          <w:tcPr>
            <w:tcW w:type="dxa" w:w="2160"/>
          </w:tcPr>
          <w:p>
            <w:pPr>
              <w:spacing w:after="0"/>
            </w:pPr>
            <w:r/>
            <w:r>
              <w:rPr>
                <w:sz w:val="16"/>
              </w:rPr>
              <w:t>—</w:t>
            </w:r>
          </w:p>
        </w:tc>
      </w:tr>
      <w:tr>
        <w:trPr>
          <w:cantSplit/>
        </w:trPr>
        <w:tc>
          <w:tcPr>
            <w:tcW w:type="dxa" w:w="2160"/>
          </w:tcPr>
          <w:p>
            <w:pPr>
              <w:spacing w:after="0"/>
            </w:pPr>
            <w:r/>
            <w:r>
              <w:rPr>
                <w:sz w:val="16"/>
              </w:rPr>
              <w:t>pos</w:t>
            </w:r>
          </w:p>
        </w:tc>
        <w:tc>
          <w:tcPr>
            <w:tcW w:type="dxa" w:w="1728"/>
          </w:tcPr>
          <w:p>
            <w:pPr>
              <w:spacing w:after="0"/>
            </w:pPr>
            <w:r/>
            <w:r>
              <w:rPr>
                <w:sz w:val="16"/>
              </w:rPr>
              <w:t>0.50</w:t>
            </w:r>
          </w:p>
        </w:tc>
        <w:tc>
          <w:tcPr>
            <w:tcW w:type="dxa" w:w="2160"/>
          </w:tcPr>
          <w:p>
            <w:pPr>
              <w:spacing w:after="0"/>
            </w:pPr>
            <w:r/>
            <w:r>
              <w:rPr>
                <w:sz w:val="16"/>
              </w:rPr>
              <w:t>128M</w:t>
            </w:r>
          </w:p>
        </w:tc>
        <w:tc>
          <w:tcPr>
            <w:tcW w:type="dxa" w:w="2160"/>
          </w:tcPr>
          <w:p>
            <w:pPr>
              <w:spacing w:after="0"/>
            </w:pPr>
            <w:r/>
            <w:r>
              <w:rPr>
                <w:sz w:val="16"/>
              </w:rPr>
              <w:t>—</w:t>
            </w:r>
          </w:p>
        </w:tc>
      </w:tr>
      <w:tr>
        <w:trPr>
          <w:cantSplit/>
        </w:trPr>
        <w:tc>
          <w:tcPr>
            <w:tcW w:type="dxa" w:w="2160"/>
          </w:tcPr>
          <w:p>
            <w:pPr>
              <w:spacing w:after="0"/>
            </w:pPr>
            <w:r/>
            <w:r>
              <w:rPr>
                <w:sz w:val="16"/>
              </w:rPr>
              <w:t>backend</w:t>
            </w:r>
          </w:p>
        </w:tc>
        <w:tc>
          <w:tcPr>
            <w:tcW w:type="dxa" w:w="1728"/>
          </w:tcPr>
          <w:p>
            <w:pPr>
              <w:spacing w:after="0"/>
            </w:pPr>
            <w:r/>
            <w:r>
              <w:rPr>
                <w:sz w:val="16"/>
              </w:rPr>
              <w:t>1.00</w:t>
            </w:r>
          </w:p>
        </w:tc>
        <w:tc>
          <w:tcPr>
            <w:tcW w:type="dxa" w:w="2160"/>
          </w:tcPr>
          <w:p>
            <w:pPr>
              <w:spacing w:after="0"/>
            </w:pPr>
            <w:r/>
            <w:r>
              <w:rPr>
                <w:sz w:val="16"/>
              </w:rPr>
              <w:t>768M</w:t>
            </w:r>
          </w:p>
        </w:tc>
        <w:tc>
          <w:tcPr>
            <w:tcW w:type="dxa" w:w="2160"/>
          </w:tcPr>
          <w:p>
            <w:pPr>
              <w:spacing w:after="0"/>
            </w:pPr>
            <w:r/>
            <w:r>
              <w:rPr>
                <w:sz w:val="16"/>
              </w:rPr>
              <w:t>—</w:t>
            </w:r>
          </w:p>
        </w:tc>
      </w:tr>
      <w:tr>
        <w:trPr>
          <w:cantSplit/>
        </w:trPr>
        <w:tc>
          <w:tcPr>
            <w:tcW w:type="dxa" w:w="2160"/>
          </w:tcPr>
          <w:p>
            <w:pPr>
              <w:spacing w:after="0"/>
            </w:pPr>
            <w:r/>
            <w:r>
              <w:rPr>
                <w:sz w:val="16"/>
              </w:rPr>
              <w:t>nextreport</w:t>
            </w:r>
          </w:p>
        </w:tc>
        <w:tc>
          <w:tcPr>
            <w:tcW w:type="dxa" w:w="1728"/>
          </w:tcPr>
          <w:p>
            <w:pPr>
              <w:spacing w:after="0"/>
            </w:pPr>
            <w:r/>
            <w:r>
              <w:rPr>
                <w:sz w:val="16"/>
              </w:rPr>
              <w:t>0.80</w:t>
            </w:r>
          </w:p>
        </w:tc>
        <w:tc>
          <w:tcPr>
            <w:tcW w:type="dxa" w:w="2160"/>
          </w:tcPr>
          <w:p>
            <w:pPr>
              <w:spacing w:after="0"/>
            </w:pPr>
            <w:r/>
            <w:r>
              <w:rPr>
                <w:sz w:val="16"/>
              </w:rPr>
              <w:t>512M</w:t>
            </w:r>
          </w:p>
        </w:tc>
        <w:tc>
          <w:tcPr>
            <w:tcW w:type="dxa" w:w="2160"/>
          </w:tcPr>
          <w:p>
            <w:pPr>
              <w:spacing w:after="0"/>
            </w:pPr>
            <w:r/>
            <w:r>
              <w:rPr>
                <w:sz w:val="16"/>
              </w:rPr>
              <w:t>—</w:t>
            </w:r>
          </w:p>
        </w:tc>
      </w:tr>
      <w:tr>
        <w:trPr>
          <w:cantSplit/>
        </w:trPr>
        <w:tc>
          <w:tcPr>
            <w:tcW w:type="dxa" w:w="2160"/>
          </w:tcPr>
          <w:p>
            <w:pPr>
              <w:spacing w:after="0"/>
            </w:pPr>
            <w:r/>
            <w:r>
              <w:rPr>
                <w:sz w:val="16"/>
              </w:rPr>
              <w:t>postgres</w:t>
            </w:r>
          </w:p>
        </w:tc>
        <w:tc>
          <w:tcPr>
            <w:tcW w:type="dxa" w:w="1728"/>
          </w:tcPr>
          <w:p>
            <w:pPr>
              <w:spacing w:after="0"/>
            </w:pPr>
            <w:r/>
            <w:r>
              <w:rPr>
                <w:sz w:val="16"/>
              </w:rPr>
              <w:t>1.00</w:t>
            </w:r>
          </w:p>
        </w:tc>
        <w:tc>
          <w:tcPr>
            <w:tcW w:type="dxa" w:w="2160"/>
          </w:tcPr>
          <w:p>
            <w:pPr>
              <w:spacing w:after="0"/>
            </w:pPr>
            <w:r/>
            <w:r>
              <w:rPr>
                <w:sz w:val="16"/>
              </w:rPr>
              <w:t>1024M</w:t>
            </w:r>
          </w:p>
        </w:tc>
        <w:tc>
          <w:tcPr>
            <w:tcW w:type="dxa" w:w="2160"/>
          </w:tcPr>
          <w:p>
            <w:pPr>
              <w:spacing w:after="0"/>
            </w:pPr>
            <w:r/>
            <w:r>
              <w:rPr>
                <w:sz w:val="16"/>
              </w:rPr>
              <w:t>—</w:t>
            </w:r>
          </w:p>
        </w:tc>
      </w:tr>
      <w:tr>
        <w:trPr>
          <w:cantSplit/>
        </w:trPr>
        <w:tc>
          <w:tcPr>
            <w:tcW w:type="dxa" w:w="2160"/>
          </w:tcPr>
          <w:p>
            <w:pPr>
              <w:spacing w:after="0"/>
            </w:pPr>
            <w:r/>
            <w:r>
              <w:rPr>
                <w:sz w:val="16"/>
              </w:rPr>
              <w:t>redis</w:t>
            </w:r>
          </w:p>
        </w:tc>
        <w:tc>
          <w:tcPr>
            <w:tcW w:type="dxa" w:w="1728"/>
          </w:tcPr>
          <w:p>
            <w:pPr>
              <w:spacing w:after="0"/>
            </w:pPr>
            <w:r/>
            <w:r>
              <w:rPr>
                <w:sz w:val="16"/>
              </w:rPr>
              <w:t>0.20</w:t>
            </w:r>
          </w:p>
        </w:tc>
        <w:tc>
          <w:tcPr>
            <w:tcW w:type="dxa" w:w="2160"/>
          </w:tcPr>
          <w:p>
            <w:pPr>
              <w:spacing w:after="0"/>
            </w:pPr>
            <w:r/>
            <w:r>
              <w:rPr>
                <w:sz w:val="16"/>
              </w:rPr>
              <w:t>128M</w:t>
            </w:r>
          </w:p>
        </w:tc>
        <w:tc>
          <w:tcPr>
            <w:tcW w:type="dxa" w:w="2160"/>
          </w:tcPr>
          <w:p>
            <w:pPr>
              <w:spacing w:after="0"/>
            </w:pPr>
            <w:r/>
            <w:r>
              <w:rPr>
                <w:sz w:val="16"/>
              </w:rPr>
              <w:t>—</w:t>
            </w:r>
          </w:p>
        </w:tc>
      </w:tr>
    </w:tbl>
    <w:p>
      <w:pPr>
        <w:spacing w:after="200"/>
      </w:pPr>
      <w:r>
        <w:rPr>
          <w:i/>
          <w:color w:val="555F6D"/>
          <w:sz w:val="17"/>
        </w:rPr>
        <w:t>Table 88. Configured limits (sum of memory limits ≈ 3.2 GB on an 8 GB host)</w:t>
      </w:r>
    </w:p>
    <w:p>
      <w:pPr>
        <w:spacing w:after="160"/>
        <w:ind w:left="216"/>
        <w:pBdr>
          <w:left w:val="single" w:sz="18" w:space="6" w:color="1F4E79"/>
        </w:pBdr>
      </w:pPr>
      <w:r>
        <w:rPr>
          <w:b/>
          <w:color w:val="1F4E79"/>
          <w:sz w:val="19"/>
        </w:rPr>
        <w:t xml:space="preserve">Configured, not measured: </w:t>
      </w:r>
      <w:r>
        <w:rPr>
          <w:sz w:val="19"/>
        </w:rPr>
        <w:t>These are compose limits and runtime flags. This audit did not measure production RSS, so no claim is made about headroom or OOM risk. docs/performance/baseline.md estimates idle usage but labels the figures as estimates.</w:t>
      </w:r>
    </w:p>
    <w:p>
      <w:bookmarkStart w:id="1307" w:name="_Toc1307"/>
      <w:pPr>
        <w:pStyle w:val="Heading2"/>
      </w:pPr>
      <w:r>
        <w:t>28.5 Reverse proxy</w:t>
      </w:r>
      <w:bookmarkEnd w:id="1307"/>
    </w:p>
    <w:p>
      <w:r>
        <w:rPr>
          <w:i w:val="0"/>
        </w:rPr>
        <w:t>Two proxy layers exist. Inside the ERP and POS containers, nginx re-resolves the backend hostname per request using the container's resolv.conf nameserver (valid=10s), which fixes the stale-IP 502 that a literal proxy_pass causes when the backend container is recreated. Caddy exists only as an optional 'gateway' profile for direct 80/443 serving without Cloudflare.</w:t>
      </w:r>
    </w:p>
    <w:p>
      <w:bookmarkStart w:id="1308" w:name="_Toc1308"/>
      <w:pPr>
        <w:pStyle w:val="Heading1"/>
        <w:pageBreakBefore/>
      </w:pPr>
      <w:r>
        <w:t>29. Cloudflare Tunnel and routing</w:t>
      </w:r>
      <w:bookmarkEnd w:id="1308"/>
    </w:p>
    <w:p>
      <w:r>
        <w:rPr>
          <w:i w:val="0"/>
        </w:rPr>
        <w:t>The public hostname → loopback port mapping is fixed by the deployment contract and repeated in three places: docs/deployment/cloudflare-tunnel.md, the port bindings in infra/containers/compose.prod.yml, and the comments at the top of each service block.</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2592"/>
            <w:shd w:val="clear" w:color="auto" w:fill="1F3A5F"/>
          </w:tcPr>
          <w:p>
            <w:pPr>
              <w:spacing w:after="0"/>
            </w:pPr>
            <w:r/>
            <w:r>
              <w:rPr>
                <w:b/>
                <w:color w:val="FFFFFF"/>
                <w:sz w:val="16"/>
              </w:rPr>
              <w:t>Hostname</w:t>
            </w:r>
          </w:p>
        </w:tc>
        <w:tc>
          <w:tcPr>
            <w:tcW w:type="dxa" w:w="2448"/>
            <w:shd w:val="clear" w:color="auto" w:fill="1F3A5F"/>
          </w:tcPr>
          <w:p>
            <w:pPr>
              <w:spacing w:after="0"/>
            </w:pPr>
            <w:r/>
            <w:r>
              <w:rPr>
                <w:b/>
                <w:color w:val="FFFFFF"/>
                <w:sz w:val="16"/>
              </w:rPr>
              <w:t>Origin</w:t>
            </w:r>
          </w:p>
        </w:tc>
        <w:tc>
          <w:tcPr>
            <w:tcW w:type="dxa" w:w="2736"/>
            <w:shd w:val="clear" w:color="auto" w:fill="1F3A5F"/>
          </w:tcPr>
          <w:p>
            <w:pPr>
              <w:spacing w:after="0"/>
            </w:pPr>
            <w:r/>
            <w:r>
              <w:rPr>
                <w:b/>
                <w:color w:val="FFFFFF"/>
                <w:sz w:val="16"/>
              </w:rPr>
              <w:t>Container</w:t>
            </w:r>
          </w:p>
        </w:tc>
        <w:tc>
          <w:tcPr>
            <w:tcW w:type="dxa" w:w="1584"/>
            <w:shd w:val="clear" w:color="auto" w:fill="1F3A5F"/>
          </w:tcPr>
          <w:p>
            <w:pPr>
              <w:spacing w:after="0"/>
            </w:pPr>
            <w:r/>
            <w:r>
              <w:rPr>
                <w:b/>
                <w:color w:val="FFFFFF"/>
                <w:sz w:val="16"/>
              </w:rPr>
              <w:t>Function</w:t>
            </w:r>
          </w:p>
        </w:tc>
      </w:tr>
      <w:tr>
        <w:trPr>
          <w:cantSplit/>
        </w:trPr>
        <w:tc>
          <w:tcPr>
            <w:tcW w:type="dxa" w:w="2592"/>
          </w:tcPr>
          <w:p>
            <w:pPr>
              <w:spacing w:after="0"/>
            </w:pPr>
            <w:r/>
            <w:r>
              <w:rPr>
                <w:sz w:val="16"/>
              </w:rPr>
              <w:t>erp-km.trl.my.id</w:t>
            </w:r>
          </w:p>
        </w:tc>
        <w:tc>
          <w:tcPr>
            <w:tcW w:type="dxa" w:w="2448"/>
          </w:tcPr>
          <w:p>
            <w:pPr>
              <w:spacing w:after="0"/>
            </w:pPr>
            <w:r/>
            <w:r>
              <w:rPr>
                <w:sz w:val="16"/>
              </w:rPr>
              <w:t>http://127.0.0.1:3001</w:t>
            </w:r>
          </w:p>
        </w:tc>
        <w:tc>
          <w:tcPr>
            <w:tcW w:type="dxa" w:w="2736"/>
          </w:tcPr>
          <w:p>
            <w:pPr>
              <w:spacing w:after="0"/>
            </w:pPr>
            <w:r/>
            <w:r>
              <w:rPr>
                <w:sz w:val="16"/>
              </w:rPr>
              <w:t>keluargamart-erp:8080</w:t>
            </w:r>
          </w:p>
        </w:tc>
        <w:tc>
          <w:tcPr>
            <w:tcW w:type="dxa" w:w="1584"/>
          </w:tcPr>
          <w:p>
            <w:pPr>
              <w:spacing w:after="0"/>
            </w:pPr>
            <w:r/>
            <w:r>
              <w:rPr>
                <w:sz w:val="16"/>
              </w:rPr>
              <w:t>Back-office ERP SPA</w:t>
            </w:r>
          </w:p>
        </w:tc>
      </w:tr>
      <w:tr>
        <w:trPr>
          <w:cantSplit/>
        </w:trPr>
        <w:tc>
          <w:tcPr>
            <w:tcW w:type="dxa" w:w="2592"/>
          </w:tcPr>
          <w:p>
            <w:pPr>
              <w:spacing w:after="0"/>
            </w:pPr>
            <w:r/>
            <w:r>
              <w:rPr>
                <w:sz w:val="16"/>
              </w:rPr>
              <w:t>b2b-km.trl.my.id</w:t>
            </w:r>
          </w:p>
        </w:tc>
        <w:tc>
          <w:tcPr>
            <w:tcW w:type="dxa" w:w="2448"/>
          </w:tcPr>
          <w:p>
            <w:pPr>
              <w:spacing w:after="0"/>
            </w:pPr>
            <w:r/>
            <w:r>
              <w:rPr>
                <w:sz w:val="16"/>
              </w:rPr>
              <w:t>http://127.0.0.1:3002</w:t>
            </w:r>
          </w:p>
        </w:tc>
        <w:tc>
          <w:tcPr>
            <w:tcW w:type="dxa" w:w="2736"/>
          </w:tcPr>
          <w:p>
            <w:pPr>
              <w:spacing w:after="0"/>
            </w:pPr>
            <w:r/>
            <w:r>
              <w:rPr>
                <w:sz w:val="16"/>
              </w:rPr>
              <w:t>keluargamart-b2b:3000</w:t>
            </w:r>
          </w:p>
        </w:tc>
        <w:tc>
          <w:tcPr>
            <w:tcW w:type="dxa" w:w="1584"/>
          </w:tcPr>
          <w:p>
            <w:pPr>
              <w:spacing w:after="0"/>
            </w:pPr>
            <w:r/>
            <w:r>
              <w:rPr>
                <w:sz w:val="16"/>
              </w:rPr>
              <w:t>B2B storefront (SSR)</w:t>
            </w:r>
          </w:p>
        </w:tc>
      </w:tr>
      <w:tr>
        <w:trPr>
          <w:cantSplit/>
        </w:trPr>
        <w:tc>
          <w:tcPr>
            <w:tcW w:type="dxa" w:w="2592"/>
          </w:tcPr>
          <w:p>
            <w:pPr>
              <w:spacing w:after="0"/>
            </w:pPr>
            <w:r/>
            <w:r>
              <w:rPr>
                <w:sz w:val="16"/>
              </w:rPr>
              <w:t>pos-km.trl.my.id</w:t>
            </w:r>
          </w:p>
        </w:tc>
        <w:tc>
          <w:tcPr>
            <w:tcW w:type="dxa" w:w="2448"/>
          </w:tcPr>
          <w:p>
            <w:pPr>
              <w:spacing w:after="0"/>
            </w:pPr>
            <w:r/>
            <w:r>
              <w:rPr>
                <w:sz w:val="16"/>
              </w:rPr>
              <w:t>http://127.0.0.1:3003</w:t>
            </w:r>
          </w:p>
        </w:tc>
        <w:tc>
          <w:tcPr>
            <w:tcW w:type="dxa" w:w="2736"/>
          </w:tcPr>
          <w:p>
            <w:pPr>
              <w:spacing w:after="0"/>
            </w:pPr>
            <w:r/>
            <w:r>
              <w:rPr>
                <w:sz w:val="16"/>
              </w:rPr>
              <w:t>keluargamart-pos:8080</w:t>
            </w:r>
          </w:p>
        </w:tc>
        <w:tc>
          <w:tcPr>
            <w:tcW w:type="dxa" w:w="1584"/>
          </w:tcPr>
          <w:p>
            <w:pPr>
              <w:spacing w:after="0"/>
            </w:pPr>
            <w:r/>
            <w:r>
              <w:rPr>
                <w:sz w:val="16"/>
              </w:rPr>
              <w:t>POS register SPA</w:t>
            </w:r>
          </w:p>
        </w:tc>
      </w:tr>
      <w:tr>
        <w:trPr>
          <w:cantSplit/>
        </w:trPr>
        <w:tc>
          <w:tcPr>
            <w:tcW w:type="dxa" w:w="2592"/>
          </w:tcPr>
          <w:p>
            <w:pPr>
              <w:spacing w:after="0"/>
            </w:pPr>
            <w:r/>
            <w:r>
              <w:rPr>
                <w:sz w:val="16"/>
              </w:rPr>
              <w:t>api-km.trl.my.id</w:t>
            </w:r>
          </w:p>
        </w:tc>
        <w:tc>
          <w:tcPr>
            <w:tcW w:type="dxa" w:w="2448"/>
          </w:tcPr>
          <w:p>
            <w:pPr>
              <w:spacing w:after="0"/>
            </w:pPr>
            <w:r/>
            <w:r>
              <w:rPr>
                <w:sz w:val="16"/>
              </w:rPr>
              <w:t>http://127.0.0.1:3004</w:t>
            </w:r>
          </w:p>
        </w:tc>
        <w:tc>
          <w:tcPr>
            <w:tcW w:type="dxa" w:w="2736"/>
          </w:tcPr>
          <w:p>
            <w:pPr>
              <w:spacing w:after="0"/>
            </w:pPr>
            <w:r/>
            <w:r>
              <w:rPr>
                <w:sz w:val="16"/>
              </w:rPr>
              <w:t>keluargamart-backend:8080</w:t>
            </w:r>
          </w:p>
        </w:tc>
        <w:tc>
          <w:tcPr>
            <w:tcW w:type="dxa" w:w="1584"/>
          </w:tcPr>
          <w:p>
            <w:pPr>
              <w:spacing w:after="0"/>
            </w:pPr>
            <w:r/>
            <w:r>
              <w:rPr>
                <w:sz w:val="16"/>
              </w:rPr>
              <w:t>REST API</w:t>
            </w:r>
          </w:p>
        </w:tc>
      </w:tr>
    </w:tbl>
    <w:p>
      <w:pPr>
        <w:spacing w:after="200"/>
      </w:pPr>
      <w:r>
        <w:rPr>
          <w:i/>
          <w:color w:val="555F6D"/>
          <w:sz w:val="17"/>
        </w:rPr>
        <w:t>Table 89. Tunnel ingress mapping (documented contract; not read from a live config)</w:t>
      </w:r>
    </w:p>
    <w:p>
      <w:pPr>
        <w:spacing w:after="160"/>
        <w:ind w:left="216"/>
        <w:pBdr>
          <w:left w:val="single" w:sz="18" w:space="6" w:color="555F6D"/>
        </w:pBdr>
      </w:pPr>
      <w:r>
        <w:rPr>
          <w:b/>
          <w:color w:val="555F6D"/>
          <w:sz w:val="19"/>
        </w:rPr>
        <w:t xml:space="preserve">Verification limits: </w:t>
      </w:r>
      <w:r>
        <w:rPr>
          <w:sz w:val="19"/>
        </w:rPr>
        <w:t>The cloudflared configuration file is deliberately not committed, so this mapping is documented intention. It is consistent with the compose port bindings and with the hostname defaults in the backend config (B2B_BASE_URL, PUBLIC_API_BASE_URL). No live tunnel was inspected.</w:t>
      </w:r>
    </w:p>
    <w:p>
      <w:r>
        <w:rPr>
          <w:i w:val="0"/>
        </w:rPr>
        <w:t>The agent runs as a host systemd unit (systemctl status cloudflared), not as a container, so it can reach the loopback bindings directly. Because the origin is 127.0.0.1, the container network namespace is irrelevant to ingress: the tunnel talks to the host's loopback, and the host's published ports forward into the container network.</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1728"/>
            <w:shd w:val="clear" w:color="auto" w:fill="1F3A5F"/>
          </w:tcPr>
          <w:p>
            <w:pPr>
              <w:spacing w:after="0"/>
            </w:pPr>
            <w:r/>
            <w:r>
              <w:rPr>
                <w:b/>
                <w:color w:val="FFFFFF"/>
                <w:sz w:val="16"/>
              </w:rPr>
              <w:t>Check</w:t>
            </w:r>
          </w:p>
        </w:tc>
        <w:tc>
          <w:tcPr>
            <w:tcW w:type="dxa" w:w="5184"/>
            <w:shd w:val="clear" w:color="auto" w:fill="1F3A5F"/>
          </w:tcPr>
          <w:p>
            <w:pPr>
              <w:spacing w:after="0"/>
            </w:pPr>
            <w:r/>
            <w:r>
              <w:rPr>
                <w:b/>
                <w:color w:val="FFFFFF"/>
                <w:sz w:val="16"/>
              </w:rPr>
              <w:t>Command</w:t>
            </w:r>
          </w:p>
        </w:tc>
        <w:tc>
          <w:tcPr>
            <w:tcW w:type="dxa" w:w="2448"/>
            <w:shd w:val="clear" w:color="auto" w:fill="1F3A5F"/>
          </w:tcPr>
          <w:p>
            <w:pPr>
              <w:spacing w:after="0"/>
            </w:pPr>
            <w:r/>
            <w:r>
              <w:rPr>
                <w:b/>
                <w:color w:val="FFFFFF"/>
                <w:sz w:val="16"/>
              </w:rPr>
              <w:t>Expected</w:t>
            </w:r>
          </w:p>
        </w:tc>
      </w:tr>
      <w:tr>
        <w:trPr>
          <w:cantSplit/>
        </w:trPr>
        <w:tc>
          <w:tcPr>
            <w:tcW w:type="dxa" w:w="1728"/>
          </w:tcPr>
          <w:p>
            <w:pPr>
              <w:spacing w:after="0"/>
            </w:pPr>
            <w:r/>
            <w:r>
              <w:rPr>
                <w:sz w:val="16"/>
              </w:rPr>
              <w:t>Listeners</w:t>
            </w:r>
          </w:p>
        </w:tc>
        <w:tc>
          <w:tcPr>
            <w:tcW w:type="dxa" w:w="5184"/>
          </w:tcPr>
          <w:p>
            <w:pPr>
              <w:spacing w:after="0"/>
            </w:pPr>
            <w:r/>
            <w:r>
              <w:rPr>
                <w:sz w:val="16"/>
              </w:rPr>
              <w:t>ss -tulpn | grep -E '3001|3002|3003|3004'</w:t>
            </w:r>
          </w:p>
        </w:tc>
        <w:tc>
          <w:tcPr>
            <w:tcW w:type="dxa" w:w="2448"/>
          </w:tcPr>
          <w:p>
            <w:pPr>
              <w:spacing w:after="0"/>
            </w:pPr>
            <w:r/>
            <w:r>
              <w:rPr>
                <w:sz w:val="16"/>
              </w:rPr>
              <w:t>Four 127.0.0.1 listeners</w:t>
            </w:r>
          </w:p>
        </w:tc>
      </w:tr>
      <w:tr>
        <w:trPr>
          <w:cantSplit/>
        </w:trPr>
        <w:tc>
          <w:tcPr>
            <w:tcW w:type="dxa" w:w="1728"/>
          </w:tcPr>
          <w:p>
            <w:pPr>
              <w:spacing w:after="0"/>
            </w:pPr>
            <w:r/>
            <w:r>
              <w:rPr>
                <w:sz w:val="16"/>
              </w:rPr>
              <w:t>ERP</w:t>
            </w:r>
          </w:p>
        </w:tc>
        <w:tc>
          <w:tcPr>
            <w:tcW w:type="dxa" w:w="5184"/>
          </w:tcPr>
          <w:p>
            <w:pPr>
              <w:spacing w:after="0"/>
            </w:pPr>
            <w:r/>
            <w:r>
              <w:rPr>
                <w:sz w:val="16"/>
              </w:rPr>
              <w:t>curl -I http://127.0.0.1:3001</w:t>
            </w:r>
          </w:p>
        </w:tc>
        <w:tc>
          <w:tcPr>
            <w:tcW w:type="dxa" w:w="2448"/>
          </w:tcPr>
          <w:p>
            <w:pPr>
              <w:spacing w:after="0"/>
            </w:pPr>
            <w:r/>
            <w:r>
              <w:rPr>
                <w:sz w:val="16"/>
              </w:rPr>
              <w:t>200</w:t>
            </w:r>
          </w:p>
        </w:tc>
      </w:tr>
      <w:tr>
        <w:trPr>
          <w:cantSplit/>
        </w:trPr>
        <w:tc>
          <w:tcPr>
            <w:tcW w:type="dxa" w:w="1728"/>
          </w:tcPr>
          <w:p>
            <w:pPr>
              <w:spacing w:after="0"/>
            </w:pPr>
            <w:r/>
            <w:r>
              <w:rPr>
                <w:sz w:val="16"/>
              </w:rPr>
              <w:t>B2B</w:t>
            </w:r>
          </w:p>
        </w:tc>
        <w:tc>
          <w:tcPr>
            <w:tcW w:type="dxa" w:w="5184"/>
          </w:tcPr>
          <w:p>
            <w:pPr>
              <w:spacing w:after="0"/>
            </w:pPr>
            <w:r/>
            <w:r>
              <w:rPr>
                <w:sz w:val="16"/>
              </w:rPr>
              <w:t>curl -I http://127.0.0.1:3002</w:t>
            </w:r>
          </w:p>
        </w:tc>
        <w:tc>
          <w:tcPr>
            <w:tcW w:type="dxa" w:w="2448"/>
          </w:tcPr>
          <w:p>
            <w:pPr>
              <w:spacing w:after="0"/>
            </w:pPr>
            <w:r/>
            <w:r>
              <w:rPr>
                <w:sz w:val="16"/>
              </w:rPr>
              <w:t>200</w:t>
            </w:r>
          </w:p>
        </w:tc>
      </w:tr>
      <w:tr>
        <w:trPr>
          <w:cantSplit/>
        </w:trPr>
        <w:tc>
          <w:tcPr>
            <w:tcW w:type="dxa" w:w="1728"/>
          </w:tcPr>
          <w:p>
            <w:pPr>
              <w:spacing w:after="0"/>
            </w:pPr>
            <w:r/>
            <w:r>
              <w:rPr>
                <w:sz w:val="16"/>
              </w:rPr>
              <w:t>POS</w:t>
            </w:r>
          </w:p>
        </w:tc>
        <w:tc>
          <w:tcPr>
            <w:tcW w:type="dxa" w:w="5184"/>
          </w:tcPr>
          <w:p>
            <w:pPr>
              <w:spacing w:after="0"/>
            </w:pPr>
            <w:r/>
            <w:r>
              <w:rPr>
                <w:sz w:val="16"/>
              </w:rPr>
              <w:t>curl -I http://127.0.0.1:3003</w:t>
            </w:r>
          </w:p>
        </w:tc>
        <w:tc>
          <w:tcPr>
            <w:tcW w:type="dxa" w:w="2448"/>
          </w:tcPr>
          <w:p>
            <w:pPr>
              <w:spacing w:after="0"/>
            </w:pPr>
            <w:r/>
            <w:r>
              <w:rPr>
                <w:sz w:val="16"/>
              </w:rPr>
              <w:t>200</w:t>
            </w:r>
          </w:p>
        </w:tc>
      </w:tr>
      <w:tr>
        <w:trPr>
          <w:cantSplit/>
        </w:trPr>
        <w:tc>
          <w:tcPr>
            <w:tcW w:type="dxa" w:w="1728"/>
          </w:tcPr>
          <w:p>
            <w:pPr>
              <w:spacing w:after="0"/>
            </w:pPr>
            <w:r/>
            <w:r>
              <w:rPr>
                <w:sz w:val="16"/>
              </w:rPr>
              <w:t>API</w:t>
            </w:r>
          </w:p>
        </w:tc>
        <w:tc>
          <w:tcPr>
            <w:tcW w:type="dxa" w:w="5184"/>
          </w:tcPr>
          <w:p>
            <w:pPr>
              <w:spacing w:after="0"/>
            </w:pPr>
            <w:r/>
            <w:r>
              <w:rPr>
                <w:sz w:val="16"/>
              </w:rPr>
              <w:t>curl http://127.0.0.1:3004/health</w:t>
            </w:r>
          </w:p>
        </w:tc>
        <w:tc>
          <w:tcPr>
            <w:tcW w:type="dxa" w:w="2448"/>
          </w:tcPr>
          <w:p>
            <w:pPr>
              <w:spacing w:after="0"/>
            </w:pPr>
            <w:r/>
            <w:r>
              <w:rPr>
                <w:sz w:val="16"/>
              </w:rPr>
              <w:t>{"status":"ok","env":"…"}</w:t>
            </w:r>
          </w:p>
        </w:tc>
      </w:tr>
      <w:tr>
        <w:trPr>
          <w:cantSplit/>
        </w:trPr>
        <w:tc>
          <w:tcPr>
            <w:tcW w:type="dxa" w:w="1728"/>
          </w:tcPr>
          <w:p>
            <w:pPr>
              <w:spacing w:after="0"/>
            </w:pPr>
            <w:r/>
            <w:r>
              <w:rPr>
                <w:sz w:val="16"/>
              </w:rPr>
              <w:t>Agent</w:t>
            </w:r>
          </w:p>
        </w:tc>
        <w:tc>
          <w:tcPr>
            <w:tcW w:type="dxa" w:w="5184"/>
          </w:tcPr>
          <w:p>
            <w:pPr>
              <w:spacing w:after="0"/>
            </w:pPr>
            <w:r/>
            <w:r>
              <w:rPr>
                <w:sz w:val="16"/>
              </w:rPr>
              <w:t>systemctl status cloudflared / journalctl -u cloudflared -f</w:t>
            </w:r>
          </w:p>
        </w:tc>
        <w:tc>
          <w:tcPr>
            <w:tcW w:type="dxa" w:w="2448"/>
          </w:tcPr>
          <w:p>
            <w:pPr>
              <w:spacing w:after="0"/>
            </w:pPr>
            <w:r/>
            <w:r>
              <w:rPr>
                <w:sz w:val="16"/>
              </w:rPr>
              <w:t>Connected, no 502s</w:t>
            </w:r>
          </w:p>
        </w:tc>
      </w:tr>
    </w:tbl>
    <w:p>
      <w:pPr>
        <w:spacing w:after="200"/>
      </w:pPr>
      <w:r>
        <w:rPr>
          <w:i/>
          <w:color w:val="555F6D"/>
          <w:sz w:val="17"/>
        </w:rPr>
        <w:t>Table 90. Ingress verification commands</w:t>
      </w:r>
    </w:p>
    <w:p>
      <w:bookmarkStart w:id="1309" w:name="_Toc1309"/>
      <w:pPr>
        <w:pStyle w:val="Heading1"/>
        <w:pageBreakBefore/>
      </w:pPr>
      <w:r>
        <w:t>30. Logging, monitoring and diagnostics</w:t>
      </w:r>
      <w:bookmarkEnd w:id="1309"/>
    </w:p>
    <w:p>
      <w:pPr>
        <w:keepNext/>
        <w:spacing w:before="80" w:after="40"/>
        <w:jc w:val="center"/>
      </w:pPr>
      <w:r>
        <w:drawing>
          <wp:inline xmlns:a="http://schemas.openxmlformats.org/drawingml/2006/main" xmlns:pic="http://schemas.openxmlformats.org/drawingml/2006/picture">
            <wp:extent cx="6035040" cy="4628121"/>
            <wp:docPr id="30" name="Picture 30"/>
            <wp:cNvGraphicFramePr>
              <a:graphicFrameLocks noChangeAspect="1"/>
            </wp:cNvGraphicFramePr>
            <a:graphic>
              <a:graphicData uri="http://schemas.openxmlformats.org/drawingml/2006/picture">
                <pic:pic>
                  <pic:nvPicPr>
                    <pic:cNvPr id="0" name="fig-observability.png"/>
                    <pic:cNvPicPr/>
                  </pic:nvPicPr>
                  <pic:blipFill>
                    <a:blip r:embed="rId38"/>
                    <a:stretch>
                      <a:fillRect/>
                    </a:stretch>
                  </pic:blipFill>
                  <pic:spPr>
                    <a:xfrm>
                      <a:off x="0" y="0"/>
                      <a:ext cx="6035040" cy="4628121"/>
                    </a:xfrm>
                    <a:prstGeom prst="rect"/>
                  </pic:spPr>
                </pic:pic>
              </a:graphicData>
            </a:graphic>
          </wp:inline>
        </w:drawing>
      </w:r>
    </w:p>
    <w:p>
      <w:pPr>
        <w:spacing w:after="40"/>
        <w:jc w:val="center"/>
      </w:pPr>
      <w:r>
        <w:rPr>
          <w:i/>
          <w:color w:val="555F6D"/>
          <w:sz w:val="17"/>
        </w:rPr>
        <w:t>Figure 30. Observability paths: request logs, audit log, health probes and the report engine health endpoint.</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160"/>
            <w:shd w:val="clear" w:color="auto" w:fill="1F3A5F"/>
          </w:tcPr>
          <w:p>
            <w:pPr>
              <w:spacing w:after="0"/>
            </w:pPr>
            <w:r/>
            <w:r>
              <w:rPr>
                <w:b/>
                <w:color w:val="FFFFFF"/>
                <w:sz w:val="16"/>
              </w:rPr>
              <w:t>Signal</w:t>
            </w:r>
          </w:p>
        </w:tc>
        <w:tc>
          <w:tcPr>
            <w:tcW w:type="dxa" w:w="2304"/>
            <w:shd w:val="clear" w:color="auto" w:fill="1F3A5F"/>
          </w:tcPr>
          <w:p>
            <w:pPr>
              <w:spacing w:after="0"/>
            </w:pPr>
            <w:r/>
            <w:r>
              <w:rPr>
                <w:b/>
                <w:color w:val="FFFFFF"/>
                <w:sz w:val="16"/>
              </w:rPr>
              <w:t>Where</w:t>
            </w:r>
          </w:p>
        </w:tc>
        <w:tc>
          <w:tcPr>
            <w:tcW w:type="dxa" w:w="4896"/>
            <w:shd w:val="clear" w:color="auto" w:fill="1F3A5F"/>
          </w:tcPr>
          <w:p>
            <w:pPr>
              <w:spacing w:after="0"/>
            </w:pPr>
            <w:r/>
            <w:r>
              <w:rPr>
                <w:b/>
                <w:color w:val="FFFFFF"/>
                <w:sz w:val="16"/>
              </w:rPr>
              <w:t>What it tells you</w:t>
            </w:r>
          </w:p>
        </w:tc>
      </w:tr>
      <w:tr>
        <w:trPr>
          <w:cantSplit/>
        </w:trPr>
        <w:tc>
          <w:tcPr>
            <w:tcW w:type="dxa" w:w="2160"/>
          </w:tcPr>
          <w:p>
            <w:pPr>
              <w:spacing w:after="0"/>
            </w:pPr>
            <w:r/>
            <w:r>
              <w:rPr>
                <w:sz w:val="16"/>
              </w:rPr>
              <w:t>Request log</w:t>
            </w:r>
          </w:p>
        </w:tc>
        <w:tc>
          <w:tcPr>
            <w:tcW w:type="dxa" w:w="2304"/>
          </w:tcPr>
          <w:p>
            <w:pPr>
              <w:spacing w:after="0"/>
            </w:pPr>
            <w:r/>
            <w:r>
              <w:rPr>
                <w:sz w:val="16"/>
              </w:rPr>
              <w:t>container stdout (slog)</w:t>
            </w:r>
          </w:p>
        </w:tc>
        <w:tc>
          <w:tcPr>
            <w:tcW w:type="dxa" w:w="4896"/>
          </w:tcPr>
          <w:p>
            <w:pPr>
              <w:spacing w:after="0"/>
            </w:pPr>
            <w:r/>
            <w:r>
              <w:rPr>
                <w:sz w:val="16"/>
              </w:rPr>
              <w:t>method, path, status, bytes, duration, request id</w:t>
            </w:r>
          </w:p>
        </w:tc>
      </w:tr>
      <w:tr>
        <w:trPr>
          <w:cantSplit/>
        </w:trPr>
        <w:tc>
          <w:tcPr>
            <w:tcW w:type="dxa" w:w="2160"/>
          </w:tcPr>
          <w:p>
            <w:pPr>
              <w:spacing w:after="0"/>
            </w:pPr>
            <w:r/>
            <w:r>
              <w:rPr>
                <w:sz w:val="16"/>
              </w:rPr>
              <w:t>X-Request-Id</w:t>
            </w:r>
          </w:p>
        </w:tc>
        <w:tc>
          <w:tcPr>
            <w:tcW w:type="dxa" w:w="2304"/>
          </w:tcPr>
          <w:p>
            <w:pPr>
              <w:spacing w:after="0"/>
            </w:pPr>
            <w:r/>
            <w:r>
              <w:rPr>
                <w:sz w:val="16"/>
              </w:rPr>
              <w:t>response header + error envelope</w:t>
            </w:r>
          </w:p>
        </w:tc>
        <w:tc>
          <w:tcPr>
            <w:tcW w:type="dxa" w:w="4896"/>
          </w:tcPr>
          <w:p>
            <w:pPr>
              <w:spacing w:after="0"/>
            </w:pPr>
            <w:r/>
            <w:r>
              <w:rPr>
                <w:sz w:val="16"/>
              </w:rPr>
              <w:t>correlates a user report with a log line</w:t>
            </w:r>
          </w:p>
        </w:tc>
      </w:tr>
      <w:tr>
        <w:trPr>
          <w:cantSplit/>
        </w:trPr>
        <w:tc>
          <w:tcPr>
            <w:tcW w:type="dxa" w:w="2160"/>
          </w:tcPr>
          <w:p>
            <w:pPr>
              <w:spacing w:after="0"/>
            </w:pPr>
            <w:r/>
            <w:r>
              <w:rPr>
                <w:sz w:val="16"/>
              </w:rPr>
              <w:t>/health</w:t>
            </w:r>
          </w:p>
        </w:tc>
        <w:tc>
          <w:tcPr>
            <w:tcW w:type="dxa" w:w="2304"/>
          </w:tcPr>
          <w:p>
            <w:pPr>
              <w:spacing w:after="0"/>
            </w:pPr>
            <w:r/>
            <w:r>
              <w:rPr>
                <w:sz w:val="16"/>
              </w:rPr>
              <w:t>backend</w:t>
            </w:r>
          </w:p>
        </w:tc>
        <w:tc>
          <w:tcPr>
            <w:tcW w:type="dxa" w:w="4896"/>
          </w:tcPr>
          <w:p>
            <w:pPr>
              <w:spacing w:after="0"/>
            </w:pPr>
            <w:r/>
            <w:r>
              <w:rPr>
                <w:sz w:val="16"/>
              </w:rPr>
              <w:t>{status, env}; always 200 while the process lives</w:t>
            </w:r>
          </w:p>
        </w:tc>
      </w:tr>
      <w:tr>
        <w:trPr>
          <w:cantSplit/>
        </w:trPr>
        <w:tc>
          <w:tcPr>
            <w:tcW w:type="dxa" w:w="2160"/>
          </w:tcPr>
          <w:p>
            <w:pPr>
              <w:spacing w:after="0"/>
            </w:pPr>
            <w:r/>
            <w:r>
              <w:rPr>
                <w:sz w:val="16"/>
              </w:rPr>
              <w:t>/ready</w:t>
            </w:r>
          </w:p>
        </w:tc>
        <w:tc>
          <w:tcPr>
            <w:tcW w:type="dxa" w:w="2304"/>
          </w:tcPr>
          <w:p>
            <w:pPr>
              <w:spacing w:after="0"/>
            </w:pPr>
            <w:r/>
            <w:r>
              <w:rPr>
                <w:sz w:val="16"/>
              </w:rPr>
              <w:t>backend</w:t>
            </w:r>
          </w:p>
        </w:tc>
        <w:tc>
          <w:tcPr>
            <w:tcW w:type="dxa" w:w="4896"/>
          </w:tcPr>
          <w:p>
            <w:pPr>
              <w:spacing w:after="0"/>
            </w:pPr>
            <w:r/>
            <w:r>
              <w:rPr>
                <w:sz w:val="16"/>
              </w:rPr>
              <w:t>{database, redis, status}; 503 when a dependency is down</w:t>
            </w:r>
          </w:p>
        </w:tc>
      </w:tr>
      <w:tr>
        <w:trPr>
          <w:cantSplit/>
        </w:trPr>
        <w:tc>
          <w:tcPr>
            <w:tcW w:type="dxa" w:w="2160"/>
          </w:tcPr>
          <w:p>
            <w:pPr>
              <w:spacing w:after="0"/>
            </w:pPr>
            <w:r/>
            <w:r>
              <w:rPr>
                <w:sz w:val="16"/>
              </w:rPr>
              <w:t>/api/v1/reports/health</w:t>
            </w:r>
          </w:p>
        </w:tc>
        <w:tc>
          <w:tcPr>
            <w:tcW w:type="dxa" w:w="2304"/>
          </w:tcPr>
          <w:p>
            <w:pPr>
              <w:spacing w:after="0"/>
            </w:pPr>
            <w:r/>
            <w:r>
              <w:rPr>
                <w:sz w:val="16"/>
              </w:rPr>
              <w:t>backend → NextReport</w:t>
            </w:r>
          </w:p>
        </w:tc>
        <w:tc>
          <w:tcPr>
            <w:tcW w:type="dxa" w:w="4896"/>
          </w:tcPr>
          <w:p>
            <w:pPr>
              <w:spacing w:after="0"/>
            </w:pPr>
            <w:r/>
            <w:r>
              <w:rPr>
                <w:sz w:val="16"/>
              </w:rPr>
              <w:t>{nextreport: up|down}</w:t>
            </w:r>
          </w:p>
        </w:tc>
      </w:tr>
      <w:tr>
        <w:trPr>
          <w:cantSplit/>
        </w:trPr>
        <w:tc>
          <w:tcPr>
            <w:tcW w:type="dxa" w:w="2160"/>
          </w:tcPr>
          <w:p>
            <w:pPr>
              <w:spacing w:after="0"/>
            </w:pPr>
            <w:r/>
            <w:r>
              <w:rPr>
                <w:sz w:val="16"/>
              </w:rPr>
              <w:t>activity_logs</w:t>
            </w:r>
          </w:p>
        </w:tc>
        <w:tc>
          <w:tcPr>
            <w:tcW w:type="dxa" w:w="2304"/>
          </w:tcPr>
          <w:p>
            <w:pPr>
              <w:spacing w:after="0"/>
            </w:pPr>
            <w:r/>
            <w:r>
              <w:rPr>
                <w:sz w:val="16"/>
              </w:rPr>
              <w:t>database</w:t>
            </w:r>
          </w:p>
        </w:tc>
        <w:tc>
          <w:tcPr>
            <w:tcW w:type="dxa" w:w="4896"/>
          </w:tcPr>
          <w:p>
            <w:pPr>
              <w:spacing w:after="0"/>
            </w:pPr>
            <w:r/>
            <w:r>
              <w:rPr>
                <w:sz w:val="16"/>
              </w:rPr>
              <w:t>who changed what, with old/new JSON</w:t>
            </w:r>
          </w:p>
        </w:tc>
      </w:tr>
      <w:tr>
        <w:trPr>
          <w:cantSplit/>
        </w:trPr>
        <w:tc>
          <w:tcPr>
            <w:tcW w:type="dxa" w:w="2160"/>
          </w:tcPr>
          <w:p>
            <w:pPr>
              <w:spacing w:after="0"/>
            </w:pPr>
            <w:r/>
            <w:r>
              <w:rPr>
                <w:sz w:val="16"/>
              </w:rPr>
              <w:t>compose healthcheck</w:t>
            </w:r>
          </w:p>
        </w:tc>
        <w:tc>
          <w:tcPr>
            <w:tcW w:type="dxa" w:w="2304"/>
          </w:tcPr>
          <w:p>
            <w:pPr>
              <w:spacing w:after="0"/>
            </w:pPr>
            <w:r/>
            <w:r>
              <w:rPr>
                <w:sz w:val="16"/>
              </w:rPr>
              <w:t>backend container</w:t>
            </w:r>
          </w:p>
        </w:tc>
        <w:tc>
          <w:tcPr>
            <w:tcW w:type="dxa" w:w="4896"/>
          </w:tcPr>
          <w:p>
            <w:pPr>
              <w:spacing w:after="0"/>
            </w:pPr>
            <w:r/>
            <w:r>
              <w:rPr>
                <w:sz w:val="16"/>
              </w:rPr>
              <w:t>10 s interval, 3 s timeout, 3 retries</w:t>
            </w:r>
          </w:p>
        </w:tc>
      </w:tr>
      <w:tr>
        <w:trPr>
          <w:cantSplit/>
        </w:trPr>
        <w:tc>
          <w:tcPr>
            <w:tcW w:type="dxa" w:w="2160"/>
          </w:tcPr>
          <w:p>
            <w:pPr>
              <w:spacing w:after="0"/>
            </w:pPr>
            <w:r/>
            <w:r>
              <w:rPr>
                <w:sz w:val="16"/>
              </w:rPr>
              <w:t>podman logs</w:t>
            </w:r>
          </w:p>
        </w:tc>
        <w:tc>
          <w:tcPr>
            <w:tcW w:type="dxa" w:w="2304"/>
          </w:tcPr>
          <w:p>
            <w:pPr>
              <w:spacing w:after="0"/>
            </w:pPr>
            <w:r/>
            <w:r>
              <w:rPr>
                <w:sz w:val="16"/>
              </w:rPr>
              <w:t>host</w:t>
            </w:r>
          </w:p>
        </w:tc>
        <w:tc>
          <w:tcPr>
            <w:tcW w:type="dxa" w:w="4896"/>
          </w:tcPr>
          <w:p>
            <w:pPr>
              <w:spacing w:after="0"/>
            </w:pPr>
            <w:r/>
            <w:r>
              <w:rPr>
                <w:sz w:val="16"/>
              </w:rPr>
              <w:t>per-container, rotated at 30 MB</w:t>
            </w:r>
          </w:p>
        </w:tc>
      </w:tr>
    </w:tbl>
    <w:p>
      <w:pPr>
        <w:spacing w:after="200"/>
      </w:pPr>
      <w:r>
        <w:rPr>
          <w:i/>
          <w:color w:val="555F6D"/>
          <w:sz w:val="17"/>
        </w:rPr>
        <w:t>Table 91. Monitoring and diagnostic signals</w:t>
      </w:r>
    </w:p>
    <w:p>
      <w:pPr>
        <w:spacing w:after="160"/>
        <w:ind w:left="216"/>
        <w:pBdr>
          <w:left w:val="single" w:sz="18" w:space="6" w:color="9B2C2C"/>
        </w:pBdr>
      </w:pPr>
      <w:r>
        <w:rPr>
          <w:b/>
          <w:color w:val="9B2C2C"/>
          <w:sz w:val="19"/>
        </w:rPr>
        <w:t xml:space="preserve">No metrics endpoint: </w:t>
      </w:r>
      <w:r>
        <w:rPr>
          <w:sz w:val="19"/>
        </w:rPr>
        <w:t>There is no Prometheus/OpenTelemetry exporter, no structured error tracker and no alerting rule in the repository. Detection depends on the compose healthcheck and a human reading logs.</w:t>
      </w:r>
    </w:p>
    <w:p>
      <w:bookmarkStart w:id="1310" w:name="_Toc1310"/>
      <w:pPr>
        <w:pStyle w:val="Heading2"/>
      </w:pPr>
      <w:r>
        <w:t>30.1 Reading a failure</w:t>
      </w:r>
      <w:bookmarkEnd w:id="1310"/>
    </w:p>
    <w:p>
      <w:pPr>
        <w:pStyle w:val="ListNumber"/>
      </w:pPr>
      <w:r>
        <w:t>Take the X-Request-Id from the error response (also in meta.request_id).</w:t>
      </w:r>
    </w:p>
    <w:p>
      <w:pPr>
        <w:pStyle w:val="ListNumber"/>
      </w:pPr>
      <w:r>
        <w:t>podman logs keluargamart-backend 2&gt;&amp;1 | grep &lt;request-id&gt;</w:t>
      </w:r>
    </w:p>
    <w:p>
      <w:pPr>
        <w:pStyle w:val="ListNumber"/>
      </w:pPr>
      <w:r>
        <w:t>If the log shows a 5xx, look for the recovered panic line (it includes the top of the stack) or the SQL error.</w:t>
      </w:r>
    </w:p>
    <w:p>
      <w:pPr>
        <w:pStyle w:val="ListNumber"/>
      </w:pPr>
      <w:r>
        <w:t>If the request never reached the backend, check the ERP/POS nginx container: a 502 there usually means the backend name did not resolve (see the entrypoint's resolver logic).</w:t>
      </w:r>
    </w:p>
    <w:p>
      <w:pPr>
        <w:pStyle w:val="ListNumber"/>
      </w:pPr>
      <w:r>
        <w:t>If /ready reports redis unavailable, logins will fail closed with 503 while normal traffic continues.</w:t>
      </w:r>
    </w:p>
    <w:p>
      <w:bookmarkStart w:id="1311" w:name="_Toc1311"/>
      <w:pPr>
        <w:pStyle w:val="Heading1"/>
        <w:pageBreakBefore/>
      </w:pPr>
      <w:r>
        <w:t>31. Backup, recovery and data retention</w:t>
      </w:r>
      <w:bookmarkEnd w:id="1311"/>
    </w:p>
    <w:p>
      <w:pPr>
        <w:keepNext/>
        <w:spacing w:before="80" w:after="40"/>
        <w:jc w:val="center"/>
      </w:pPr>
      <w:r>
        <w:drawing>
          <wp:inline xmlns:a="http://schemas.openxmlformats.org/drawingml/2006/main" xmlns:pic="http://schemas.openxmlformats.org/drawingml/2006/picture">
            <wp:extent cx="5819241" cy="6766559"/>
            <wp:docPr id="31" name="Picture 31"/>
            <wp:cNvGraphicFramePr>
              <a:graphicFrameLocks noChangeAspect="1"/>
            </wp:cNvGraphicFramePr>
            <a:graphic>
              <a:graphicData uri="http://schemas.openxmlformats.org/drawingml/2006/picture">
                <pic:pic>
                  <pic:nvPicPr>
                    <pic:cNvPr id="0" name="fig-backup.png"/>
                    <pic:cNvPicPr/>
                  </pic:nvPicPr>
                  <pic:blipFill>
                    <a:blip r:embed="rId39"/>
                    <a:stretch>
                      <a:fillRect/>
                    </a:stretch>
                  </pic:blipFill>
                  <pic:spPr>
                    <a:xfrm>
                      <a:off x="0" y="0"/>
                      <a:ext cx="5819241" cy="6766559"/>
                    </a:xfrm>
                    <a:prstGeom prst="rect"/>
                  </pic:spPr>
                </pic:pic>
              </a:graphicData>
            </a:graphic>
          </wp:inline>
        </w:drawing>
      </w:r>
    </w:p>
    <w:p>
      <w:pPr>
        <w:spacing w:after="40"/>
        <w:jc w:val="center"/>
      </w:pPr>
      <w:r>
        <w:rPr>
          <w:i/>
          <w:color w:val="555F6D"/>
          <w:sz w:val="17"/>
        </w:rPr>
        <w:t>Figure 31. Documented backup and restore procedure. Nothing in this diagram is automated by the repository; the cron entry and offsite copy are runbook steps.</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1872"/>
            <w:shd w:val="clear" w:color="auto" w:fill="1F3A5F"/>
          </w:tcPr>
          <w:p>
            <w:pPr>
              <w:spacing w:after="0"/>
            </w:pPr>
            <w:r/>
            <w:r>
              <w:rPr>
                <w:b/>
                <w:color w:val="FFFFFF"/>
                <w:sz w:val="16"/>
              </w:rPr>
              <w:t>Asset</w:t>
            </w:r>
          </w:p>
        </w:tc>
        <w:tc>
          <w:tcPr>
            <w:tcW w:type="dxa" w:w="3168"/>
            <w:shd w:val="clear" w:color="auto" w:fill="1F3A5F"/>
          </w:tcPr>
          <w:p>
            <w:pPr>
              <w:spacing w:after="0"/>
            </w:pPr>
            <w:r/>
            <w:r>
              <w:rPr>
                <w:b/>
                <w:color w:val="FFFFFF"/>
                <w:sz w:val="16"/>
              </w:rPr>
              <w:t>Method</w:t>
            </w:r>
          </w:p>
        </w:tc>
        <w:tc>
          <w:tcPr>
            <w:tcW w:type="dxa" w:w="2304"/>
            <w:shd w:val="clear" w:color="auto" w:fill="1F3A5F"/>
          </w:tcPr>
          <w:p>
            <w:pPr>
              <w:spacing w:after="0"/>
            </w:pPr>
            <w:r/>
            <w:r>
              <w:rPr>
                <w:b/>
                <w:color w:val="FFFFFF"/>
                <w:sz w:val="16"/>
              </w:rPr>
              <w:t>Frequency (documented)</w:t>
            </w:r>
          </w:p>
        </w:tc>
        <w:tc>
          <w:tcPr>
            <w:tcW w:type="dxa" w:w="2016"/>
            <w:shd w:val="clear" w:color="auto" w:fill="1F3A5F"/>
          </w:tcPr>
          <w:p>
            <w:pPr>
              <w:spacing w:after="0"/>
            </w:pPr>
            <w:r/>
            <w:r>
              <w:rPr>
                <w:b/>
                <w:color w:val="FFFFFF"/>
                <w:sz w:val="16"/>
              </w:rPr>
              <w:t>Retention</w:t>
            </w:r>
          </w:p>
        </w:tc>
      </w:tr>
      <w:tr>
        <w:trPr>
          <w:cantSplit/>
        </w:trPr>
        <w:tc>
          <w:tcPr>
            <w:tcW w:type="dxa" w:w="1872"/>
          </w:tcPr>
          <w:p>
            <w:pPr>
              <w:spacing w:after="0"/>
            </w:pPr>
            <w:r/>
            <w:r>
              <w:rPr>
                <w:sz w:val="16"/>
              </w:rPr>
              <w:t>PostgreSQL</w:t>
            </w:r>
          </w:p>
        </w:tc>
        <w:tc>
          <w:tcPr>
            <w:tcW w:type="dxa" w:w="3168"/>
          </w:tcPr>
          <w:p>
            <w:pPr>
              <w:spacing w:after="0"/>
            </w:pPr>
            <w:r/>
            <w:r>
              <w:rPr>
                <w:sz w:val="16"/>
              </w:rPr>
              <w:t>podman exec pg_dump | gzip</w:t>
            </w:r>
          </w:p>
        </w:tc>
        <w:tc>
          <w:tcPr>
            <w:tcW w:type="dxa" w:w="2304"/>
          </w:tcPr>
          <w:p>
            <w:pPr>
              <w:spacing w:after="0"/>
            </w:pPr>
            <w:r/>
            <w:r>
              <w:rPr>
                <w:sz w:val="16"/>
              </w:rPr>
              <w:t>every 6 hours (cron)</w:t>
            </w:r>
          </w:p>
        </w:tc>
        <w:tc>
          <w:tcPr>
            <w:tcW w:type="dxa" w:w="2016"/>
          </w:tcPr>
          <w:p>
            <w:pPr>
              <w:spacing w:after="0"/>
            </w:pPr>
            <w:r/>
            <w:r>
              <w:rPr>
                <w:sz w:val="16"/>
              </w:rPr>
              <w:t>7 days local, 30 days offsite</w:t>
            </w:r>
          </w:p>
        </w:tc>
      </w:tr>
      <w:tr>
        <w:trPr>
          <w:cantSplit/>
        </w:trPr>
        <w:tc>
          <w:tcPr>
            <w:tcW w:type="dxa" w:w="1872"/>
          </w:tcPr>
          <w:p>
            <w:pPr>
              <w:spacing w:after="0"/>
            </w:pPr>
            <w:r/>
            <w:r>
              <w:rPr>
                <w:sz w:val="16"/>
              </w:rPr>
              <w:t>Uploads volume</w:t>
            </w:r>
          </w:p>
        </w:tc>
        <w:tc>
          <w:tcPr>
            <w:tcW w:type="dxa" w:w="3168"/>
          </w:tcPr>
          <w:p>
            <w:pPr>
              <w:spacing w:after="0"/>
            </w:pPr>
            <w:r/>
            <w:r>
              <w:rPr>
                <w:sz w:val="16"/>
              </w:rPr>
              <w:t>tar.gz or rclone sync</w:t>
            </w:r>
          </w:p>
        </w:tc>
        <w:tc>
          <w:tcPr>
            <w:tcW w:type="dxa" w:w="2304"/>
          </w:tcPr>
          <w:p>
            <w:pPr>
              <w:spacing w:after="0"/>
            </w:pPr>
            <w:r/>
            <w:r>
              <w:rPr>
                <w:sz w:val="16"/>
              </w:rPr>
              <w:t>daily 02:00 WIB</w:t>
            </w:r>
          </w:p>
        </w:tc>
        <w:tc>
          <w:tcPr>
            <w:tcW w:type="dxa" w:w="2016"/>
          </w:tcPr>
          <w:p>
            <w:pPr>
              <w:spacing w:after="0"/>
            </w:pPr>
            <w:r/>
            <w:r>
              <w:rPr>
                <w:sz w:val="16"/>
              </w:rPr>
              <w:t>3 days local, 90 days offsite</w:t>
            </w:r>
          </w:p>
        </w:tc>
      </w:tr>
      <w:tr>
        <w:trPr>
          <w:cantSplit/>
        </w:trPr>
        <w:tc>
          <w:tcPr>
            <w:tcW w:type="dxa" w:w="1872"/>
          </w:tcPr>
          <w:p>
            <w:pPr>
              <w:spacing w:after="0"/>
            </w:pPr>
            <w:r/>
            <w:r>
              <w:rPr>
                <w:sz w:val="16"/>
              </w:rPr>
              <w:t>Environment/secrets</w:t>
            </w:r>
          </w:p>
        </w:tc>
        <w:tc>
          <w:tcPr>
            <w:tcW w:type="dxa" w:w="3168"/>
          </w:tcPr>
          <w:p>
            <w:pPr>
              <w:spacing w:after="0"/>
            </w:pPr>
            <w:r/>
            <w:r>
              <w:rPr>
                <w:sz w:val="16"/>
              </w:rPr>
              <w:t>manual, encrypted (GPG/Bitwarden)</w:t>
            </w:r>
          </w:p>
        </w:tc>
        <w:tc>
          <w:tcPr>
            <w:tcW w:type="dxa" w:w="2304"/>
          </w:tcPr>
          <w:p>
            <w:pPr>
              <w:spacing w:after="0"/>
            </w:pPr>
            <w:r/>
            <w:r>
              <w:rPr>
                <w:sz w:val="16"/>
              </w:rPr>
              <w:t>on change</w:t>
            </w:r>
          </w:p>
        </w:tc>
        <w:tc>
          <w:tcPr>
            <w:tcW w:type="dxa" w:w="2016"/>
          </w:tcPr>
          <w:p>
            <w:pPr>
              <w:spacing w:after="0"/>
            </w:pPr>
            <w:r/>
            <w:r>
              <w:rPr>
                <w:sz w:val="16"/>
              </w:rPr>
              <w:t>secure vault</w:t>
            </w:r>
          </w:p>
        </w:tc>
      </w:tr>
    </w:tbl>
    <w:p>
      <w:pPr>
        <w:spacing w:after="200"/>
      </w:pPr>
      <w:r>
        <w:rPr>
          <w:i/>
          <w:color w:val="555F6D"/>
          <w:sz w:val="17"/>
        </w:rPr>
        <w:t>Table 92. Backup strategy (docs/deployment/backup-and-restore.md)</w:t>
      </w:r>
    </w:p>
    <w:p>
      <w:pPr>
        <w:spacing w:after="160"/>
        <w:ind w:left="216"/>
        <w:pBdr>
          <w:left w:val="single" w:sz="18" w:space="6" w:color="9B2C2C"/>
        </w:pBdr>
      </w:pPr>
      <w:r>
        <w:rPr>
          <w:b/>
          <w:color w:val="9B2C2C"/>
          <w:sz w:val="19"/>
        </w:rPr>
        <w:t xml:space="preserve">Gap: </w:t>
      </w:r>
      <w:r>
        <w:rPr>
          <w:sz w:val="19"/>
        </w:rPr>
        <w:t>The runbook references scripts/backup-db.sh, which is not in the repository. The procedure is documented but not shipped, so a new operator must retype it from the document. There is also no restore drill and no verification step beyond 'the command exited 0'.</w:t>
      </w:r>
    </w:p>
    <w:p>
      <w:bookmarkStart w:id="1312" w:name="_Toc1312"/>
      <w:pPr>
        <w:pStyle w:val="Heading2"/>
      </w:pPr>
      <w:r>
        <w:t>31.1 Restore procedure (safe order)</w:t>
      </w:r>
      <w:bookmarkEnd w:id="1312"/>
    </w:p>
    <w:p>
      <w:pPr>
        <w:pStyle w:val="ListNumber"/>
      </w:pPr>
      <w:r>
        <w:t>Stop the backend so no writes occur (podman stop keluargamart-backend).</w:t>
      </w:r>
    </w:p>
    <w:p>
      <w:pPr>
        <w:pStyle w:val="ListNumber"/>
      </w:pPr>
      <w:r>
        <w:t>Take a fresh dump of the current state first, even if it is believed corrupt.</w:t>
      </w:r>
    </w:p>
    <w:p>
      <w:pPr>
        <w:pStyle w:val="ListNumber"/>
      </w:pPr>
      <w:r>
        <w:t>Restore into a new database and inspect it before replacing the live one.</w:t>
      </w:r>
    </w:p>
    <w:p>
      <w:pPr>
        <w:pStyle w:val="ListNumber"/>
      </w:pPr>
      <w:r>
        <w:t>gunzip -c &lt;dump&gt; | podman exec -i keluargamart-postgres psql -U erp -d erp.</w:t>
      </w:r>
    </w:p>
    <w:p>
      <w:pPr>
        <w:pStyle w:val="ListNumber"/>
      </w:pPr>
      <w:r>
        <w:t>Start the backend; dbmigrate must log 'schema up to date'. If it applies migrations instead, the dump is older than the binary.</w:t>
      </w:r>
    </w:p>
    <w:p>
      <w:pPr>
        <w:pStyle w:val="ListNumber"/>
      </w:pPr>
      <w:r>
        <w:t>Verify: row counts against the dump, login, one POS sale in a test outlet, one report render.</w:t>
      </w:r>
    </w:p>
    <w:p>
      <w:bookmarkStart w:id="1313" w:name="_Toc1313"/>
      <w:pPr>
        <w:pStyle w:val="Heading2"/>
      </w:pPr>
      <w:r>
        <w:t>31.2 Retention and deletion</w:t>
      </w:r>
      <w:bookmarkEnd w:id="1313"/>
    </w:p>
    <w:p>
      <w:r>
        <w:rPr>
          <w:i w:val="0"/>
        </w:rPr>
        <w:t>No retention job exists in the code. Financial rows are append-only by design (journal entries, payments, stock movements, generated cashflows) and the schema has no cascade deletes from those tables. Soft deletes are used only on products, suppliers, customers and employees (deleted_at). Customer PII has no automated purge; deletion is a manual, audited operation.</w:t>
      </w:r>
    </w:p>
    <w:p>
      <w:bookmarkStart w:id="1314" w:name="_Toc1314"/>
      <w:pPr>
        <w:pStyle w:val="Heading1"/>
        <w:pageBreakBefore/>
      </w:pPr>
      <w:r>
        <w:t>32. Error handling and troubleshooting</w:t>
      </w:r>
      <w:bookmarkEnd w:id="1314"/>
    </w:p>
    <w:p>
      <w:pPr>
        <w:keepNext/>
        <w:spacing w:before="80" w:after="40"/>
        <w:jc w:val="center"/>
      </w:pPr>
      <w:r>
        <w:drawing>
          <wp:inline xmlns:a="http://schemas.openxmlformats.org/drawingml/2006/main" xmlns:pic="http://schemas.openxmlformats.org/drawingml/2006/picture">
            <wp:extent cx="6035040" cy="5171275"/>
            <wp:docPr id="32" name="Picture 32"/>
            <wp:cNvGraphicFramePr>
              <a:graphicFrameLocks noChangeAspect="1"/>
            </wp:cNvGraphicFramePr>
            <a:graphic>
              <a:graphicData uri="http://schemas.openxmlformats.org/drawingml/2006/picture">
                <pic:pic>
                  <pic:nvPicPr>
                    <pic:cNvPr id="0" name="fig-error-handling.png"/>
                    <pic:cNvPicPr/>
                  </pic:nvPicPr>
                  <pic:blipFill>
                    <a:blip r:embed="rId40"/>
                    <a:stretch>
                      <a:fillRect/>
                    </a:stretch>
                  </pic:blipFill>
                  <pic:spPr>
                    <a:xfrm>
                      <a:off x="0" y="0"/>
                      <a:ext cx="6035040" cy="5171275"/>
                    </a:xfrm>
                    <a:prstGeom prst="rect"/>
                  </pic:spPr>
                </pic:pic>
              </a:graphicData>
            </a:graphic>
          </wp:inline>
        </w:drawing>
      </w:r>
    </w:p>
    <w:p>
      <w:pPr>
        <w:spacing w:after="40"/>
        <w:jc w:val="center"/>
      </w:pPr>
      <w:r>
        <w:rPr>
          <w:i/>
          <w:color w:val="555F6D"/>
          <w:sz w:val="17"/>
        </w:rPr>
        <w:t>Figure 32. Error taxonomy and the client's recovery decision.</w:t>
      </w:r>
    </w:p>
    <w:p>
      <w:bookmarkStart w:id="1315" w:name="_Toc1315"/>
      <w:pPr>
        <w:pStyle w:val="Heading2"/>
      </w:pPr>
      <w:r>
        <w:t>32.1 Error codes</w:t>
      </w:r>
      <w:bookmarkEnd w:id="1315"/>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864"/>
            <w:shd w:val="clear" w:color="auto" w:fill="1F3A5F"/>
          </w:tcPr>
          <w:p>
            <w:pPr>
              <w:spacing w:after="0"/>
            </w:pPr>
            <w:r/>
            <w:r>
              <w:rPr>
                <w:b/>
                <w:color w:val="FFFFFF"/>
                <w:sz w:val="15"/>
              </w:rPr>
              <w:t>HTTP</w:t>
            </w:r>
          </w:p>
        </w:tc>
        <w:tc>
          <w:tcPr>
            <w:tcW w:type="dxa" w:w="2736"/>
            <w:shd w:val="clear" w:color="auto" w:fill="1F3A5F"/>
          </w:tcPr>
          <w:p>
            <w:pPr>
              <w:spacing w:after="0"/>
            </w:pPr>
            <w:r/>
            <w:r>
              <w:rPr>
                <w:b/>
                <w:color w:val="FFFFFF"/>
                <w:sz w:val="15"/>
              </w:rPr>
              <w:t>Code</w:t>
            </w:r>
          </w:p>
        </w:tc>
        <w:tc>
          <w:tcPr>
            <w:tcW w:type="dxa" w:w="3456"/>
            <w:shd w:val="clear" w:color="auto" w:fill="1F3A5F"/>
          </w:tcPr>
          <w:p>
            <w:pPr>
              <w:spacing w:after="0"/>
            </w:pPr>
            <w:r/>
            <w:r>
              <w:rPr>
                <w:b/>
                <w:color w:val="FFFFFF"/>
                <w:sz w:val="15"/>
              </w:rPr>
              <w:t>Typical cause</w:t>
            </w:r>
          </w:p>
        </w:tc>
        <w:tc>
          <w:tcPr>
            <w:tcW w:type="dxa" w:w="2304"/>
            <w:shd w:val="clear" w:color="auto" w:fill="1F3A5F"/>
          </w:tcPr>
          <w:p>
            <w:pPr>
              <w:spacing w:after="0"/>
            </w:pPr>
            <w:r/>
            <w:r>
              <w:rPr>
                <w:b/>
                <w:color w:val="FFFFFF"/>
                <w:sz w:val="15"/>
              </w:rPr>
              <w:t>Client action</w:t>
            </w:r>
          </w:p>
        </w:tc>
      </w:tr>
      <w:tr>
        <w:trPr>
          <w:cantSplit/>
        </w:trPr>
        <w:tc>
          <w:tcPr>
            <w:tcW w:type="dxa" w:w="864"/>
          </w:tcPr>
          <w:p>
            <w:pPr>
              <w:spacing w:after="0"/>
            </w:pPr>
            <w:r/>
            <w:r>
              <w:rPr>
                <w:sz w:val="15"/>
              </w:rPr>
              <w:t>400</w:t>
            </w:r>
          </w:p>
        </w:tc>
        <w:tc>
          <w:tcPr>
            <w:tcW w:type="dxa" w:w="2736"/>
          </w:tcPr>
          <w:p>
            <w:pPr>
              <w:spacing w:after="0"/>
            </w:pPr>
            <w:r/>
            <w:r>
              <w:rPr>
                <w:sz w:val="15"/>
              </w:rPr>
              <w:t>VALIDATION_ERROR</w:t>
            </w:r>
          </w:p>
        </w:tc>
        <w:tc>
          <w:tcPr>
            <w:tcW w:type="dxa" w:w="3456"/>
          </w:tcPr>
          <w:p>
            <w:pPr>
              <w:spacing w:after="0"/>
            </w:pPr>
            <w:r/>
            <w:r>
              <w:rPr>
                <w:sz w:val="15"/>
              </w:rPr>
              <w:t>Missing/invalid field</w:t>
            </w:r>
          </w:p>
        </w:tc>
        <w:tc>
          <w:tcPr>
            <w:tcW w:type="dxa" w:w="2304"/>
          </w:tcPr>
          <w:p>
            <w:pPr>
              <w:spacing w:after="0"/>
            </w:pPr>
            <w:r/>
            <w:r>
              <w:rPr>
                <w:sz w:val="15"/>
              </w:rPr>
              <w:t>Show the message on the field</w:t>
            </w:r>
          </w:p>
        </w:tc>
      </w:tr>
      <w:tr>
        <w:trPr>
          <w:cantSplit/>
        </w:trPr>
        <w:tc>
          <w:tcPr>
            <w:tcW w:type="dxa" w:w="864"/>
          </w:tcPr>
          <w:p>
            <w:pPr>
              <w:spacing w:after="0"/>
            </w:pPr>
            <w:r/>
            <w:r>
              <w:rPr>
                <w:sz w:val="15"/>
              </w:rPr>
              <w:t>401</w:t>
            </w:r>
          </w:p>
        </w:tc>
        <w:tc>
          <w:tcPr>
            <w:tcW w:type="dxa" w:w="2736"/>
          </w:tcPr>
          <w:p>
            <w:pPr>
              <w:spacing w:after="0"/>
            </w:pPr>
            <w:r/>
            <w:r>
              <w:rPr>
                <w:sz w:val="15"/>
              </w:rPr>
              <w:t>AUTHENTICATION_REQUIRED</w:t>
            </w:r>
          </w:p>
        </w:tc>
        <w:tc>
          <w:tcPr>
            <w:tcW w:type="dxa" w:w="3456"/>
          </w:tcPr>
          <w:p>
            <w:pPr>
              <w:spacing w:after="0"/>
            </w:pPr>
            <w:r/>
            <w:r>
              <w:rPr>
                <w:sz w:val="15"/>
              </w:rPr>
              <w:t>No token, bad token, expired token</w:t>
            </w:r>
          </w:p>
        </w:tc>
        <w:tc>
          <w:tcPr>
            <w:tcW w:type="dxa" w:w="2304"/>
          </w:tcPr>
          <w:p>
            <w:pPr>
              <w:spacing w:after="0"/>
            </w:pPr>
            <w:r/>
            <w:r>
              <w:rPr>
                <w:sz w:val="15"/>
              </w:rPr>
              <w:t>Clear the session, go to login</w:t>
            </w:r>
          </w:p>
        </w:tc>
      </w:tr>
      <w:tr>
        <w:trPr>
          <w:cantSplit/>
        </w:trPr>
        <w:tc>
          <w:tcPr>
            <w:tcW w:type="dxa" w:w="864"/>
          </w:tcPr>
          <w:p>
            <w:pPr>
              <w:spacing w:after="0"/>
            </w:pPr>
            <w:r/>
            <w:r>
              <w:rPr>
                <w:sz w:val="15"/>
              </w:rPr>
              <w:t>403</w:t>
            </w:r>
          </w:p>
        </w:tc>
        <w:tc>
          <w:tcPr>
            <w:tcW w:type="dxa" w:w="2736"/>
          </w:tcPr>
          <w:p>
            <w:pPr>
              <w:spacing w:after="0"/>
            </w:pPr>
            <w:r/>
            <w:r>
              <w:rPr>
                <w:sz w:val="15"/>
              </w:rPr>
              <w:t>FORBIDDEN</w:t>
            </w:r>
          </w:p>
        </w:tc>
        <w:tc>
          <w:tcPr>
            <w:tcW w:type="dxa" w:w="3456"/>
          </w:tcPr>
          <w:p>
            <w:pPr>
              <w:spacing w:after="0"/>
            </w:pPr>
            <w:r/>
            <w:r>
              <w:rPr>
                <w:sz w:val="15"/>
              </w:rPr>
              <w:t>Permission not held</w:t>
            </w:r>
          </w:p>
        </w:tc>
        <w:tc>
          <w:tcPr>
            <w:tcW w:type="dxa" w:w="2304"/>
          </w:tcPr>
          <w:p>
            <w:pPr>
              <w:spacing w:after="0"/>
            </w:pPr>
            <w:r/>
            <w:r>
              <w:rPr>
                <w:sz w:val="15"/>
              </w:rPr>
              <w:t>Hide the action; do not retry</w:t>
            </w:r>
          </w:p>
        </w:tc>
      </w:tr>
      <w:tr>
        <w:trPr>
          <w:cantSplit/>
        </w:trPr>
        <w:tc>
          <w:tcPr>
            <w:tcW w:type="dxa" w:w="864"/>
          </w:tcPr>
          <w:p>
            <w:pPr>
              <w:spacing w:after="0"/>
            </w:pPr>
            <w:r/>
            <w:r>
              <w:rPr>
                <w:sz w:val="15"/>
              </w:rPr>
              <w:t>403</w:t>
            </w:r>
          </w:p>
        </w:tc>
        <w:tc>
          <w:tcPr>
            <w:tcW w:type="dxa" w:w="2736"/>
          </w:tcPr>
          <w:p>
            <w:pPr>
              <w:spacing w:after="0"/>
            </w:pPr>
            <w:r/>
            <w:r>
              <w:rPr>
                <w:sz w:val="15"/>
              </w:rPr>
              <w:t>ACCOUNT_DISABLED</w:t>
            </w:r>
          </w:p>
        </w:tc>
        <w:tc>
          <w:tcPr>
            <w:tcW w:type="dxa" w:w="3456"/>
          </w:tcPr>
          <w:p>
            <w:pPr>
              <w:spacing w:after="0"/>
            </w:pPr>
            <w:r/>
            <w:r>
              <w:rPr>
                <w:sz w:val="15"/>
              </w:rPr>
              <w:t>users.is_active = false</w:t>
            </w:r>
          </w:p>
        </w:tc>
        <w:tc>
          <w:tcPr>
            <w:tcW w:type="dxa" w:w="2304"/>
          </w:tcPr>
          <w:p>
            <w:pPr>
              <w:spacing w:after="0"/>
            </w:pPr>
            <w:r/>
            <w:r>
              <w:rPr>
                <w:sz w:val="15"/>
              </w:rPr>
              <w:t>Contact an administrator</w:t>
            </w:r>
          </w:p>
        </w:tc>
      </w:tr>
      <w:tr>
        <w:trPr>
          <w:cantSplit/>
        </w:trPr>
        <w:tc>
          <w:tcPr>
            <w:tcW w:type="dxa" w:w="864"/>
          </w:tcPr>
          <w:p>
            <w:pPr>
              <w:spacing w:after="0"/>
            </w:pPr>
            <w:r/>
            <w:r>
              <w:rPr>
                <w:sz w:val="15"/>
              </w:rPr>
              <w:t>404</w:t>
            </w:r>
          </w:p>
        </w:tc>
        <w:tc>
          <w:tcPr>
            <w:tcW w:type="dxa" w:w="2736"/>
          </w:tcPr>
          <w:p>
            <w:pPr>
              <w:spacing w:after="0"/>
            </w:pPr>
            <w:r/>
            <w:r>
              <w:rPr>
                <w:sz w:val="15"/>
              </w:rPr>
              <w:t>NOT_FOUND</w:t>
            </w:r>
          </w:p>
        </w:tc>
        <w:tc>
          <w:tcPr>
            <w:tcW w:type="dxa" w:w="3456"/>
          </w:tcPr>
          <w:p>
            <w:pPr>
              <w:spacing w:after="0"/>
            </w:pPr>
            <w:r/>
            <w:r>
              <w:rPr>
                <w:sz w:val="15"/>
              </w:rPr>
              <w:t>Missing row or out-of-scope tenant</w:t>
            </w:r>
          </w:p>
        </w:tc>
        <w:tc>
          <w:tcPr>
            <w:tcW w:type="dxa" w:w="2304"/>
          </w:tcPr>
          <w:p>
            <w:pPr>
              <w:spacing w:after="0"/>
            </w:pPr>
            <w:r/>
            <w:r>
              <w:rPr>
                <w:sz w:val="15"/>
              </w:rPr>
              <w:t>Refresh the list</w:t>
            </w:r>
          </w:p>
        </w:tc>
      </w:tr>
      <w:tr>
        <w:trPr>
          <w:cantSplit/>
        </w:trPr>
        <w:tc>
          <w:tcPr>
            <w:tcW w:type="dxa" w:w="864"/>
          </w:tcPr>
          <w:p>
            <w:pPr>
              <w:spacing w:after="0"/>
            </w:pPr>
            <w:r/>
            <w:r>
              <w:rPr>
                <w:sz w:val="15"/>
              </w:rPr>
              <w:t>409</w:t>
            </w:r>
          </w:p>
        </w:tc>
        <w:tc>
          <w:tcPr>
            <w:tcW w:type="dxa" w:w="2736"/>
          </w:tcPr>
          <w:p>
            <w:pPr>
              <w:spacing w:after="0"/>
            </w:pPr>
            <w:r/>
            <w:r>
              <w:rPr>
                <w:sz w:val="15"/>
              </w:rPr>
              <w:t>CONFLICT</w:t>
            </w:r>
          </w:p>
        </w:tc>
        <w:tc>
          <w:tcPr>
            <w:tcW w:type="dxa" w:w="3456"/>
          </w:tcPr>
          <w:p>
            <w:pPr>
              <w:spacing w:after="0"/>
            </w:pPr>
            <w:r/>
            <w:r>
              <w:rPr>
                <w:sz w:val="15"/>
              </w:rPr>
              <w:t>Idempotency key reused with a different payload</w:t>
            </w:r>
          </w:p>
        </w:tc>
        <w:tc>
          <w:tcPr>
            <w:tcW w:type="dxa" w:w="2304"/>
          </w:tcPr>
          <w:p>
            <w:pPr>
              <w:spacing w:after="0"/>
            </w:pPr>
            <w:r/>
            <w:r>
              <w:rPr>
                <w:sz w:val="15"/>
              </w:rPr>
              <w:t>Reload the form</w:t>
            </w:r>
          </w:p>
        </w:tc>
      </w:tr>
      <w:tr>
        <w:trPr>
          <w:cantSplit/>
        </w:trPr>
        <w:tc>
          <w:tcPr>
            <w:tcW w:type="dxa" w:w="864"/>
          </w:tcPr>
          <w:p>
            <w:pPr>
              <w:spacing w:after="0"/>
            </w:pPr>
            <w:r/>
            <w:r>
              <w:rPr>
                <w:sz w:val="15"/>
              </w:rPr>
              <w:t>409</w:t>
            </w:r>
          </w:p>
        </w:tc>
        <w:tc>
          <w:tcPr>
            <w:tcW w:type="dxa" w:w="2736"/>
          </w:tcPr>
          <w:p>
            <w:pPr>
              <w:spacing w:after="0"/>
            </w:pPr>
            <w:r/>
            <w:r>
              <w:rPr>
                <w:sz w:val="15"/>
              </w:rPr>
              <w:t>BUSINESS_RULE_VIOLATION</w:t>
            </w:r>
          </w:p>
        </w:tc>
        <w:tc>
          <w:tcPr>
            <w:tcW w:type="dxa" w:w="3456"/>
          </w:tcPr>
          <w:p>
            <w:pPr>
              <w:spacing w:after="0"/>
            </w:pPr>
            <w:r/>
            <w:r>
              <w:rPr>
                <w:sz w:val="15"/>
              </w:rPr>
              <w:t>Voucher unusable, stock short, bad state</w:t>
            </w:r>
          </w:p>
        </w:tc>
        <w:tc>
          <w:tcPr>
            <w:tcW w:type="dxa" w:w="2304"/>
          </w:tcPr>
          <w:p>
            <w:pPr>
              <w:spacing w:after="0"/>
            </w:pPr>
            <w:r/>
            <w:r>
              <w:rPr>
                <w:sz w:val="15"/>
              </w:rPr>
              <w:t>Correct the input</w:t>
            </w:r>
          </w:p>
        </w:tc>
      </w:tr>
      <w:tr>
        <w:trPr>
          <w:cantSplit/>
        </w:trPr>
        <w:tc>
          <w:tcPr>
            <w:tcW w:type="dxa" w:w="864"/>
          </w:tcPr>
          <w:p>
            <w:pPr>
              <w:spacing w:after="0"/>
            </w:pPr>
            <w:r/>
            <w:r>
              <w:rPr>
                <w:sz w:val="15"/>
              </w:rPr>
              <w:t>422</w:t>
            </w:r>
          </w:p>
        </w:tc>
        <w:tc>
          <w:tcPr>
            <w:tcW w:type="dxa" w:w="2736"/>
          </w:tcPr>
          <w:p>
            <w:pPr>
              <w:spacing w:after="0"/>
            </w:pPr>
            <w:r/>
            <w:r>
              <w:rPr>
                <w:sz w:val="15"/>
              </w:rPr>
              <w:t>VALIDATION_ERROR</w:t>
            </w:r>
          </w:p>
        </w:tc>
        <w:tc>
          <w:tcPr>
            <w:tcW w:type="dxa" w:w="3456"/>
          </w:tcPr>
          <w:p>
            <w:pPr>
              <w:spacing w:after="0"/>
            </w:pPr>
            <w:r/>
            <w:r>
              <w:rPr>
                <w:sz w:val="15"/>
              </w:rPr>
              <w:t>Idempotency-Key missing on a money endpoint</w:t>
            </w:r>
          </w:p>
        </w:tc>
        <w:tc>
          <w:tcPr>
            <w:tcW w:type="dxa" w:w="2304"/>
          </w:tcPr>
          <w:p>
            <w:pPr>
              <w:spacing w:after="0"/>
            </w:pPr>
            <w:r/>
            <w:r>
              <w:rPr>
                <w:sz w:val="15"/>
              </w:rPr>
              <w:t>Mint a key and resubmit</w:t>
            </w:r>
          </w:p>
        </w:tc>
      </w:tr>
      <w:tr>
        <w:trPr>
          <w:cantSplit/>
        </w:trPr>
        <w:tc>
          <w:tcPr>
            <w:tcW w:type="dxa" w:w="864"/>
          </w:tcPr>
          <w:p>
            <w:pPr>
              <w:spacing w:after="0"/>
            </w:pPr>
            <w:r/>
            <w:r>
              <w:rPr>
                <w:sz w:val="15"/>
              </w:rPr>
              <w:t>429</w:t>
            </w:r>
          </w:p>
        </w:tc>
        <w:tc>
          <w:tcPr>
            <w:tcW w:type="dxa" w:w="2736"/>
          </w:tcPr>
          <w:p>
            <w:pPr>
              <w:spacing w:after="0"/>
            </w:pPr>
            <w:r/>
            <w:r>
              <w:rPr>
                <w:sz w:val="15"/>
              </w:rPr>
              <w:t>RATE_LIMITED</w:t>
            </w:r>
          </w:p>
        </w:tc>
        <w:tc>
          <w:tcPr>
            <w:tcW w:type="dxa" w:w="3456"/>
          </w:tcPr>
          <w:p>
            <w:pPr>
              <w:spacing w:after="0"/>
            </w:pPr>
            <w:r/>
            <w:r>
              <w:rPr>
                <w:sz w:val="15"/>
              </w:rPr>
              <w:t>Per-IP limit exceeded</w:t>
            </w:r>
          </w:p>
        </w:tc>
        <w:tc>
          <w:tcPr>
            <w:tcW w:type="dxa" w:w="2304"/>
          </w:tcPr>
          <w:p>
            <w:pPr>
              <w:spacing w:after="0"/>
            </w:pPr>
            <w:r/>
            <w:r>
              <w:rPr>
                <w:sz w:val="15"/>
              </w:rPr>
              <w:t>Wait and retry</w:t>
            </w:r>
          </w:p>
        </w:tc>
      </w:tr>
      <w:tr>
        <w:trPr>
          <w:cantSplit/>
        </w:trPr>
        <w:tc>
          <w:tcPr>
            <w:tcW w:type="dxa" w:w="864"/>
          </w:tcPr>
          <w:p>
            <w:pPr>
              <w:spacing w:after="0"/>
            </w:pPr>
            <w:r/>
            <w:r>
              <w:rPr>
                <w:sz w:val="15"/>
              </w:rPr>
              <w:t>500</w:t>
            </w:r>
          </w:p>
        </w:tc>
        <w:tc>
          <w:tcPr>
            <w:tcW w:type="dxa" w:w="2736"/>
          </w:tcPr>
          <w:p>
            <w:pPr>
              <w:spacing w:after="0"/>
            </w:pPr>
            <w:r/>
            <w:r>
              <w:rPr>
                <w:sz w:val="15"/>
              </w:rPr>
              <w:t>INTERNAL_ERROR</w:t>
            </w:r>
          </w:p>
        </w:tc>
        <w:tc>
          <w:tcPr>
            <w:tcW w:type="dxa" w:w="3456"/>
          </w:tcPr>
          <w:p>
            <w:pPr>
              <w:spacing w:after="0"/>
            </w:pPr>
            <w:r/>
            <w:r>
              <w:rPr>
                <w:sz w:val="15"/>
              </w:rPr>
              <w:t>Unhandled error or panic</w:t>
            </w:r>
          </w:p>
        </w:tc>
        <w:tc>
          <w:tcPr>
            <w:tcW w:type="dxa" w:w="2304"/>
          </w:tcPr>
          <w:p>
            <w:pPr>
              <w:spacing w:after="0"/>
            </w:pPr>
            <w:r/>
            <w:r>
              <w:rPr>
                <w:sz w:val="15"/>
              </w:rPr>
              <w:t>Report with the request id</w:t>
            </w:r>
          </w:p>
        </w:tc>
      </w:tr>
      <w:tr>
        <w:trPr>
          <w:cantSplit/>
        </w:trPr>
        <w:tc>
          <w:tcPr>
            <w:tcW w:type="dxa" w:w="864"/>
          </w:tcPr>
          <w:p>
            <w:pPr>
              <w:spacing w:after="0"/>
            </w:pPr>
            <w:r/>
            <w:r>
              <w:rPr>
                <w:sz w:val="15"/>
              </w:rPr>
              <w:t>503</w:t>
            </w:r>
          </w:p>
        </w:tc>
        <w:tc>
          <w:tcPr>
            <w:tcW w:type="dxa" w:w="2736"/>
          </w:tcPr>
          <w:p>
            <w:pPr>
              <w:spacing w:after="0"/>
            </w:pPr>
            <w:r/>
            <w:r>
              <w:rPr>
                <w:sz w:val="15"/>
              </w:rPr>
              <w:t>INTERNAL_ERROR</w:t>
            </w:r>
          </w:p>
        </w:tc>
        <w:tc>
          <w:tcPr>
            <w:tcW w:type="dxa" w:w="3456"/>
          </w:tcPr>
          <w:p>
            <w:pPr>
              <w:spacing w:after="0"/>
            </w:pPr>
            <w:r/>
            <w:r>
              <w:rPr>
                <w:sz w:val="15"/>
              </w:rPr>
              <w:t>Redis unavailable on a fail-closed limiter/idempotency path</w:t>
            </w:r>
          </w:p>
        </w:tc>
        <w:tc>
          <w:tcPr>
            <w:tcW w:type="dxa" w:w="2304"/>
          </w:tcPr>
          <w:p>
            <w:pPr>
              <w:spacing w:after="0"/>
            </w:pPr>
            <w:r/>
            <w:r>
              <w:rPr>
                <w:sz w:val="15"/>
              </w:rPr>
              <w:t>Retry after infrastructure recovers</w:t>
            </w:r>
          </w:p>
        </w:tc>
      </w:tr>
      <w:tr>
        <w:trPr>
          <w:cantSplit/>
        </w:trPr>
        <w:tc>
          <w:tcPr>
            <w:tcW w:type="dxa" w:w="864"/>
          </w:tcPr>
          <w:p>
            <w:pPr>
              <w:spacing w:after="0"/>
            </w:pPr>
            <w:r/>
            <w:r>
              <w:rPr>
                <w:sz w:val="15"/>
              </w:rPr>
              <w:t>503</w:t>
            </w:r>
          </w:p>
        </w:tc>
        <w:tc>
          <w:tcPr>
            <w:tcW w:type="dxa" w:w="2736"/>
          </w:tcPr>
          <w:p>
            <w:pPr>
              <w:spacing w:after="0"/>
            </w:pPr>
            <w:r/>
            <w:r>
              <w:rPr>
                <w:sz w:val="15"/>
              </w:rPr>
              <w:t>GATEWAY_DISABLED</w:t>
            </w:r>
          </w:p>
        </w:tc>
        <w:tc>
          <w:tcPr>
            <w:tcW w:type="dxa" w:w="3456"/>
          </w:tcPr>
          <w:p>
            <w:pPr>
              <w:spacing w:after="0"/>
            </w:pPr>
            <w:r/>
            <w:r>
              <w:rPr>
                <w:sz w:val="15"/>
              </w:rPr>
              <w:t>Midtrans key not configured</w:t>
            </w:r>
          </w:p>
        </w:tc>
        <w:tc>
          <w:tcPr>
            <w:tcW w:type="dxa" w:w="2304"/>
          </w:tcPr>
          <w:p>
            <w:pPr>
              <w:spacing w:after="0"/>
            </w:pPr>
            <w:r/>
            <w:r>
              <w:rPr>
                <w:sz w:val="15"/>
              </w:rPr>
              <w:t>Use an offline payment method</w:t>
            </w:r>
          </w:p>
        </w:tc>
      </w:tr>
    </w:tbl>
    <w:p>
      <w:pPr>
        <w:spacing w:after="200"/>
      </w:pPr>
      <w:r>
        <w:rPr>
          <w:i/>
          <w:color w:val="555F6D"/>
          <w:sz w:val="17"/>
        </w:rPr>
        <w:t>Table 93. Error taxonomy</w:t>
      </w:r>
    </w:p>
    <w:p>
      <w:bookmarkStart w:id="1316" w:name="_Toc1316"/>
      <w:pPr>
        <w:pStyle w:val="Heading2"/>
      </w:pPr>
      <w:r>
        <w:t>32.2 Diagnostic scenarios</w:t>
      </w:r>
      <w:bookmarkEnd w:id="1316"/>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647" w:type="dxa"/>
      </w:tblPr>
      <w:tblGrid>
        <w:gridCol w:w="2412"/>
        <w:gridCol w:w="2412"/>
        <w:gridCol w:w="2412"/>
        <w:gridCol w:w="2412"/>
      </w:tblGrid>
      <w:tr>
        <w:trPr>
          <w:tblHeader w:val="true"/>
        </w:trPr>
        <w:tc>
          <w:tcPr>
            <w:tcW w:type="dxa" w:w="2128"/>
            <w:shd w:val="clear" w:color="auto" w:fill="1F3A5F"/>
          </w:tcPr>
          <w:p>
            <w:pPr>
              <w:spacing w:after="0"/>
            </w:pPr>
            <w:r/>
            <w:r>
              <w:rPr>
                <w:b/>
                <w:color w:val="FFFFFF"/>
                <w:sz w:val="14"/>
              </w:rPr>
              <w:t>Symptom</w:t>
            </w:r>
          </w:p>
        </w:tc>
        <w:tc>
          <w:tcPr>
            <w:tcW w:type="dxa" w:w="3121"/>
            <w:shd w:val="clear" w:color="auto" w:fill="1F3A5F"/>
          </w:tcPr>
          <w:p>
            <w:pPr>
              <w:spacing w:after="0"/>
            </w:pPr>
            <w:r/>
            <w:r>
              <w:rPr>
                <w:b/>
                <w:color w:val="FFFFFF"/>
                <w:sz w:val="14"/>
              </w:rPr>
              <w:t>Likely cause (evidence)</w:t>
            </w:r>
          </w:p>
        </w:tc>
        <w:tc>
          <w:tcPr>
            <w:tcW w:type="dxa" w:w="2270"/>
            <w:shd w:val="clear" w:color="auto" w:fill="1F3A5F"/>
          </w:tcPr>
          <w:p>
            <w:pPr>
              <w:spacing w:after="0"/>
            </w:pPr>
            <w:r/>
            <w:r>
              <w:rPr>
                <w:b/>
                <w:color w:val="FFFFFF"/>
                <w:sz w:val="14"/>
              </w:rPr>
              <w:t>Diagnose</w:t>
            </w:r>
          </w:p>
        </w:tc>
        <w:tc>
          <w:tcPr>
            <w:tcW w:type="dxa" w:w="2128"/>
            <w:shd w:val="clear" w:color="auto" w:fill="1F3A5F"/>
          </w:tcPr>
          <w:p>
            <w:pPr>
              <w:spacing w:after="0"/>
            </w:pPr>
            <w:r/>
            <w:r>
              <w:rPr>
                <w:b/>
                <w:color w:val="FFFFFF"/>
                <w:sz w:val="14"/>
              </w:rPr>
              <w:t>Fix</w:t>
            </w:r>
          </w:p>
        </w:tc>
      </w:tr>
      <w:tr>
        <w:trPr>
          <w:cantSplit/>
        </w:trPr>
        <w:tc>
          <w:tcPr>
            <w:tcW w:type="dxa" w:w="2128"/>
          </w:tcPr>
          <w:p>
            <w:pPr>
              <w:spacing w:after="0"/>
            </w:pPr>
            <w:r/>
            <w:r>
              <w:rPr>
                <w:sz w:val="14"/>
              </w:rPr>
              <w:t>Backend exits at startup</w:t>
            </w:r>
          </w:p>
        </w:tc>
        <w:tc>
          <w:tcPr>
            <w:tcW w:type="dxa" w:w="3121"/>
          </w:tcPr>
          <w:p>
            <w:pPr>
              <w:spacing w:after="0"/>
            </w:pPr>
            <w:r/>
            <w:r>
              <w:rPr>
                <w:sz w:val="14"/>
              </w:rPr>
              <w:t>dbmigrate failure — startup aborts by design</w:t>
            </w:r>
          </w:p>
        </w:tc>
        <w:tc>
          <w:tcPr>
            <w:tcW w:type="dxa" w:w="2270"/>
          </w:tcPr>
          <w:p>
            <w:pPr>
              <w:spacing w:after="0"/>
            </w:pPr>
            <w:r/>
            <w:r>
              <w:rPr>
                <w:sz w:val="14"/>
              </w:rPr>
              <w:t>podman logs: 'dbmigrate: apply &lt;file&gt;: …'</w:t>
            </w:r>
          </w:p>
        </w:tc>
        <w:tc>
          <w:tcPr>
            <w:tcW w:type="dxa" w:w="2128"/>
          </w:tcPr>
          <w:p>
            <w:pPr>
              <w:spacing w:after="0"/>
            </w:pPr>
            <w:r/>
            <w:r>
              <w:rPr>
                <w:sz w:val="14"/>
              </w:rPr>
              <w:t>Fix the failing migration; never serve with a wrong schema</w:t>
            </w:r>
          </w:p>
        </w:tc>
      </w:tr>
      <w:tr>
        <w:trPr>
          <w:cantSplit/>
        </w:trPr>
        <w:tc>
          <w:tcPr>
            <w:tcW w:type="dxa" w:w="2128"/>
          </w:tcPr>
          <w:p>
            <w:pPr>
              <w:spacing w:after="0"/>
            </w:pPr>
            <w:r/>
            <w:r>
              <w:rPr>
                <w:sz w:val="14"/>
              </w:rPr>
              <w:t>/health ok but every data route 404</w:t>
            </w:r>
          </w:p>
        </w:tc>
        <w:tc>
          <w:tcPr>
            <w:tcW w:type="dxa" w:w="3121"/>
          </w:tcPr>
          <w:p>
            <w:pPr>
              <w:spacing w:after="0"/>
            </w:pPr>
            <w:r/>
            <w:r>
              <w:rPr>
                <w:sz w:val="14"/>
              </w:rPr>
              <w:t>DATABASE_URL empty → health-only mode</w:t>
            </w:r>
          </w:p>
        </w:tc>
        <w:tc>
          <w:tcPr>
            <w:tcW w:type="dxa" w:w="2270"/>
          </w:tcPr>
          <w:p>
            <w:pPr>
              <w:spacing w:after="0"/>
            </w:pPr>
            <w:r/>
            <w:r>
              <w:rPr>
                <w:sz w:val="14"/>
              </w:rPr>
              <w:t>log line 'DATABASE_URL empty; running without DB'</w:t>
            </w:r>
          </w:p>
        </w:tc>
        <w:tc>
          <w:tcPr>
            <w:tcW w:type="dxa" w:w="2128"/>
          </w:tcPr>
          <w:p>
            <w:pPr>
              <w:spacing w:after="0"/>
            </w:pPr>
            <w:r/>
            <w:r>
              <w:rPr>
                <w:sz w:val="14"/>
              </w:rPr>
              <w:t>Set DATABASE_URL and restart</w:t>
            </w:r>
          </w:p>
        </w:tc>
      </w:tr>
      <w:tr>
        <w:trPr>
          <w:cantSplit/>
        </w:trPr>
        <w:tc>
          <w:tcPr>
            <w:tcW w:type="dxa" w:w="2128"/>
          </w:tcPr>
          <w:p>
            <w:pPr>
              <w:spacing w:after="0"/>
            </w:pPr>
            <w:r/>
            <w:r>
              <w:rPr>
                <w:sz w:val="14"/>
              </w:rPr>
              <w:t>Login returns 503</w:t>
            </w:r>
          </w:p>
        </w:tc>
        <w:tc>
          <w:tcPr>
            <w:tcW w:type="dxa" w:w="3121"/>
          </w:tcPr>
          <w:p>
            <w:pPr>
              <w:spacing w:after="0"/>
            </w:pPr>
            <w:r/>
            <w:r>
              <w:rPr>
                <w:sz w:val="14"/>
              </w:rPr>
              <w:t>Redis down and the login limiter is fail-closed</w:t>
            </w:r>
          </w:p>
        </w:tc>
        <w:tc>
          <w:tcPr>
            <w:tcW w:type="dxa" w:w="2270"/>
          </w:tcPr>
          <w:p>
            <w:pPr>
              <w:spacing w:after="0"/>
            </w:pPr>
            <w:r/>
            <w:r>
              <w:rPr>
                <w:sz w:val="14"/>
              </w:rPr>
              <w:t>/ready shows redis unavailable</w:t>
            </w:r>
          </w:p>
        </w:tc>
        <w:tc>
          <w:tcPr>
            <w:tcW w:type="dxa" w:w="2128"/>
          </w:tcPr>
          <w:p>
            <w:pPr>
              <w:spacing w:after="0"/>
            </w:pPr>
            <w:r/>
            <w:r>
              <w:rPr>
                <w:sz w:val="14"/>
              </w:rPr>
              <w:t>Start Redis</w:t>
            </w:r>
          </w:p>
        </w:tc>
      </w:tr>
      <w:tr>
        <w:trPr>
          <w:cantSplit/>
        </w:trPr>
        <w:tc>
          <w:tcPr>
            <w:tcW w:type="dxa" w:w="2128"/>
          </w:tcPr>
          <w:p>
            <w:pPr>
              <w:spacing w:after="0"/>
            </w:pPr>
            <w:r/>
            <w:r>
              <w:rPr>
                <w:sz w:val="14"/>
              </w:rPr>
              <w:t>Login returns 429 immediately</w:t>
            </w:r>
          </w:p>
        </w:tc>
        <w:tc>
          <w:tcPr>
            <w:tcW w:type="dxa" w:w="3121"/>
          </w:tcPr>
          <w:p>
            <w:pPr>
              <w:spacing w:after="0"/>
            </w:pPr>
            <w:r/>
            <w:r>
              <w:rPr>
                <w:sz w:val="14"/>
              </w:rPr>
              <w:t>Shared proxy IP with no TRUSTED_PROXIES set</w:t>
            </w:r>
          </w:p>
        </w:tc>
        <w:tc>
          <w:tcPr>
            <w:tcW w:type="dxa" w:w="2270"/>
          </w:tcPr>
          <w:p>
            <w:pPr>
              <w:spacing w:after="0"/>
            </w:pPr>
            <w:r/>
            <w:r>
              <w:rPr>
                <w:sz w:val="14"/>
              </w:rPr>
              <w:t>Check whether the client IP in logs is the proxy</w:t>
            </w:r>
          </w:p>
        </w:tc>
        <w:tc>
          <w:tcPr>
            <w:tcW w:type="dxa" w:w="2128"/>
          </w:tcPr>
          <w:p>
            <w:pPr>
              <w:spacing w:after="0"/>
            </w:pPr>
            <w:r/>
            <w:r>
              <w:rPr>
                <w:sz w:val="14"/>
              </w:rPr>
              <w:t>Set TRUSTED_PROXIES to the proxy CIDR</w:t>
            </w:r>
          </w:p>
        </w:tc>
      </w:tr>
      <w:tr>
        <w:trPr>
          <w:cantSplit/>
        </w:trPr>
        <w:tc>
          <w:tcPr>
            <w:tcW w:type="dxa" w:w="2128"/>
          </w:tcPr>
          <w:p>
            <w:pPr>
              <w:spacing w:after="0"/>
            </w:pPr>
            <w:r/>
            <w:r>
              <w:rPr>
                <w:sz w:val="14"/>
              </w:rPr>
              <w:t>409 on a form that was submitted once</w:t>
            </w:r>
          </w:p>
        </w:tc>
        <w:tc>
          <w:tcPr>
            <w:tcW w:type="dxa" w:w="3121"/>
          </w:tcPr>
          <w:p>
            <w:pPr>
              <w:spacing w:after="0"/>
            </w:pPr>
            <w:r/>
            <w:r>
              <w:rPr>
                <w:sz w:val="14"/>
              </w:rPr>
              <w:t>A stale Idempotency-Key from a previous attempt</w:t>
            </w:r>
          </w:p>
        </w:tc>
        <w:tc>
          <w:tcPr>
            <w:tcW w:type="dxa" w:w="2270"/>
          </w:tcPr>
          <w:p>
            <w:pPr>
              <w:spacing w:after="0"/>
            </w:pPr>
            <w:r/>
            <w:r>
              <w:rPr>
                <w:sz w:val="14"/>
              </w:rPr>
              <w:t>Network tab: same key, different body</w:t>
            </w:r>
          </w:p>
        </w:tc>
        <w:tc>
          <w:tcPr>
            <w:tcW w:type="dxa" w:w="2128"/>
          </w:tcPr>
          <w:p>
            <w:pPr>
              <w:spacing w:after="0"/>
            </w:pPr>
            <w:r/>
            <w:r>
              <w:rPr>
                <w:sz w:val="14"/>
              </w:rPr>
              <w:t>Reload the form</w:t>
            </w:r>
          </w:p>
        </w:tc>
      </w:tr>
      <w:tr>
        <w:trPr>
          <w:cantSplit/>
        </w:trPr>
        <w:tc>
          <w:tcPr>
            <w:tcW w:type="dxa" w:w="2128"/>
          </w:tcPr>
          <w:p>
            <w:pPr>
              <w:spacing w:after="0"/>
            </w:pPr>
            <w:r/>
            <w:r>
              <w:rPr>
                <w:sz w:val="14"/>
              </w:rPr>
              <w:t>PDF render 404</w:t>
            </w:r>
          </w:p>
        </w:tc>
        <w:tc>
          <w:tcPr>
            <w:tcW w:type="dxa" w:w="3121"/>
          </w:tcPr>
          <w:p>
            <w:pPr>
              <w:spacing w:after="0"/>
            </w:pPr>
            <w:r/>
            <w:r>
              <w:rPr>
                <w:sz w:val="14"/>
              </w:rPr>
              <w:t>No active template for the code</w:t>
            </w:r>
          </w:p>
        </w:tc>
        <w:tc>
          <w:tcPr>
            <w:tcW w:type="dxa" w:w="2270"/>
          </w:tcPr>
          <w:p>
            <w:pPr>
              <w:spacing w:after="0"/>
            </w:pPr>
            <w:r/>
            <w:r>
              <w:rPr>
                <w:sz w:val="14"/>
              </w:rPr>
              <w:t>SELECT count(*) FROM report_templates WHERE report_code='…'</w:t>
            </w:r>
          </w:p>
        </w:tc>
        <w:tc>
          <w:tcPr>
            <w:tcW w:type="dxa" w:w="2128"/>
          </w:tcPr>
          <w:p>
            <w:pPr>
              <w:spacing w:after="0"/>
            </w:pPr>
            <w:r/>
            <w:r>
              <w:rPr>
                <w:sz w:val="14"/>
              </w:rPr>
              <w:t>Activate a template or re-run the seed migrations</w:t>
            </w:r>
          </w:p>
        </w:tc>
      </w:tr>
      <w:tr>
        <w:trPr>
          <w:cantSplit/>
        </w:trPr>
        <w:tc>
          <w:tcPr>
            <w:tcW w:type="dxa" w:w="2128"/>
          </w:tcPr>
          <w:p>
            <w:pPr>
              <w:spacing w:after="0"/>
            </w:pPr>
            <w:r/>
            <w:r>
              <w:rPr>
                <w:sz w:val="14"/>
              </w:rPr>
              <w:t>ERP/POS 502 after a stack restart</w:t>
            </w:r>
          </w:p>
        </w:tc>
        <w:tc>
          <w:tcPr>
            <w:tcW w:type="dxa" w:w="3121"/>
          </w:tcPr>
          <w:p>
            <w:pPr>
              <w:spacing w:after="0"/>
            </w:pPr>
            <w:r/>
            <w:r>
              <w:rPr>
                <w:sz w:val="14"/>
              </w:rPr>
              <w:t>nginx cached a stale backend IP (pre-entrypoint behaviour)</w:t>
            </w:r>
          </w:p>
        </w:tc>
        <w:tc>
          <w:tcPr>
            <w:tcW w:type="dxa" w:w="2270"/>
          </w:tcPr>
          <w:p>
            <w:pPr>
              <w:spacing w:after="0"/>
            </w:pPr>
            <w:r/>
            <w:r>
              <w:rPr>
                <w:sz w:val="14"/>
              </w:rPr>
              <w:t>podman logs keluargamart-erp</w:t>
            </w:r>
          </w:p>
        </w:tc>
        <w:tc>
          <w:tcPr>
            <w:tcW w:type="dxa" w:w="2128"/>
          </w:tcPr>
          <w:p>
            <w:pPr>
              <w:spacing w:after="0"/>
            </w:pPr>
            <w:r/>
            <w:r>
              <w:rPr>
                <w:sz w:val="14"/>
              </w:rPr>
              <w:t>The entrypoint re-resolves; if it persists, restart the container</w:t>
            </w:r>
          </w:p>
        </w:tc>
      </w:tr>
      <w:tr>
        <w:trPr>
          <w:cantSplit/>
        </w:trPr>
        <w:tc>
          <w:tcPr>
            <w:tcW w:type="dxa" w:w="2128"/>
          </w:tcPr>
          <w:p>
            <w:pPr>
              <w:spacing w:after="0"/>
            </w:pPr>
            <w:r/>
            <w:r>
              <w:rPr>
                <w:sz w:val="14"/>
              </w:rPr>
              <w:t>Icons missing in B2B</w:t>
            </w:r>
          </w:p>
        </w:tc>
        <w:tc>
          <w:tcPr>
            <w:tcW w:type="dxa" w:w="3121"/>
          </w:tcPr>
          <w:p>
            <w:pPr>
              <w:spacing w:after="0"/>
            </w:pPr>
            <w:r/>
            <w:r>
              <w:rPr>
                <w:sz w:val="14"/>
              </w:rPr>
              <w:t>Icon not in the client bundle</w:t>
            </w:r>
          </w:p>
        </w:tc>
        <w:tc>
          <w:tcPr>
            <w:tcW w:type="dxa" w:w="2270"/>
          </w:tcPr>
          <w:p>
            <w:pPr>
              <w:spacing w:after="0"/>
            </w:pPr>
            <w:r/>
            <w:r>
              <w:rPr>
                <w:sz w:val="14"/>
              </w:rPr>
              <w:t>Browser console '[Icon] failed to load icon'</w:t>
            </w:r>
          </w:p>
        </w:tc>
        <w:tc>
          <w:tcPr>
            <w:tcW w:type="dxa" w:w="2128"/>
          </w:tcPr>
          <w:p>
            <w:pPr>
              <w:spacing w:after="0"/>
            </w:pPr>
            <w:r/>
            <w:r>
              <w:rPr>
                <w:sz w:val="14"/>
              </w:rPr>
              <w:t>Use a bundled i-lucide-* name or extend icon.clientBundle</w:t>
            </w:r>
          </w:p>
        </w:tc>
      </w:tr>
      <w:tr>
        <w:trPr>
          <w:cantSplit/>
        </w:trPr>
        <w:tc>
          <w:tcPr>
            <w:tcW w:type="dxa" w:w="2128"/>
          </w:tcPr>
          <w:p>
            <w:pPr>
              <w:spacing w:after="0"/>
            </w:pPr>
            <w:r/>
            <w:r>
              <w:rPr>
                <w:sz w:val="14"/>
              </w:rPr>
              <w:t>B2B protected page logs out on refresh</w:t>
            </w:r>
          </w:p>
        </w:tc>
        <w:tc>
          <w:tcPr>
            <w:tcW w:type="dxa" w:w="3121"/>
          </w:tcPr>
          <w:p>
            <w:pPr>
              <w:spacing w:after="0"/>
            </w:pPr>
            <w:r/>
            <w:r>
              <w:rPr>
                <w:sz w:val="14"/>
              </w:rPr>
              <w:t>Cookie not converted to a bearer header</w:t>
            </w:r>
          </w:p>
        </w:tc>
        <w:tc>
          <w:tcPr>
            <w:tcW w:type="dxa" w:w="2270"/>
          </w:tcPr>
          <w:p>
            <w:pPr>
              <w:spacing w:after="0"/>
            </w:pPr>
            <w:r/>
            <w:r>
              <w:rPr>
                <w:sz w:val="14"/>
              </w:rPr>
              <w:t>Check server/api/v1/[...path].ts is the active proxy (not routeRules)</w:t>
            </w:r>
          </w:p>
        </w:tc>
        <w:tc>
          <w:tcPr>
            <w:tcW w:type="dxa" w:w="2128"/>
          </w:tcPr>
          <w:p>
            <w:pPr>
              <w:spacing w:after="0"/>
            </w:pPr>
            <w:r/>
            <w:r>
              <w:rPr>
                <w:sz w:val="14"/>
              </w:rPr>
              <w:t>Keep the catch-all proxy; routeRules bypasses it</w:t>
            </w:r>
          </w:p>
        </w:tc>
      </w:tr>
      <w:tr>
        <w:trPr>
          <w:cantSplit/>
        </w:trPr>
        <w:tc>
          <w:tcPr>
            <w:tcW w:type="dxa" w:w="2128"/>
          </w:tcPr>
          <w:p>
            <w:pPr>
              <w:spacing w:after="0"/>
            </w:pPr>
            <w:r/>
            <w:r>
              <w:rPr>
                <w:sz w:val="14"/>
              </w:rPr>
              <w:t>Container restart loop</w:t>
            </w:r>
          </w:p>
        </w:tc>
        <w:tc>
          <w:tcPr>
            <w:tcW w:type="dxa" w:w="3121"/>
          </w:tcPr>
          <w:p>
            <w:pPr>
              <w:spacing w:after="0"/>
            </w:pPr>
            <w:r/>
            <w:r>
              <w:rPr>
                <w:sz w:val="14"/>
              </w:rPr>
              <w:t>Memory limit exceeded or a failing healthcheck</w:t>
            </w:r>
          </w:p>
        </w:tc>
        <w:tc>
          <w:tcPr>
            <w:tcW w:type="dxa" w:w="2270"/>
          </w:tcPr>
          <w:p>
            <w:pPr>
              <w:spacing w:after="0"/>
            </w:pPr>
            <w:r/>
            <w:r>
              <w:rPr>
                <w:sz w:val="14"/>
              </w:rPr>
              <w:t>podman inspect → State, podman logs</w:t>
            </w:r>
          </w:p>
        </w:tc>
        <w:tc>
          <w:tcPr>
            <w:tcW w:type="dxa" w:w="2128"/>
          </w:tcPr>
          <w:p>
            <w:pPr>
              <w:spacing w:after="0"/>
            </w:pPr>
            <w:r/>
            <w:r>
              <w:rPr>
                <w:sz w:val="14"/>
              </w:rPr>
              <w:t>Raise the limit or fix the healthcheck</w:t>
            </w:r>
          </w:p>
        </w:tc>
      </w:tr>
      <w:tr>
        <w:trPr>
          <w:cantSplit/>
        </w:trPr>
        <w:tc>
          <w:tcPr>
            <w:tcW w:type="dxa" w:w="2128"/>
          </w:tcPr>
          <w:p>
            <w:pPr>
              <w:spacing w:after="0"/>
            </w:pPr>
            <w:r/>
            <w:r>
              <w:rPr>
                <w:sz w:val="14"/>
              </w:rPr>
              <w:t>Migration 000058 fails</w:t>
            </w:r>
          </w:p>
        </w:tc>
        <w:tc>
          <w:tcPr>
            <w:tcW w:type="dxa" w:w="3121"/>
          </w:tcPr>
          <w:p>
            <w:pPr>
              <w:spacing w:after="0"/>
            </w:pPr>
            <w:r/>
            <w:r>
              <w:rPr>
                <w:sz w:val="14"/>
              </w:rPr>
              <w:t>Applied without a transaction (temp table dropped early)</w:t>
            </w:r>
          </w:p>
        </w:tc>
        <w:tc>
          <w:tcPr>
            <w:tcW w:type="dxa" w:w="2270"/>
          </w:tcPr>
          <w:p>
            <w:pPr>
              <w:spacing w:after="0"/>
            </w:pPr>
            <w:r/>
            <w:r>
              <w:rPr>
                <w:sz w:val="14"/>
              </w:rPr>
              <w:t>Error mentions catalog_spec</w:t>
            </w:r>
          </w:p>
        </w:tc>
        <w:tc>
          <w:tcPr>
            <w:tcW w:type="dxa" w:w="2128"/>
          </w:tcPr>
          <w:p>
            <w:pPr>
              <w:spacing w:after="0"/>
            </w:pPr>
            <w:r/>
            <w:r>
              <w:rPr>
                <w:sz w:val="14"/>
              </w:rPr>
              <w:t>Re-apply with --single-transaction (F-09)</w:t>
            </w:r>
          </w:p>
        </w:tc>
      </w:tr>
    </w:tbl>
    <w:p>
      <w:pPr>
        <w:spacing w:after="200"/>
      </w:pPr>
      <w:r>
        <w:rPr>
          <w:i/>
          <w:color w:val="555F6D"/>
          <w:sz w:val="17"/>
        </w:rPr>
        <w:t>Table 94. Troubleshooting scenarios</w:t>
      </w:r>
    </w:p>
    <w:p>
      <w:bookmarkStart w:id="1317" w:name="_Toc1317"/>
      <w:pPr>
        <w:pStyle w:val="Heading1"/>
        <w:pageBreakBefore/>
      </w:pPr>
      <w:r>
        <w:t>33. Business rules and data integrity</w:t>
      </w:r>
      <w:bookmarkEnd w:id="1317"/>
    </w:p>
    <w:p>
      <w:r>
        <w:rPr>
          <w:i w:val="0"/>
        </w:rPr>
        <w:t>Rules below are taken from the implementation, not from retail convention. Where the frontend and backend disagree, the backend is authoritative and the discrepancy is named.</w:t>
      </w:r>
    </w:p>
    <w:p>
      <w:bookmarkStart w:id="1318" w:name="_Toc1318"/>
      <w:pPr>
        <w:pStyle w:val="Heading2"/>
      </w:pPr>
      <w:r>
        <w:t>33.1 Document numbering</w:t>
      </w:r>
      <w:bookmarkEnd w:id="1318"/>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1872"/>
            <w:shd w:val="clear" w:color="auto" w:fill="1F3A5F"/>
          </w:tcPr>
          <w:p>
            <w:pPr>
              <w:spacing w:after="0"/>
            </w:pPr>
            <w:r/>
            <w:r>
              <w:rPr>
                <w:b/>
                <w:color w:val="FFFFFF"/>
                <w:sz w:val="15"/>
              </w:rPr>
              <w:t>Document</w:t>
            </w:r>
          </w:p>
        </w:tc>
        <w:tc>
          <w:tcPr>
            <w:tcW w:type="dxa" w:w="2880"/>
            <w:shd w:val="clear" w:color="auto" w:fill="1F3A5F"/>
          </w:tcPr>
          <w:p>
            <w:pPr>
              <w:spacing w:after="0"/>
            </w:pPr>
            <w:r/>
            <w:r>
              <w:rPr>
                <w:b/>
                <w:color w:val="FFFFFF"/>
                <w:sz w:val="15"/>
              </w:rPr>
              <w:t>Format</w:t>
            </w:r>
          </w:p>
        </w:tc>
        <w:tc>
          <w:tcPr>
            <w:tcW w:type="dxa" w:w="1296"/>
            <w:shd w:val="clear" w:color="auto" w:fill="1F3A5F"/>
          </w:tcPr>
          <w:p>
            <w:pPr>
              <w:spacing w:after="0"/>
            </w:pPr>
            <w:r/>
            <w:r>
              <w:rPr>
                <w:b/>
                <w:color w:val="FFFFFF"/>
                <w:sz w:val="15"/>
              </w:rPr>
              <w:t>Scope</w:t>
            </w:r>
          </w:p>
        </w:tc>
        <w:tc>
          <w:tcPr>
            <w:tcW w:type="dxa" w:w="3312"/>
            <w:shd w:val="clear" w:color="auto" w:fill="1F3A5F"/>
          </w:tcPr>
          <w:p>
            <w:pPr>
              <w:spacing w:after="0"/>
            </w:pPr>
            <w:r/>
            <w:r>
              <w:rPr>
                <w:b/>
                <w:color w:val="FFFFFF"/>
                <w:sz w:val="15"/>
              </w:rPr>
              <w:t>Source</w:t>
            </w:r>
          </w:p>
        </w:tc>
      </w:tr>
      <w:tr>
        <w:trPr>
          <w:cantSplit/>
        </w:trPr>
        <w:tc>
          <w:tcPr>
            <w:tcW w:type="dxa" w:w="1872"/>
          </w:tcPr>
          <w:p>
            <w:pPr>
              <w:spacing w:after="0"/>
            </w:pPr>
            <w:r/>
            <w:r>
              <w:rPr>
                <w:sz w:val="15"/>
              </w:rPr>
              <w:t>Sales order</w:t>
            </w:r>
          </w:p>
        </w:tc>
        <w:tc>
          <w:tcPr>
            <w:tcW w:type="dxa" w:w="2880"/>
          </w:tcPr>
          <w:p>
            <w:pPr>
              <w:spacing w:after="0"/>
            </w:pPr>
            <w:r/>
            <w:r>
              <w:rPr>
                <w:sz w:val="15"/>
              </w:rPr>
              <w:t>SO-YYYYMM-000001</w:t>
            </w:r>
          </w:p>
        </w:tc>
        <w:tc>
          <w:tcPr>
            <w:tcW w:type="dxa" w:w="1296"/>
          </w:tcPr>
          <w:p>
            <w:pPr>
              <w:spacing w:after="0"/>
            </w:pPr>
            <w:r/>
            <w:r>
              <w:rPr>
                <w:sz w:val="15"/>
              </w:rPr>
              <w:t>month</w:t>
            </w:r>
          </w:p>
        </w:tc>
        <w:tc>
          <w:tcPr>
            <w:tcW w:type="dxa" w:w="3312"/>
          </w:tcPr>
          <w:p>
            <w:pPr>
              <w:spacing w:after="0"/>
            </w:pPr>
            <w:r/>
            <w:r>
              <w:rPr>
                <w:sz w:val="15"/>
              </w:rPr>
              <w:t>sales.orderCode (seq.MonthStart)</w:t>
            </w:r>
          </w:p>
        </w:tc>
      </w:tr>
      <w:tr>
        <w:trPr>
          <w:cantSplit/>
        </w:trPr>
        <w:tc>
          <w:tcPr>
            <w:tcW w:type="dxa" w:w="1872"/>
          </w:tcPr>
          <w:p>
            <w:pPr>
              <w:spacing w:after="0"/>
            </w:pPr>
            <w:r/>
            <w:r>
              <w:rPr>
                <w:sz w:val="15"/>
              </w:rPr>
              <w:t>Invoice</w:t>
            </w:r>
          </w:p>
        </w:tc>
        <w:tc>
          <w:tcPr>
            <w:tcW w:type="dxa" w:w="2880"/>
          </w:tcPr>
          <w:p>
            <w:pPr>
              <w:spacing w:after="0"/>
            </w:pPr>
            <w:r/>
            <w:r>
              <w:rPr>
                <w:sz w:val="15"/>
              </w:rPr>
              <w:t>INV-YYYYMM-000001</w:t>
            </w:r>
          </w:p>
        </w:tc>
        <w:tc>
          <w:tcPr>
            <w:tcW w:type="dxa" w:w="1296"/>
          </w:tcPr>
          <w:p>
            <w:pPr>
              <w:spacing w:after="0"/>
            </w:pPr>
            <w:r/>
            <w:r>
              <w:rPr>
                <w:sz w:val="15"/>
              </w:rPr>
              <w:t>month</w:t>
            </w:r>
          </w:p>
        </w:tc>
        <w:tc>
          <w:tcPr>
            <w:tcW w:type="dxa" w:w="3312"/>
          </w:tcPr>
          <w:p>
            <w:pPr>
              <w:spacing w:after="0"/>
            </w:pPr>
            <w:r/>
            <w:r>
              <w:rPr>
                <w:sz w:val="15"/>
              </w:rPr>
              <w:t>sales.orderCode</w:t>
            </w:r>
          </w:p>
        </w:tc>
      </w:tr>
      <w:tr>
        <w:trPr>
          <w:cantSplit/>
        </w:trPr>
        <w:tc>
          <w:tcPr>
            <w:tcW w:type="dxa" w:w="1872"/>
          </w:tcPr>
          <w:p>
            <w:pPr>
              <w:spacing w:after="0"/>
            </w:pPr>
            <w:r/>
            <w:r>
              <w:rPr>
                <w:sz w:val="15"/>
              </w:rPr>
              <w:t>Payment</w:t>
            </w:r>
          </w:p>
        </w:tc>
        <w:tc>
          <w:tcPr>
            <w:tcW w:type="dxa" w:w="2880"/>
          </w:tcPr>
          <w:p>
            <w:pPr>
              <w:spacing w:after="0"/>
            </w:pPr>
            <w:r/>
            <w:r>
              <w:rPr>
                <w:sz w:val="15"/>
              </w:rPr>
              <w:t>PAY-YYYYMM-000001</w:t>
            </w:r>
          </w:p>
        </w:tc>
        <w:tc>
          <w:tcPr>
            <w:tcW w:type="dxa" w:w="1296"/>
          </w:tcPr>
          <w:p>
            <w:pPr>
              <w:spacing w:after="0"/>
            </w:pPr>
            <w:r/>
            <w:r>
              <w:rPr>
                <w:sz w:val="15"/>
              </w:rPr>
              <w:t>month</w:t>
            </w:r>
          </w:p>
        </w:tc>
        <w:tc>
          <w:tcPr>
            <w:tcW w:type="dxa" w:w="3312"/>
          </w:tcPr>
          <w:p>
            <w:pPr>
              <w:spacing w:after="0"/>
            </w:pPr>
            <w:r/>
            <w:r>
              <w:rPr>
                <w:sz w:val="15"/>
              </w:rPr>
              <w:t>sales.prefixedCode (seqKeyPay)</w:t>
            </w:r>
          </w:p>
        </w:tc>
      </w:tr>
      <w:tr>
        <w:trPr>
          <w:cantSplit/>
        </w:trPr>
        <w:tc>
          <w:tcPr>
            <w:tcW w:type="dxa" w:w="1872"/>
          </w:tcPr>
          <w:p>
            <w:pPr>
              <w:spacing w:after="0"/>
            </w:pPr>
            <w:r/>
            <w:r>
              <w:rPr>
                <w:sz w:val="15"/>
              </w:rPr>
              <w:t>Return</w:t>
            </w:r>
          </w:p>
        </w:tc>
        <w:tc>
          <w:tcPr>
            <w:tcW w:type="dxa" w:w="2880"/>
          </w:tcPr>
          <w:p>
            <w:pPr>
              <w:spacing w:after="0"/>
            </w:pPr>
            <w:r/>
            <w:r>
              <w:rPr>
                <w:sz w:val="15"/>
              </w:rPr>
              <w:t>RTN-YYYYMM-000001</w:t>
            </w:r>
          </w:p>
        </w:tc>
        <w:tc>
          <w:tcPr>
            <w:tcW w:type="dxa" w:w="1296"/>
          </w:tcPr>
          <w:p>
            <w:pPr>
              <w:spacing w:after="0"/>
            </w:pPr>
            <w:r/>
            <w:r>
              <w:rPr>
                <w:sz w:val="15"/>
              </w:rPr>
              <w:t>month</w:t>
            </w:r>
          </w:p>
        </w:tc>
        <w:tc>
          <w:tcPr>
            <w:tcW w:type="dxa" w:w="3312"/>
          </w:tcPr>
          <w:p>
            <w:pPr>
              <w:spacing w:after="0"/>
            </w:pPr>
            <w:r/>
            <w:r>
              <w:rPr>
                <w:sz w:val="15"/>
              </w:rPr>
              <w:t>sales.orderCode</w:t>
            </w:r>
          </w:p>
        </w:tc>
      </w:tr>
      <w:tr>
        <w:trPr>
          <w:cantSplit/>
        </w:trPr>
        <w:tc>
          <w:tcPr>
            <w:tcW w:type="dxa" w:w="1872"/>
          </w:tcPr>
          <w:p>
            <w:pPr>
              <w:spacing w:after="0"/>
            </w:pPr>
            <w:r/>
            <w:r>
              <w:rPr>
                <w:sz w:val="15"/>
              </w:rPr>
              <w:t>Stock movement</w:t>
            </w:r>
          </w:p>
        </w:tc>
        <w:tc>
          <w:tcPr>
            <w:tcW w:type="dxa" w:w="2880"/>
          </w:tcPr>
          <w:p>
            <w:pPr>
              <w:spacing w:after="0"/>
            </w:pPr>
            <w:r/>
            <w:r>
              <w:rPr>
                <w:sz w:val="15"/>
              </w:rPr>
              <w:t>SM-YYYYMMDD-0001</w:t>
            </w:r>
          </w:p>
        </w:tc>
        <w:tc>
          <w:tcPr>
            <w:tcW w:type="dxa" w:w="1296"/>
          </w:tcPr>
          <w:p>
            <w:pPr>
              <w:spacing w:after="0"/>
            </w:pPr>
            <w:r/>
            <w:r>
              <w:rPr>
                <w:sz w:val="15"/>
              </w:rPr>
              <w:t>day</w:t>
            </w:r>
          </w:p>
        </w:tc>
        <w:tc>
          <w:tcPr>
            <w:tcW w:type="dxa" w:w="3312"/>
          </w:tcPr>
          <w:p>
            <w:pPr>
              <w:spacing w:after="0"/>
            </w:pPr>
            <w:r/>
            <w:r>
              <w:rPr>
                <w:sz w:val="15"/>
              </w:rPr>
              <w:t>inventory</w:t>
            </w:r>
          </w:p>
        </w:tc>
      </w:tr>
      <w:tr>
        <w:trPr>
          <w:cantSplit/>
        </w:trPr>
        <w:tc>
          <w:tcPr>
            <w:tcW w:type="dxa" w:w="1872"/>
          </w:tcPr>
          <w:p>
            <w:pPr>
              <w:spacing w:after="0"/>
            </w:pPr>
            <w:r/>
            <w:r>
              <w:rPr>
                <w:sz w:val="15"/>
              </w:rPr>
              <w:t>Opname / transfer</w:t>
            </w:r>
          </w:p>
        </w:tc>
        <w:tc>
          <w:tcPr>
            <w:tcW w:type="dxa" w:w="2880"/>
          </w:tcPr>
          <w:p>
            <w:pPr>
              <w:spacing w:after="0"/>
            </w:pPr>
            <w:r/>
            <w:r>
              <w:rPr>
                <w:sz w:val="15"/>
              </w:rPr>
              <w:t>OPN- / TRF- YYYYMMDD-0001</w:t>
            </w:r>
          </w:p>
        </w:tc>
        <w:tc>
          <w:tcPr>
            <w:tcW w:type="dxa" w:w="1296"/>
          </w:tcPr>
          <w:p>
            <w:pPr>
              <w:spacing w:after="0"/>
            </w:pPr>
            <w:r/>
            <w:r>
              <w:rPr>
                <w:sz w:val="15"/>
              </w:rPr>
              <w:t>day</w:t>
            </w:r>
          </w:p>
        </w:tc>
        <w:tc>
          <w:tcPr>
            <w:tcW w:type="dxa" w:w="3312"/>
          </w:tcPr>
          <w:p>
            <w:pPr>
              <w:spacing w:after="0"/>
            </w:pPr>
            <w:r/>
            <w:r>
              <w:rPr>
                <w:sz w:val="15"/>
              </w:rPr>
              <w:t>inventory</w:t>
            </w:r>
          </w:p>
        </w:tc>
      </w:tr>
      <w:tr>
        <w:trPr>
          <w:cantSplit/>
        </w:trPr>
        <w:tc>
          <w:tcPr>
            <w:tcW w:type="dxa" w:w="1872"/>
          </w:tcPr>
          <w:p>
            <w:pPr>
              <w:spacing w:after="0"/>
            </w:pPr>
            <w:r/>
            <w:r>
              <w:rPr>
                <w:sz w:val="15"/>
              </w:rPr>
              <w:t>Purchase order / GR</w:t>
            </w:r>
          </w:p>
        </w:tc>
        <w:tc>
          <w:tcPr>
            <w:tcW w:type="dxa" w:w="2880"/>
          </w:tcPr>
          <w:p>
            <w:pPr>
              <w:spacing w:after="0"/>
            </w:pPr>
            <w:r/>
            <w:r>
              <w:rPr>
                <w:sz w:val="15"/>
              </w:rPr>
              <w:t>PO- / GR- YYYYMMDD-0001</w:t>
            </w:r>
          </w:p>
        </w:tc>
        <w:tc>
          <w:tcPr>
            <w:tcW w:type="dxa" w:w="1296"/>
          </w:tcPr>
          <w:p>
            <w:pPr>
              <w:spacing w:after="0"/>
            </w:pPr>
            <w:r/>
            <w:r>
              <w:rPr>
                <w:sz w:val="15"/>
              </w:rPr>
              <w:t>day</w:t>
            </w:r>
          </w:p>
        </w:tc>
        <w:tc>
          <w:tcPr>
            <w:tcW w:type="dxa" w:w="3312"/>
          </w:tcPr>
          <w:p>
            <w:pPr>
              <w:spacing w:after="0"/>
            </w:pPr>
            <w:r/>
            <w:r>
              <w:rPr>
                <w:sz w:val="15"/>
              </w:rPr>
              <w:t>purchasing</w:t>
            </w:r>
          </w:p>
        </w:tc>
      </w:tr>
      <w:tr>
        <w:trPr>
          <w:cantSplit/>
        </w:trPr>
        <w:tc>
          <w:tcPr>
            <w:tcW w:type="dxa" w:w="1872"/>
          </w:tcPr>
          <w:p>
            <w:pPr>
              <w:spacing w:after="0"/>
            </w:pPr>
            <w:r/>
            <w:r>
              <w:rPr>
                <w:sz w:val="15"/>
              </w:rPr>
              <w:t>Cashflow</w:t>
            </w:r>
          </w:p>
        </w:tc>
        <w:tc>
          <w:tcPr>
            <w:tcW w:type="dxa" w:w="2880"/>
          </w:tcPr>
          <w:p>
            <w:pPr>
              <w:spacing w:after="0"/>
            </w:pPr>
            <w:r/>
            <w:r>
              <w:rPr>
                <w:sz w:val="15"/>
              </w:rPr>
              <w:t>CF-YYYYMMDD-0001</w:t>
            </w:r>
          </w:p>
        </w:tc>
        <w:tc>
          <w:tcPr>
            <w:tcW w:type="dxa" w:w="1296"/>
          </w:tcPr>
          <w:p>
            <w:pPr>
              <w:spacing w:after="0"/>
            </w:pPr>
            <w:r/>
            <w:r>
              <w:rPr>
                <w:sz w:val="15"/>
              </w:rPr>
              <w:t>day</w:t>
            </w:r>
          </w:p>
        </w:tc>
        <w:tc>
          <w:tcPr>
            <w:tcW w:type="dxa" w:w="3312"/>
          </w:tcPr>
          <w:p>
            <w:pPr>
              <w:spacing w:after="0"/>
            </w:pPr>
            <w:r/>
            <w:r>
              <w:rPr>
                <w:sz w:val="15"/>
              </w:rPr>
              <w:t>finance.cfCode</w:t>
            </w:r>
          </w:p>
        </w:tc>
      </w:tr>
      <w:tr>
        <w:trPr>
          <w:cantSplit/>
        </w:trPr>
        <w:tc>
          <w:tcPr>
            <w:tcW w:type="dxa" w:w="1872"/>
          </w:tcPr>
          <w:p>
            <w:pPr>
              <w:spacing w:after="0"/>
            </w:pPr>
            <w:r/>
            <w:r>
              <w:rPr>
                <w:sz w:val="15"/>
              </w:rPr>
              <w:t>Customer / supplier</w:t>
            </w:r>
          </w:p>
        </w:tc>
        <w:tc>
          <w:tcPr>
            <w:tcW w:type="dxa" w:w="2880"/>
          </w:tcPr>
          <w:p>
            <w:pPr>
              <w:spacing w:after="0"/>
            </w:pPr>
            <w:r/>
            <w:r>
              <w:rPr>
                <w:sz w:val="15"/>
              </w:rPr>
              <w:t>CUS-001 / SUP-001</w:t>
            </w:r>
          </w:p>
        </w:tc>
        <w:tc>
          <w:tcPr>
            <w:tcW w:type="dxa" w:w="1296"/>
          </w:tcPr>
          <w:p>
            <w:pPr>
              <w:spacing w:after="0"/>
            </w:pPr>
            <w:r/>
            <w:r>
              <w:rPr>
                <w:sz w:val="15"/>
              </w:rPr>
              <w:t>global</w:t>
            </w:r>
          </w:p>
        </w:tc>
        <w:tc>
          <w:tcPr>
            <w:tcW w:type="dxa" w:w="3312"/>
          </w:tcPr>
          <w:p>
            <w:pPr>
              <w:spacing w:after="0"/>
            </w:pPr>
            <w:r/>
            <w:r>
              <w:rPr>
                <w:sz w:val="15"/>
              </w:rPr>
              <w:t>partners</w:t>
            </w:r>
          </w:p>
        </w:tc>
      </w:tr>
      <w:tr>
        <w:trPr>
          <w:cantSplit/>
        </w:trPr>
        <w:tc>
          <w:tcPr>
            <w:tcW w:type="dxa" w:w="1872"/>
          </w:tcPr>
          <w:p>
            <w:pPr>
              <w:spacing w:after="0"/>
            </w:pPr>
            <w:r/>
            <w:r>
              <w:rPr>
                <w:sz w:val="15"/>
              </w:rPr>
              <w:t>Employee</w:t>
            </w:r>
          </w:p>
        </w:tc>
        <w:tc>
          <w:tcPr>
            <w:tcW w:type="dxa" w:w="2880"/>
          </w:tcPr>
          <w:p>
            <w:pPr>
              <w:spacing w:after="0"/>
            </w:pPr>
            <w:r/>
            <w:r>
              <w:rPr>
                <w:sz w:val="15"/>
              </w:rPr>
              <w:t>EMP-0001</w:t>
            </w:r>
          </w:p>
        </w:tc>
        <w:tc>
          <w:tcPr>
            <w:tcW w:type="dxa" w:w="1296"/>
          </w:tcPr>
          <w:p>
            <w:pPr>
              <w:spacing w:after="0"/>
            </w:pPr>
            <w:r/>
            <w:r>
              <w:rPr>
                <w:sz w:val="15"/>
              </w:rPr>
              <w:t>global (anchored)</w:t>
            </w:r>
          </w:p>
        </w:tc>
        <w:tc>
          <w:tcPr>
            <w:tcW w:type="dxa" w:w="3312"/>
          </w:tcPr>
          <w:p>
            <w:pPr>
              <w:spacing w:after="0"/>
            </w:pPr>
            <w:r/>
            <w:r>
              <w:rPr>
                <w:sz w:val="15"/>
              </w:rPr>
              <w:t>hr</w:t>
            </w:r>
          </w:p>
        </w:tc>
      </w:tr>
      <w:tr>
        <w:trPr>
          <w:cantSplit/>
        </w:trPr>
        <w:tc>
          <w:tcPr>
            <w:tcW w:type="dxa" w:w="1872"/>
          </w:tcPr>
          <w:p>
            <w:pPr>
              <w:spacing w:after="0"/>
            </w:pPr>
            <w:r/>
            <w:r>
              <w:rPr>
                <w:sz w:val="15"/>
              </w:rPr>
              <w:t>Ticket</w:t>
            </w:r>
          </w:p>
        </w:tc>
        <w:tc>
          <w:tcPr>
            <w:tcW w:type="dxa" w:w="2880"/>
          </w:tcPr>
          <w:p>
            <w:pPr>
              <w:spacing w:after="0"/>
            </w:pPr>
            <w:r/>
            <w:r>
              <w:rPr>
                <w:sz w:val="15"/>
              </w:rPr>
              <w:t>TKT-YYYYMMDD-0001</w:t>
            </w:r>
          </w:p>
        </w:tc>
        <w:tc>
          <w:tcPr>
            <w:tcW w:type="dxa" w:w="1296"/>
          </w:tcPr>
          <w:p>
            <w:pPr>
              <w:spacing w:after="0"/>
            </w:pPr>
            <w:r/>
            <w:r>
              <w:rPr>
                <w:sz w:val="15"/>
              </w:rPr>
              <w:t>day</w:t>
            </w:r>
          </w:p>
        </w:tc>
        <w:tc>
          <w:tcPr>
            <w:tcW w:type="dxa" w:w="3312"/>
          </w:tcPr>
          <w:p>
            <w:pPr>
              <w:spacing w:after="0"/>
            </w:pPr>
            <w:r/>
            <w:r>
              <w:rPr>
                <w:sz w:val="15"/>
              </w:rPr>
              <w:t>tickets</w:t>
            </w:r>
          </w:p>
        </w:tc>
      </w:tr>
    </w:tbl>
    <w:p>
      <w:pPr>
        <w:spacing w:after="200"/>
      </w:pPr>
      <w:r>
        <w:rPr>
          <w:i/>
          <w:color w:val="555F6D"/>
          <w:sz w:val="17"/>
        </w:rPr>
        <w:t>Table 95. Document-number formats (all allocated atomically inside the caller's transaction)</w:t>
      </w:r>
    </w:p>
    <w:p>
      <w:bookmarkStart w:id="1319" w:name="_Toc1319"/>
      <w:pPr>
        <w:pStyle w:val="Heading2"/>
      </w:pPr>
      <w:r>
        <w:t>33.2 Money and rounding</w:t>
      </w:r>
      <w:bookmarkEnd w:id="1319"/>
    </w:p>
    <w:p>
      <w:pPr>
        <w:pStyle w:val="ListBullet"/>
      </w:pPr>
      <w:r>
        <w:t>Storage: NUMERIC(15,2) for money, NUMERIC(12,4) for quantities, NUMERIC(14,4) for conversion factors.</w:t>
      </w:r>
    </w:p>
    <w:p>
      <w:pPr>
        <w:pStyle w:val="ListBullet"/>
      </w:pPr>
      <w:r>
        <w:t>Arithmetic: shopspring/decimal throughout; no float64 in any money path.</w:t>
      </w:r>
    </w:p>
    <w:p>
      <w:pPr>
        <w:pStyle w:val="ListBullet"/>
      </w:pPr>
      <w:r>
        <w:t>Order totals: tax = subtotal × tax% / 100; discount clamped to subtotal + tax; total = subtotal + tax − discount + shipping.</w:t>
      </w:r>
    </w:p>
    <w:p>
      <w:pPr>
        <w:pStyle w:val="ListBullet"/>
      </w:pPr>
      <w:r>
        <w:t>Line totals: subtotal = unit_price × quantity − discount_amount, where discount_amount = unit_price × quantity × discount% / 100.</w:t>
      </w:r>
    </w:p>
    <w:p>
      <w:pPr>
        <w:pStyle w:val="ListBullet"/>
      </w:pPr>
      <w:r>
        <w:t>Refunds: pro-rata from the immutable line subtotal, rounded to 2 dp at the line level.</w:t>
      </w:r>
    </w:p>
    <w:p>
      <w:pPr>
        <w:pStyle w:val="ListBullet"/>
      </w:pPr>
      <w:r>
        <w:t>The frontend shows the server's numbers; it does not recompute a total that will be persisted.</w:t>
      </w:r>
    </w:p>
    <w:p>
      <w:bookmarkStart w:id="1320" w:name="_Toc1320"/>
      <w:pPr>
        <w:pStyle w:val="Heading2"/>
      </w:pPr>
      <w:r>
        <w:t>33.3 Stock rules</w:t>
      </w:r>
      <w:bookmarkEnd w:id="1320"/>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880"/>
            <w:shd w:val="clear" w:color="auto" w:fill="1F3A5F"/>
          </w:tcPr>
          <w:p>
            <w:pPr>
              <w:spacing w:after="0"/>
            </w:pPr>
            <w:r/>
            <w:r>
              <w:rPr>
                <w:b/>
                <w:color w:val="FFFFFF"/>
                <w:sz w:val="15"/>
              </w:rPr>
              <w:t>Rule</w:t>
            </w:r>
          </w:p>
        </w:tc>
        <w:tc>
          <w:tcPr>
            <w:tcW w:type="dxa" w:w="2880"/>
            <w:shd w:val="clear" w:color="auto" w:fill="1F3A5F"/>
          </w:tcPr>
          <w:p>
            <w:pPr>
              <w:spacing w:after="0"/>
            </w:pPr>
            <w:r/>
            <w:r>
              <w:rPr>
                <w:b/>
                <w:color w:val="FFFFFF"/>
                <w:sz w:val="15"/>
              </w:rPr>
              <w:t>Implementation</w:t>
            </w:r>
          </w:p>
        </w:tc>
        <w:tc>
          <w:tcPr>
            <w:tcW w:type="dxa" w:w="3600"/>
            <w:shd w:val="clear" w:color="auto" w:fill="1F3A5F"/>
          </w:tcPr>
          <w:p>
            <w:pPr>
              <w:spacing w:after="0"/>
            </w:pPr>
            <w:r/>
            <w:r>
              <w:rPr>
                <w:b/>
                <w:color w:val="FFFFFF"/>
                <w:sz w:val="15"/>
              </w:rPr>
              <w:t>Consequence</w:t>
            </w:r>
          </w:p>
        </w:tc>
      </w:tr>
      <w:tr>
        <w:trPr>
          <w:cantSplit/>
        </w:trPr>
        <w:tc>
          <w:tcPr>
            <w:tcW w:type="dxa" w:w="2880"/>
          </w:tcPr>
          <w:p>
            <w:pPr>
              <w:spacing w:after="0"/>
            </w:pPr>
            <w:r/>
            <w:r>
              <w:rPr>
                <w:sz w:val="15"/>
              </w:rPr>
              <w:t>One stock row per (product, warehouse)</w:t>
            </w:r>
          </w:p>
        </w:tc>
        <w:tc>
          <w:tcPr>
            <w:tcW w:type="dxa" w:w="2880"/>
          </w:tcPr>
          <w:p>
            <w:pPr>
              <w:spacing w:after="0"/>
            </w:pPr>
            <w:r/>
            <w:r>
              <w:rPr>
                <w:sz w:val="15"/>
              </w:rPr>
              <w:t>UNIQUE constraint</w:t>
            </w:r>
          </w:p>
        </w:tc>
        <w:tc>
          <w:tcPr>
            <w:tcW w:type="dxa" w:w="3600"/>
          </w:tcPr>
          <w:p>
            <w:pPr>
              <w:spacing w:after="0"/>
            </w:pPr>
            <w:r/>
            <w:r>
              <w:rPr>
                <w:sz w:val="15"/>
              </w:rPr>
              <w:t>Adjustments create the row on first use</w:t>
            </w:r>
          </w:p>
        </w:tc>
      </w:tr>
      <w:tr>
        <w:trPr>
          <w:cantSplit/>
        </w:trPr>
        <w:tc>
          <w:tcPr>
            <w:tcW w:type="dxa" w:w="2880"/>
          </w:tcPr>
          <w:p>
            <w:pPr>
              <w:spacing w:after="0"/>
            </w:pPr>
            <w:r/>
            <w:r>
              <w:rPr>
                <w:sz w:val="15"/>
              </w:rPr>
              <w:t>Regular orders reserve, POS/e-commerce deduct</w:t>
            </w:r>
          </w:p>
        </w:tc>
        <w:tc>
          <w:tcPr>
            <w:tcW w:type="dxa" w:w="2880"/>
          </w:tcPr>
          <w:p>
            <w:pPr>
              <w:spacing w:after="0"/>
            </w:pPr>
            <w:r/>
            <w:r>
              <w:rPr>
                <w:sz w:val="15"/>
              </w:rPr>
              <w:t>reserveStock vs deductStock</w:t>
            </w:r>
          </w:p>
        </w:tc>
        <w:tc>
          <w:tcPr>
            <w:tcW w:type="dxa" w:w="3600"/>
          </w:tcPr>
          <w:p>
            <w:pPr>
              <w:spacing w:after="0"/>
            </w:pPr>
            <w:r/>
            <w:r>
              <w:rPr>
                <w:sz w:val="15"/>
              </w:rPr>
              <w:t>A draft order does not remove sellable stock; it reduces availability</w:t>
            </w:r>
          </w:p>
        </w:tc>
      </w:tr>
      <w:tr>
        <w:trPr>
          <w:cantSplit/>
        </w:trPr>
        <w:tc>
          <w:tcPr>
            <w:tcW w:type="dxa" w:w="2880"/>
          </w:tcPr>
          <w:p>
            <w:pPr>
              <w:spacing w:after="0"/>
            </w:pPr>
            <w:r/>
            <w:r>
              <w:rPr>
                <w:sz w:val="15"/>
              </w:rPr>
              <w:t>Available = quantity − reserved_quantity</w:t>
            </w:r>
          </w:p>
        </w:tc>
        <w:tc>
          <w:tcPr>
            <w:tcW w:type="dxa" w:w="2880"/>
          </w:tcPr>
          <w:p>
            <w:pPr>
              <w:spacing w:after="0"/>
            </w:pPr>
            <w:r/>
            <w:r>
              <w:rPr>
                <w:sz w:val="15"/>
              </w:rPr>
              <w:t>sales.available()</w:t>
            </w:r>
          </w:p>
        </w:tc>
        <w:tc>
          <w:tcPr>
            <w:tcW w:type="dxa" w:w="3600"/>
          </w:tcPr>
          <w:p>
            <w:pPr>
              <w:spacing w:after="0"/>
            </w:pPr>
            <w:r/>
            <w:r>
              <w:rPr>
                <w:sz w:val="15"/>
              </w:rPr>
              <w:t>POS sees only what is not reserved</w:t>
            </w:r>
          </w:p>
        </w:tc>
      </w:tr>
      <w:tr>
        <w:trPr>
          <w:cantSplit/>
        </w:trPr>
        <w:tc>
          <w:tcPr>
            <w:tcW w:type="dxa" w:w="2880"/>
          </w:tcPr>
          <w:p>
            <w:pPr>
              <w:spacing w:after="0"/>
            </w:pPr>
            <w:r/>
            <w:r>
              <w:rPr>
                <w:sz w:val="15"/>
              </w:rPr>
              <w:t>Negative stock is policy, not a constraint</w:t>
            </w:r>
          </w:p>
        </w:tc>
        <w:tc>
          <w:tcPr>
            <w:tcW w:type="dxa" w:w="2880"/>
          </w:tcPr>
          <w:p>
            <w:pPr>
              <w:spacing w:after="0"/>
            </w:pPr>
            <w:r/>
            <w:r>
              <w:rPr>
                <w:sz w:val="15"/>
              </w:rPr>
              <w:t>ALLOW_NEGATIVE_STOCK (default true)</w:t>
            </w:r>
          </w:p>
        </w:tc>
        <w:tc>
          <w:tcPr>
            <w:tcW w:type="dxa" w:w="3600"/>
          </w:tcPr>
          <w:p>
            <w:pPr>
              <w:spacing w:after="0"/>
            </w:pPr>
            <w:r/>
            <w:r>
              <w:rPr>
                <w:sz w:val="15"/>
              </w:rPr>
              <w:t>POS can oversell; set false to refuse</w:t>
            </w:r>
          </w:p>
        </w:tc>
      </w:tr>
      <w:tr>
        <w:trPr>
          <w:cantSplit/>
        </w:trPr>
        <w:tc>
          <w:tcPr>
            <w:tcW w:type="dxa" w:w="2880"/>
          </w:tcPr>
          <w:p>
            <w:pPr>
              <w:spacing w:after="0"/>
            </w:pPr>
            <w:r/>
            <w:r>
              <w:rPr>
                <w:sz w:val="15"/>
              </w:rPr>
              <w:t>Every change writes a movement</w:t>
            </w:r>
          </w:p>
        </w:tc>
        <w:tc>
          <w:tcPr>
            <w:tcW w:type="dxa" w:w="2880"/>
          </w:tcPr>
          <w:p>
            <w:pPr>
              <w:spacing w:after="0"/>
            </w:pPr>
            <w:r/>
            <w:r>
              <w:rPr>
                <w:sz w:val="15"/>
              </w:rPr>
              <w:t>stock_movements with before/after</w:t>
            </w:r>
          </w:p>
        </w:tc>
        <w:tc>
          <w:tcPr>
            <w:tcW w:type="dxa" w:w="3600"/>
          </w:tcPr>
          <w:p>
            <w:pPr>
              <w:spacing w:after="0"/>
            </w:pPr>
            <w:r/>
            <w:r>
              <w:rPr>
                <w:sz w:val="15"/>
              </w:rPr>
              <w:t>Stock history is reconstructible</w:t>
            </w:r>
          </w:p>
        </w:tc>
      </w:tr>
      <w:tr>
        <w:trPr>
          <w:cantSplit/>
        </w:trPr>
        <w:tc>
          <w:tcPr>
            <w:tcW w:type="dxa" w:w="2880"/>
          </w:tcPr>
          <w:p>
            <w:pPr>
              <w:spacing w:after="0"/>
            </w:pPr>
            <w:r/>
            <w:r>
              <w:rPr>
                <w:sz w:val="15"/>
              </w:rPr>
              <w:t>Opname finalisation posts the difference</w:t>
            </w:r>
          </w:p>
        </w:tc>
        <w:tc>
          <w:tcPr>
            <w:tcW w:type="dxa" w:w="2880"/>
          </w:tcPr>
          <w:p>
            <w:pPr>
              <w:spacing w:after="0"/>
            </w:pPr>
            <w:r/>
            <w:r>
              <w:rPr>
                <w:sz w:val="15"/>
              </w:rPr>
              <w:t>adjustStock(diff, 'opname')</w:t>
            </w:r>
          </w:p>
        </w:tc>
        <w:tc>
          <w:tcPr>
            <w:tcW w:type="dxa" w:w="3600"/>
          </w:tcPr>
          <w:p>
            <w:pPr>
              <w:spacing w:after="0"/>
            </w:pPr>
            <w:r/>
            <w:r>
              <w:rPr>
                <w:sz w:val="15"/>
              </w:rPr>
              <w:t>Physical count becomes the ledger truth</w:t>
            </w:r>
          </w:p>
        </w:tc>
      </w:tr>
    </w:tbl>
    <w:p>
      <w:pPr>
        <w:spacing w:after="200"/>
      </w:pPr>
      <w:r>
        <w:rPr>
          <w:i/>
          <w:color w:val="555F6D"/>
          <w:sz w:val="17"/>
        </w:rPr>
        <w:t>Table 96. Stock rules</w:t>
      </w:r>
    </w:p>
    <w:p>
      <w:bookmarkStart w:id="1321" w:name="_Toc1321"/>
      <w:pPr>
        <w:pStyle w:val="Heading2"/>
      </w:pPr>
      <w:r>
        <w:t>33.4 Financial immutability</w:t>
      </w:r>
      <w:bookmarkEnd w:id="1321"/>
    </w:p>
    <w:p>
      <w:pPr>
        <w:pStyle w:val="ListBullet"/>
      </w:pPr>
      <w:r>
        <w:t>A generated cashflow (reference_type + reference_id set) cannot have its amount or reference changed and cannot be deleted (trigger).</w:t>
      </w:r>
    </w:p>
    <w:p>
      <w:pPr>
        <w:pStyle w:val="ListBullet"/>
      </w:pPr>
      <w:r>
        <w:t>A cashflow whose date falls in a locked accounting period cannot be inserted, updated or deleted (trigger).</w:t>
      </w:r>
    </w:p>
    <w:p>
      <w:pPr>
        <w:pStyle w:val="ListBullet"/>
      </w:pPr>
      <w:r>
        <w:t>Journal entries are posted once and corrected only by a linked reversal; the service refuses to post an unbalanced or zero entry.</w:t>
      </w:r>
    </w:p>
    <w:p>
      <w:pPr>
        <w:pStyle w:val="ListBullet"/>
      </w:pPr>
      <w:r>
        <w:t>A cancelled invoice keeps its original total_amount: the status marks a write-off, not a zeroing (documented in the OpenAPI schema description).</w:t>
      </w:r>
    </w:p>
    <w:p>
      <w:pPr>
        <w:pStyle w:val="ListBullet"/>
      </w:pPr>
      <w:r>
        <w:t>Order payments and completed POS transactions have no update or delete endpoint.</w:t>
      </w:r>
    </w:p>
    <w:p>
      <w:bookmarkStart w:id="1322" w:name="_Toc1322"/>
      <w:pPr>
        <w:pStyle w:val="Heading2"/>
      </w:pPr>
      <w:r>
        <w:t>33.5 Pricing precedence</w:t>
      </w:r>
      <w:bookmarkEnd w:id="1322"/>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1728"/>
            <w:shd w:val="clear" w:color="auto" w:fill="1F3A5F"/>
          </w:tcPr>
          <w:p>
            <w:pPr>
              <w:spacing w:after="0"/>
            </w:pPr>
            <w:r/>
            <w:r>
              <w:rPr>
                <w:b/>
                <w:color w:val="FFFFFF"/>
                <w:sz w:val="16"/>
              </w:rPr>
              <w:t>Layer</w:t>
            </w:r>
          </w:p>
        </w:tc>
        <w:tc>
          <w:tcPr>
            <w:tcW w:type="dxa" w:w="5328"/>
            <w:shd w:val="clear" w:color="auto" w:fill="1F3A5F"/>
          </w:tcPr>
          <w:p>
            <w:pPr>
              <w:spacing w:after="0"/>
            </w:pPr>
            <w:r/>
            <w:r>
              <w:rPr>
                <w:b/>
                <w:color w:val="FFFFFF"/>
                <w:sz w:val="16"/>
              </w:rPr>
              <w:t>Rule</w:t>
            </w:r>
          </w:p>
        </w:tc>
        <w:tc>
          <w:tcPr>
            <w:tcW w:type="dxa" w:w="2304"/>
            <w:shd w:val="clear" w:color="auto" w:fill="1F3A5F"/>
          </w:tcPr>
          <w:p>
            <w:pPr>
              <w:spacing w:after="0"/>
            </w:pPr>
            <w:r/>
            <w:r>
              <w:rPr>
                <w:b/>
                <w:color w:val="FFFFFF"/>
                <w:sz w:val="16"/>
              </w:rPr>
              <w:t>Where</w:t>
            </w:r>
          </w:p>
        </w:tc>
      </w:tr>
      <w:tr>
        <w:trPr>
          <w:cantSplit/>
        </w:trPr>
        <w:tc>
          <w:tcPr>
            <w:tcW w:type="dxa" w:w="1728"/>
          </w:tcPr>
          <w:p>
            <w:pPr>
              <w:spacing w:after="0"/>
            </w:pPr>
            <w:r/>
            <w:r>
              <w:rPr>
                <w:sz w:val="16"/>
              </w:rPr>
              <w:t>Base price</w:t>
            </w:r>
          </w:p>
        </w:tc>
        <w:tc>
          <w:tcPr>
            <w:tcW w:type="dxa" w:w="5328"/>
          </w:tcPr>
          <w:p>
            <w:pPr>
              <w:spacing w:after="0"/>
            </w:pPr>
            <w:r/>
            <w:r>
              <w:rPr>
                <w:sz w:val="16"/>
              </w:rPr>
              <w:t>product_units.selling_price for the chosen unit</w:t>
            </w:r>
          </w:p>
        </w:tc>
        <w:tc>
          <w:tcPr>
            <w:tcW w:type="dxa" w:w="2304"/>
          </w:tcPr>
          <w:p>
            <w:pPr>
              <w:spacing w:after="0"/>
            </w:pPr>
            <w:r/>
            <w:r>
              <w:rPr>
                <w:sz w:val="16"/>
              </w:rPr>
              <w:t>pricing service</w:t>
            </w:r>
          </w:p>
        </w:tc>
      </w:tr>
      <w:tr>
        <w:trPr>
          <w:cantSplit/>
        </w:trPr>
        <w:tc>
          <w:tcPr>
            <w:tcW w:type="dxa" w:w="1728"/>
          </w:tcPr>
          <w:p>
            <w:pPr>
              <w:spacing w:after="0"/>
            </w:pPr>
            <w:r/>
            <w:r>
              <w:rPr>
                <w:sz w:val="16"/>
              </w:rPr>
              <w:t>Unit conversion</w:t>
            </w:r>
          </w:p>
        </w:tc>
        <w:tc>
          <w:tcPr>
            <w:tcW w:type="dxa" w:w="5328"/>
          </w:tcPr>
          <w:p>
            <w:pPr>
              <w:spacing w:after="0"/>
            </w:pPr>
            <w:r/>
            <w:r>
              <w:rPr>
                <w:sz w:val="16"/>
              </w:rPr>
              <w:t>base_quantity = quantity × conversion_factor</w:t>
            </w:r>
          </w:p>
        </w:tc>
        <w:tc>
          <w:tcPr>
            <w:tcW w:type="dxa" w:w="2304"/>
          </w:tcPr>
          <w:p>
            <w:pPr>
              <w:spacing w:after="0"/>
            </w:pPr>
            <w:r/>
            <w:r>
              <w:rPr>
                <w:sz w:val="16"/>
              </w:rPr>
              <w:t>snapshot on the line</w:t>
            </w:r>
          </w:p>
        </w:tc>
      </w:tr>
      <w:tr>
        <w:trPr>
          <w:cantSplit/>
        </w:trPr>
        <w:tc>
          <w:tcPr>
            <w:tcW w:type="dxa" w:w="1728"/>
          </w:tcPr>
          <w:p>
            <w:pPr>
              <w:spacing w:after="0"/>
            </w:pPr>
            <w:r/>
            <w:r>
              <w:rPr>
                <w:sz w:val="16"/>
              </w:rPr>
              <w:t>Membership</w:t>
            </w:r>
          </w:p>
        </w:tc>
        <w:tc>
          <w:tcPr>
            <w:tcW w:type="dxa" w:w="5328"/>
          </w:tcPr>
          <w:p>
            <w:pPr>
              <w:spacing w:after="0"/>
            </w:pPr>
            <w:r/>
            <w:r>
              <w:rPr>
                <w:sz w:val="16"/>
              </w:rPr>
              <w:t>tier discount applied only when an explicit customer with a membership is chosen</w:t>
            </w:r>
          </w:p>
        </w:tc>
        <w:tc>
          <w:tcPr>
            <w:tcW w:type="dxa" w:w="2304"/>
          </w:tcPr>
          <w:p>
            <w:pPr>
              <w:spacing w:after="0"/>
            </w:pPr>
            <w:r/>
            <w:r>
              <w:rPr>
                <w:sz w:val="16"/>
              </w:rPr>
              <w:t>membership resolver; walk-in placeholder is excluded</w:t>
            </w:r>
          </w:p>
        </w:tc>
      </w:tr>
      <w:tr>
        <w:trPr>
          <w:cantSplit/>
        </w:trPr>
        <w:tc>
          <w:tcPr>
            <w:tcW w:type="dxa" w:w="1728"/>
          </w:tcPr>
          <w:p>
            <w:pPr>
              <w:spacing w:after="0"/>
            </w:pPr>
            <w:r/>
            <w:r>
              <w:rPr>
                <w:sz w:val="16"/>
              </w:rPr>
              <w:t>Voucher</w:t>
            </w:r>
          </w:p>
        </w:tc>
        <w:tc>
          <w:tcPr>
            <w:tcW w:type="dxa" w:w="5328"/>
          </w:tcPr>
          <w:p>
            <w:pPr>
              <w:spacing w:after="0"/>
            </w:pPr>
            <w:r/>
            <w:r>
              <w:rPr>
                <w:sz w:val="16"/>
              </w:rPr>
              <w:t>order-level discount; mutually exclusive with a manual discount</w:t>
            </w:r>
          </w:p>
        </w:tc>
        <w:tc>
          <w:tcPr>
            <w:tcW w:type="dxa" w:w="2304"/>
          </w:tcPr>
          <w:p>
            <w:pPr>
              <w:spacing w:after="0"/>
            </w:pPr>
            <w:r/>
            <w:r>
              <w:rPr>
                <w:sz w:val="16"/>
              </w:rPr>
              <w:t>ProcessPOS / orderTotals</w:t>
            </w:r>
          </w:p>
        </w:tc>
      </w:tr>
      <w:tr>
        <w:trPr>
          <w:cantSplit/>
        </w:trPr>
        <w:tc>
          <w:tcPr>
            <w:tcW w:type="dxa" w:w="1728"/>
          </w:tcPr>
          <w:p>
            <w:pPr>
              <w:spacing w:after="0"/>
            </w:pPr>
            <w:r/>
            <w:r>
              <w:rPr>
                <w:sz w:val="16"/>
              </w:rPr>
              <w:t>Manual discount</w:t>
            </w:r>
          </w:p>
        </w:tc>
        <w:tc>
          <w:tcPr>
            <w:tcW w:type="dxa" w:w="5328"/>
          </w:tcPr>
          <w:p>
            <w:pPr>
              <w:spacing w:after="0"/>
            </w:pPr>
            <w:r/>
            <w:r>
              <w:rPr>
                <w:sz w:val="16"/>
              </w:rPr>
              <w:t>clamped to subtotal + tax</w:t>
            </w:r>
          </w:p>
        </w:tc>
        <w:tc>
          <w:tcPr>
            <w:tcW w:type="dxa" w:w="2304"/>
          </w:tcPr>
          <w:p>
            <w:pPr>
              <w:spacing w:after="0"/>
            </w:pPr>
            <w:r/>
            <w:r>
              <w:rPr>
                <w:sz w:val="16"/>
              </w:rPr>
              <w:t>orderTotals</w:t>
            </w:r>
          </w:p>
        </w:tc>
      </w:tr>
      <w:tr>
        <w:trPr>
          <w:cantSplit/>
        </w:trPr>
        <w:tc>
          <w:tcPr>
            <w:tcW w:type="dxa" w:w="1728"/>
          </w:tcPr>
          <w:p>
            <w:pPr>
              <w:spacing w:after="0"/>
            </w:pPr>
            <w:r/>
            <w:r>
              <w:rPr>
                <w:sz w:val="16"/>
              </w:rPr>
              <w:t>Client price</w:t>
            </w:r>
          </w:p>
        </w:tc>
        <w:tc>
          <w:tcPr>
            <w:tcW w:type="dxa" w:w="5328"/>
          </w:tcPr>
          <w:p>
            <w:pPr>
              <w:spacing w:after="0"/>
            </w:pPr>
            <w:r/>
            <w:r>
              <w:rPr>
                <w:sz w:val="16"/>
              </w:rPr>
              <w:t>ignored on create — the server resolves it</w:t>
            </w:r>
          </w:p>
        </w:tc>
        <w:tc>
          <w:tcPr>
            <w:tcW w:type="dxa" w:w="2304"/>
          </w:tcPr>
          <w:p>
            <w:pPr>
              <w:spacing w:after="0"/>
            </w:pPr>
            <w:r/>
            <w:r>
              <w:rPr>
                <w:sz w:val="16"/>
              </w:rPr>
              <w:t>sales.Create / ProcessPOS</w:t>
            </w:r>
          </w:p>
        </w:tc>
      </w:tr>
    </w:tbl>
    <w:p>
      <w:pPr>
        <w:spacing w:after="200"/>
      </w:pPr>
      <w:r>
        <w:rPr>
          <w:i/>
          <w:color w:val="555F6D"/>
          <w:sz w:val="17"/>
        </w:rPr>
        <w:t>Table 97. Price precedence, highest authority last</w:t>
      </w:r>
    </w:p>
    <w:p>
      <w:bookmarkStart w:id="1323" w:name="_Toc1323"/>
      <w:pPr>
        <w:pStyle w:val="Heading2"/>
      </w:pPr>
      <w:r>
        <w:t>33.6 Idempotency and concurrency</w:t>
      </w:r>
      <w:bookmarkEnd w:id="1323"/>
    </w:p>
    <w:p>
      <w:pPr>
        <w:pStyle w:val="ListBullet"/>
      </w:pPr>
      <w:r>
        <w:t>Money endpoints require Idempotency-Key; the scope is user + method + route; identical payload replays the stored response, a different payload is 409.</w:t>
      </w:r>
    </w:p>
    <w:p>
      <w:pPr>
        <w:pStyle w:val="ListBullet"/>
      </w:pPr>
      <w:r>
        <w:t>The idempotency store is Redis and is fail-closed: without Redis, the endpoint refuses (503) rather than risking a double write.</w:t>
      </w:r>
    </w:p>
    <w:p>
      <w:pPr>
        <w:pStyle w:val="ListBullet"/>
      </w:pPr>
      <w:r>
        <w:t>Row locks (SELECT … FOR UPDATE) protect order status transitions, stock reservation/deduction, shifts and journals.</w:t>
      </w:r>
    </w:p>
    <w:p>
      <w:pPr>
        <w:pStyle w:val="ListBullet"/>
      </w:pPr>
      <w:r>
        <w:t>Items are sorted by product_id before stock work so concurrent carts acquire locks in the same order.</w:t>
      </w:r>
    </w:p>
    <w:p>
      <w:bookmarkStart w:id="1324" w:name="_Toc1324"/>
      <w:pPr>
        <w:pStyle w:val="Heading2"/>
      </w:pPr>
      <w:r>
        <w:t>33.7 Frontend/backend discrepancies</w:t>
      </w:r>
      <w:bookmarkEnd w:id="1324"/>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1728"/>
            <w:shd w:val="clear" w:color="auto" w:fill="1F3A5F"/>
          </w:tcPr>
          <w:p>
            <w:pPr>
              <w:spacing w:after="0"/>
            </w:pPr>
            <w:r/>
            <w:r>
              <w:rPr>
                <w:b/>
                <w:color w:val="FFFFFF"/>
                <w:sz w:val="15"/>
              </w:rPr>
              <w:t>Area</w:t>
            </w:r>
          </w:p>
        </w:tc>
        <w:tc>
          <w:tcPr>
            <w:tcW w:type="dxa" w:w="2880"/>
            <w:shd w:val="clear" w:color="auto" w:fill="1F3A5F"/>
          </w:tcPr>
          <w:p>
            <w:pPr>
              <w:spacing w:after="0"/>
            </w:pPr>
            <w:r/>
            <w:r>
              <w:rPr>
                <w:b/>
                <w:color w:val="FFFFFF"/>
                <w:sz w:val="15"/>
              </w:rPr>
              <w:t>Frontend behaviour</w:t>
            </w:r>
          </w:p>
        </w:tc>
        <w:tc>
          <w:tcPr>
            <w:tcW w:type="dxa" w:w="2880"/>
            <w:shd w:val="clear" w:color="auto" w:fill="1F3A5F"/>
          </w:tcPr>
          <w:p>
            <w:pPr>
              <w:spacing w:after="0"/>
            </w:pPr>
            <w:r/>
            <w:r>
              <w:rPr>
                <w:b/>
                <w:color w:val="FFFFFF"/>
                <w:sz w:val="15"/>
              </w:rPr>
              <w:t>Backend behaviour</w:t>
            </w:r>
          </w:p>
        </w:tc>
        <w:tc>
          <w:tcPr>
            <w:tcW w:type="dxa" w:w="1872"/>
            <w:shd w:val="clear" w:color="auto" w:fill="1F3A5F"/>
          </w:tcPr>
          <w:p>
            <w:pPr>
              <w:spacing w:after="0"/>
            </w:pPr>
            <w:r/>
            <w:r>
              <w:rPr>
                <w:b/>
                <w:color w:val="FFFFFF"/>
                <w:sz w:val="15"/>
              </w:rPr>
              <w:t>Assessment</w:t>
            </w:r>
          </w:p>
        </w:tc>
      </w:tr>
      <w:tr>
        <w:trPr>
          <w:cantSplit/>
        </w:trPr>
        <w:tc>
          <w:tcPr>
            <w:tcW w:type="dxa" w:w="1728"/>
          </w:tcPr>
          <w:p>
            <w:pPr>
              <w:spacing w:after="0"/>
            </w:pPr>
            <w:r/>
            <w:r>
              <w:rPr>
                <w:sz w:val="15"/>
              </w:rPr>
              <w:t>Idempotency keys</w:t>
            </w:r>
          </w:p>
        </w:tc>
        <w:tc>
          <w:tcPr>
            <w:tcW w:type="dxa" w:w="2880"/>
          </w:tcPr>
          <w:p>
            <w:pPr>
              <w:spacing w:after="0"/>
            </w:pPr>
            <w:r/>
            <w:r>
              <w:rPr>
                <w:sz w:val="15"/>
              </w:rPr>
              <w:t>Random fallback key when the caller supplies none</w:t>
            </w:r>
          </w:p>
        </w:tc>
        <w:tc>
          <w:tcPr>
            <w:tcW w:type="dxa" w:w="2880"/>
          </w:tcPr>
          <w:p>
            <w:pPr>
              <w:spacing w:after="0"/>
            </w:pPr>
            <w:r/>
            <w:r>
              <w:rPr>
                <w:sz w:val="15"/>
              </w:rPr>
              <w:t>Requires a stable key to deduplicate</w:t>
            </w:r>
          </w:p>
        </w:tc>
        <w:tc>
          <w:tcPr>
            <w:tcW w:type="dxa" w:w="1872"/>
          </w:tcPr>
          <w:p>
            <w:pPr>
              <w:spacing w:after="0"/>
            </w:pPr>
            <w:r/>
            <w:r>
              <w:rPr>
                <w:sz w:val="15"/>
              </w:rPr>
              <w:t>Unprotected double-submit (F-14)</w:t>
            </w:r>
          </w:p>
        </w:tc>
      </w:tr>
      <w:tr>
        <w:trPr>
          <w:cantSplit/>
        </w:trPr>
        <w:tc>
          <w:tcPr>
            <w:tcW w:type="dxa" w:w="1728"/>
          </w:tcPr>
          <w:p>
            <w:pPr>
              <w:spacing w:after="0"/>
            </w:pPr>
            <w:r/>
            <w:r>
              <w:rPr>
                <w:sz w:val="15"/>
              </w:rPr>
              <w:t>Admin permission map</w:t>
            </w:r>
          </w:p>
        </w:tc>
        <w:tc>
          <w:tcPr>
            <w:tcW w:type="dxa" w:w="2880"/>
          </w:tcPr>
          <w:p>
            <w:pPr>
              <w:spacing w:after="0"/>
            </w:pPr>
            <w:r/>
            <w:r>
              <w:rPr>
                <w:sz w:val="15"/>
              </w:rPr>
              <w:t>Wildcard handled with explicit fallbacks</w:t>
            </w:r>
          </w:p>
        </w:tc>
        <w:tc>
          <w:tcPr>
            <w:tcW w:type="dxa" w:w="2880"/>
          </w:tcPr>
          <w:p>
            <w:pPr>
              <w:spacing w:after="0"/>
            </w:pPr>
            <w:r/>
            <w:r>
              <w:rPr>
                <w:sz w:val="15"/>
              </w:rPr>
              <w:t>Publishes '*' for admin/owner</w:t>
            </w:r>
          </w:p>
        </w:tc>
        <w:tc>
          <w:tcPr>
            <w:tcW w:type="dxa" w:w="1872"/>
          </w:tcPr>
          <w:p>
            <w:pPr>
              <w:spacing w:after="0"/>
            </w:pPr>
            <w:r/>
            <w:r>
              <w:rPr>
                <w:sz w:val="15"/>
              </w:rPr>
              <w:t>Works today, fragile for new clients (F-06)</w:t>
            </w:r>
          </w:p>
        </w:tc>
      </w:tr>
      <w:tr>
        <w:trPr>
          <w:cantSplit/>
        </w:trPr>
        <w:tc>
          <w:tcPr>
            <w:tcW w:type="dxa" w:w="1728"/>
          </w:tcPr>
          <w:p>
            <w:pPr>
              <w:spacing w:after="0"/>
            </w:pPr>
            <w:r/>
            <w:r>
              <w:rPr>
                <w:sz w:val="15"/>
              </w:rPr>
              <w:t>Journal sub-page role list</w:t>
            </w:r>
          </w:p>
        </w:tc>
        <w:tc>
          <w:tcPr>
            <w:tcW w:type="dxa" w:w="2880"/>
          </w:tcPr>
          <w:p>
            <w:pPr>
              <w:spacing w:after="0"/>
            </w:pPr>
            <w:r/>
            <w:r>
              <w:rPr>
                <w:sz w:val="15"/>
              </w:rPr>
              <w:t>Menu hides pages for roles outside a list</w:t>
            </w:r>
          </w:p>
        </w:tc>
        <w:tc>
          <w:tcPr>
            <w:tcW w:type="dxa" w:w="2880"/>
          </w:tcPr>
          <w:p>
            <w:pPr>
              <w:spacing w:after="0"/>
            </w:pPr>
            <w:r/>
            <w:r>
              <w:rPr>
                <w:sz w:val="15"/>
              </w:rPr>
              <w:t>No such role list; only permissions and journal-type validation</w:t>
            </w:r>
          </w:p>
        </w:tc>
        <w:tc>
          <w:tcPr>
            <w:tcW w:type="dxa" w:w="1872"/>
          </w:tcPr>
          <w:p>
            <w:pPr>
              <w:spacing w:after="0"/>
            </w:pPr>
            <w:r/>
            <w:r>
              <w:rPr>
                <w:sz w:val="15"/>
              </w:rPr>
              <w:t>Menu narrower than the API</w:t>
            </w:r>
          </w:p>
        </w:tc>
      </w:tr>
      <w:tr>
        <w:trPr>
          <w:cantSplit/>
        </w:trPr>
        <w:tc>
          <w:tcPr>
            <w:tcW w:type="dxa" w:w="1728"/>
          </w:tcPr>
          <w:p>
            <w:pPr>
              <w:spacing w:after="0"/>
            </w:pPr>
            <w:r/>
            <w:r>
              <w:rPr>
                <w:sz w:val="15"/>
              </w:rPr>
              <w:t>Order totals</w:t>
            </w:r>
          </w:p>
        </w:tc>
        <w:tc>
          <w:tcPr>
            <w:tcW w:type="dxa" w:w="2880"/>
          </w:tcPr>
          <w:p>
            <w:pPr>
              <w:spacing w:after="0"/>
            </w:pPr>
            <w:r/>
            <w:r>
              <w:rPr>
                <w:sz w:val="15"/>
              </w:rPr>
              <w:t>Displays server totals</w:t>
            </w:r>
          </w:p>
        </w:tc>
        <w:tc>
          <w:tcPr>
            <w:tcW w:type="dxa" w:w="2880"/>
          </w:tcPr>
          <w:p>
            <w:pPr>
              <w:spacing w:after="0"/>
            </w:pPr>
            <w:r/>
            <w:r>
              <w:rPr>
                <w:sz w:val="15"/>
              </w:rPr>
              <w:t>Computes and persists totals</w:t>
            </w:r>
          </w:p>
        </w:tc>
        <w:tc>
          <w:tcPr>
            <w:tcW w:type="dxa" w:w="1872"/>
          </w:tcPr>
          <w:p>
            <w:pPr>
              <w:spacing w:after="0"/>
            </w:pPr>
            <w:r/>
            <w:r>
              <w:rPr>
                <w:sz w:val="15"/>
              </w:rPr>
              <w:t>Consistent</w:t>
            </w:r>
          </w:p>
        </w:tc>
      </w:tr>
      <w:tr>
        <w:trPr>
          <w:cantSplit/>
        </w:trPr>
        <w:tc>
          <w:tcPr>
            <w:tcW w:type="dxa" w:w="1728"/>
          </w:tcPr>
          <w:p>
            <w:pPr>
              <w:spacing w:after="0"/>
            </w:pPr>
            <w:r/>
            <w:r>
              <w:rPr>
                <w:sz w:val="15"/>
              </w:rPr>
              <w:t>Offline POS</w:t>
            </w:r>
          </w:p>
        </w:tc>
        <w:tc>
          <w:tcPr>
            <w:tcW w:type="dxa" w:w="2880"/>
          </w:tcPr>
          <w:p>
            <w:pPr>
              <w:spacing w:after="0"/>
            </w:pPr>
            <w:r/>
            <w:r>
              <w:rPr>
                <w:sz w:val="15"/>
              </w:rPr>
              <w:t>Documentation claims an offline queue</w:t>
            </w:r>
          </w:p>
        </w:tc>
        <w:tc>
          <w:tcPr>
            <w:tcW w:type="dxa" w:w="2880"/>
          </w:tcPr>
          <w:p>
            <w:pPr>
              <w:spacing w:after="0"/>
            </w:pPr>
            <w:r/>
            <w:r>
              <w:rPr>
                <w:sz w:val="15"/>
              </w:rPr>
              <w:t>No queue exists anywhere</w:t>
            </w:r>
          </w:p>
        </w:tc>
        <w:tc>
          <w:tcPr>
            <w:tcW w:type="dxa" w:w="1872"/>
          </w:tcPr>
          <w:p>
            <w:pPr>
              <w:spacing w:after="0"/>
            </w:pPr>
            <w:r/>
            <w:r>
              <w:rPr>
                <w:sz w:val="15"/>
              </w:rPr>
              <w:t>Documentation is wrong (F-17)</w:t>
            </w:r>
          </w:p>
        </w:tc>
      </w:tr>
    </w:tbl>
    <w:p>
      <w:pPr>
        <w:spacing w:after="200"/>
      </w:pPr>
      <w:r>
        <w:rPr>
          <w:i/>
          <w:color w:val="555F6D"/>
          <w:sz w:val="17"/>
        </w:rPr>
        <w:t>Table 98. Where the UI and the API disagree</w:t>
      </w:r>
    </w:p>
    <w:p>
      <w:bookmarkStart w:id="1325" w:name="_Toc1325"/>
      <w:pPr>
        <w:pStyle w:val="Heading1"/>
        <w:pageBreakBefore/>
      </w:pPr>
      <w:r>
        <w:t>34. Third-party dependencies and integrations</w:t>
      </w:r>
      <w:bookmarkEnd w:id="1325"/>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647" w:type="dxa"/>
      </w:tblPr>
      <w:tblGrid>
        <w:gridCol w:w="1930"/>
        <w:gridCol w:w="1930"/>
        <w:gridCol w:w="1930"/>
        <w:gridCol w:w="1930"/>
        <w:gridCol w:w="1930"/>
      </w:tblGrid>
      <w:tr>
        <w:trPr>
          <w:tblHeader w:val="true"/>
        </w:trPr>
        <w:tc>
          <w:tcPr>
            <w:tcW w:type="dxa" w:w="1930"/>
            <w:shd w:val="clear" w:color="auto" w:fill="1F3A5F"/>
          </w:tcPr>
          <w:p>
            <w:pPr>
              <w:spacing w:after="0"/>
            </w:pPr>
            <w:r/>
            <w:r>
              <w:rPr>
                <w:b/>
                <w:color w:val="FFFFFF"/>
                <w:sz w:val="14"/>
              </w:rPr>
              <w:t>Integration</w:t>
            </w:r>
          </w:p>
        </w:tc>
        <w:tc>
          <w:tcPr>
            <w:tcW w:type="dxa" w:w="1544"/>
            <w:shd w:val="clear" w:color="auto" w:fill="1F3A5F"/>
          </w:tcPr>
          <w:p>
            <w:pPr>
              <w:spacing w:after="0"/>
            </w:pPr>
            <w:r/>
            <w:r>
              <w:rPr>
                <w:b/>
                <w:color w:val="FFFFFF"/>
                <w:sz w:val="14"/>
              </w:rPr>
              <w:t>Used by</w:t>
            </w:r>
          </w:p>
        </w:tc>
        <w:tc>
          <w:tcPr>
            <w:tcW w:type="dxa" w:w="1801"/>
            <w:shd w:val="clear" w:color="auto" w:fill="1F3A5F"/>
          </w:tcPr>
          <w:p>
            <w:pPr>
              <w:spacing w:after="0"/>
            </w:pPr>
            <w:r/>
            <w:r>
              <w:rPr>
                <w:b/>
                <w:color w:val="FFFFFF"/>
                <w:sz w:val="14"/>
              </w:rPr>
              <w:t>Mechanism</w:t>
            </w:r>
          </w:p>
        </w:tc>
        <w:tc>
          <w:tcPr>
            <w:tcW w:type="dxa" w:w="1544"/>
            <w:shd w:val="clear" w:color="auto" w:fill="1F3A5F"/>
          </w:tcPr>
          <w:p>
            <w:pPr>
              <w:spacing w:after="0"/>
            </w:pPr>
            <w:r/>
            <w:r>
              <w:rPr>
                <w:b/>
                <w:color w:val="FFFFFF"/>
                <w:sz w:val="14"/>
              </w:rPr>
              <w:t>Auth</w:t>
            </w:r>
          </w:p>
        </w:tc>
        <w:tc>
          <w:tcPr>
            <w:tcW w:type="dxa" w:w="2830"/>
            <w:shd w:val="clear" w:color="auto" w:fill="1F3A5F"/>
          </w:tcPr>
          <w:p>
            <w:pPr>
              <w:spacing w:after="0"/>
            </w:pPr>
            <w:r/>
            <w:r>
              <w:rPr>
                <w:b/>
                <w:color w:val="FFFFFF"/>
                <w:sz w:val="14"/>
              </w:rPr>
              <w:t>Failure behaviour</w:t>
            </w:r>
          </w:p>
        </w:tc>
      </w:tr>
      <w:tr>
        <w:trPr>
          <w:cantSplit/>
        </w:trPr>
        <w:tc>
          <w:tcPr>
            <w:tcW w:type="dxa" w:w="1930"/>
          </w:tcPr>
          <w:p>
            <w:pPr>
              <w:spacing w:after="0"/>
            </w:pPr>
            <w:r/>
            <w:r>
              <w:rPr>
                <w:sz w:val="14"/>
              </w:rPr>
              <w:t>Midtrans Snap / Core API</w:t>
            </w:r>
          </w:p>
        </w:tc>
        <w:tc>
          <w:tcPr>
            <w:tcW w:type="dxa" w:w="1544"/>
          </w:tcPr>
          <w:p>
            <w:pPr>
              <w:spacing w:after="0"/>
            </w:pPr>
            <w:r/>
            <w:r>
              <w:rPr>
                <w:sz w:val="14"/>
              </w:rPr>
              <w:t>backend (B2B Snap, POS QRIS)</w:t>
            </w:r>
          </w:p>
        </w:tc>
        <w:tc>
          <w:tcPr>
            <w:tcW w:type="dxa" w:w="1801"/>
          </w:tcPr>
          <w:p>
            <w:pPr>
              <w:spacing w:after="0"/>
            </w:pPr>
            <w:r/>
            <w:r>
              <w:rPr>
                <w:sz w:val="14"/>
              </w:rPr>
              <w:t>HTTPS JSON</w:t>
            </w:r>
          </w:p>
        </w:tc>
        <w:tc>
          <w:tcPr>
            <w:tcW w:type="dxa" w:w="1544"/>
          </w:tcPr>
          <w:p>
            <w:pPr>
              <w:spacing w:after="0"/>
            </w:pPr>
            <w:r/>
            <w:r>
              <w:rPr>
                <w:sz w:val="14"/>
              </w:rPr>
              <w:t>Server key (Basic auth)</w:t>
            </w:r>
          </w:p>
        </w:tc>
        <w:tc>
          <w:tcPr>
            <w:tcW w:type="dxa" w:w="2830"/>
          </w:tcPr>
          <w:p>
            <w:pPr>
              <w:spacing w:after="0"/>
            </w:pPr>
            <w:r/>
            <w:r>
              <w:rPr>
                <w:sz w:val="14"/>
              </w:rPr>
              <w:t>Key absent → 503 GATEWAY_DISABLED; provider error → order stays unpaid and the sweep retries</w:t>
            </w:r>
          </w:p>
        </w:tc>
      </w:tr>
      <w:tr>
        <w:trPr>
          <w:cantSplit/>
        </w:trPr>
        <w:tc>
          <w:tcPr>
            <w:tcW w:type="dxa" w:w="1930"/>
          </w:tcPr>
          <w:p>
            <w:pPr>
              <w:spacing w:after="0"/>
            </w:pPr>
            <w:r/>
            <w:r>
              <w:rPr>
                <w:sz w:val="14"/>
              </w:rPr>
              <w:t>SMTP relay</w:t>
            </w:r>
          </w:p>
        </w:tc>
        <w:tc>
          <w:tcPr>
            <w:tcW w:type="dxa" w:w="1544"/>
          </w:tcPr>
          <w:p>
            <w:pPr>
              <w:spacing w:after="0"/>
            </w:pPr>
            <w:r/>
            <w:r>
              <w:rPr>
                <w:sz w:val="14"/>
              </w:rPr>
              <w:t>backend (password reset)</w:t>
            </w:r>
          </w:p>
        </w:tc>
        <w:tc>
          <w:tcPr>
            <w:tcW w:type="dxa" w:w="1801"/>
          </w:tcPr>
          <w:p>
            <w:pPr>
              <w:spacing w:after="0"/>
            </w:pPr>
            <w:r/>
            <w:r>
              <w:rPr>
                <w:sz w:val="14"/>
              </w:rPr>
              <w:t>smtp.SendMail</w:t>
            </w:r>
          </w:p>
        </w:tc>
        <w:tc>
          <w:tcPr>
            <w:tcW w:type="dxa" w:w="1544"/>
          </w:tcPr>
          <w:p>
            <w:pPr>
              <w:spacing w:after="0"/>
            </w:pPr>
            <w:r/>
            <w:r>
              <w:rPr>
                <w:sz w:val="14"/>
              </w:rPr>
              <w:t>USER/PASS if set</w:t>
            </w:r>
          </w:p>
        </w:tc>
        <w:tc>
          <w:tcPr>
            <w:tcW w:type="dxa" w:w="2830"/>
          </w:tcPr>
          <w:p>
            <w:pPr>
              <w:spacing w:after="0"/>
            </w:pPr>
            <w:r/>
            <w:r>
              <w:rPr>
                <w:sz w:val="14"/>
              </w:rPr>
              <w:t>No host → log-only mailer; bad From → mail rejected (F-07)</w:t>
            </w:r>
          </w:p>
        </w:tc>
      </w:tr>
      <w:tr>
        <w:trPr>
          <w:cantSplit/>
        </w:trPr>
        <w:tc>
          <w:tcPr>
            <w:tcW w:type="dxa" w:w="1930"/>
          </w:tcPr>
          <w:p>
            <w:pPr>
              <w:spacing w:after="0"/>
            </w:pPr>
            <w:r/>
            <w:r>
              <w:rPr>
                <w:sz w:val="14"/>
              </w:rPr>
              <w:t>OpenStreetMap tiles</w:t>
            </w:r>
          </w:p>
        </w:tc>
        <w:tc>
          <w:tcPr>
            <w:tcW w:type="dxa" w:w="1544"/>
          </w:tcPr>
          <w:p>
            <w:pPr>
              <w:spacing w:after="0"/>
            </w:pPr>
            <w:r/>
            <w:r>
              <w:rPr>
                <w:sz w:val="14"/>
              </w:rPr>
              <w:t>erp, pos, b2b</w:t>
            </w:r>
          </w:p>
        </w:tc>
        <w:tc>
          <w:tcPr>
            <w:tcW w:type="dxa" w:w="1801"/>
          </w:tcPr>
          <w:p>
            <w:pPr>
              <w:spacing w:after="0"/>
            </w:pPr>
            <w:r/>
            <w:r>
              <w:rPr>
                <w:sz w:val="14"/>
              </w:rPr>
              <w:t>Raster tile HTTP</w:t>
            </w:r>
          </w:p>
        </w:tc>
        <w:tc>
          <w:tcPr>
            <w:tcW w:type="dxa" w:w="1544"/>
          </w:tcPr>
          <w:p>
            <w:pPr>
              <w:spacing w:after="0"/>
            </w:pPr>
            <w:r/>
            <w:r>
              <w:rPr>
                <w:sz w:val="14"/>
              </w:rPr>
              <w:t>none (attribution required)</w:t>
            </w:r>
          </w:p>
        </w:tc>
        <w:tc>
          <w:tcPr>
            <w:tcW w:type="dxa" w:w="2830"/>
          </w:tcPr>
          <w:p>
            <w:pPr>
              <w:spacing w:after="0"/>
            </w:pPr>
            <w:r/>
            <w:r>
              <w:rPr>
                <w:sz w:val="14"/>
              </w:rPr>
              <w:t>Map renders blank; the rest of the app works</w:t>
            </w:r>
          </w:p>
        </w:tc>
      </w:tr>
      <w:tr>
        <w:trPr>
          <w:cantSplit/>
        </w:trPr>
        <w:tc>
          <w:tcPr>
            <w:tcW w:type="dxa" w:w="1930"/>
          </w:tcPr>
          <w:p>
            <w:pPr>
              <w:spacing w:after="0"/>
            </w:pPr>
            <w:r/>
            <w:r>
              <w:rPr>
                <w:sz w:val="14"/>
              </w:rPr>
              <w:t>OSRM routing (optional)</w:t>
            </w:r>
          </w:p>
        </w:tc>
        <w:tc>
          <w:tcPr>
            <w:tcW w:type="dxa" w:w="1544"/>
          </w:tcPr>
          <w:p>
            <w:pPr>
              <w:spacing w:after="0"/>
            </w:pPr>
            <w:r/>
            <w:r>
              <w:rPr>
                <w:sz w:val="14"/>
              </w:rPr>
              <w:t>backend geo</w:t>
            </w:r>
          </w:p>
        </w:tc>
        <w:tc>
          <w:tcPr>
            <w:tcW w:type="dxa" w:w="1801"/>
          </w:tcPr>
          <w:p>
            <w:pPr>
              <w:spacing w:after="0"/>
            </w:pPr>
            <w:r/>
            <w:r>
              <w:rPr>
                <w:sz w:val="14"/>
              </w:rPr>
              <w:t>HTTP</w:t>
            </w:r>
          </w:p>
        </w:tc>
        <w:tc>
          <w:tcPr>
            <w:tcW w:type="dxa" w:w="1544"/>
          </w:tcPr>
          <w:p>
            <w:pPr>
              <w:spacing w:after="0"/>
            </w:pPr>
            <w:r/>
            <w:r>
              <w:rPr>
                <w:sz w:val="14"/>
              </w:rPr>
              <w:t>none</w:t>
            </w:r>
          </w:p>
        </w:tc>
        <w:tc>
          <w:tcPr>
            <w:tcW w:type="dxa" w:w="2830"/>
          </w:tcPr>
          <w:p>
            <w:pPr>
              <w:spacing w:after="0"/>
            </w:pPr>
            <w:r/>
            <w:r>
              <w:rPr>
                <w:sz w:val="14"/>
              </w:rPr>
              <w:t>ROUTING_PROVIDER empty → no routing</w:t>
            </w:r>
          </w:p>
        </w:tc>
      </w:tr>
      <w:tr>
        <w:trPr>
          <w:cantSplit/>
        </w:trPr>
        <w:tc>
          <w:tcPr>
            <w:tcW w:type="dxa" w:w="1930"/>
          </w:tcPr>
          <w:p>
            <w:pPr>
              <w:spacing w:after="0"/>
            </w:pPr>
            <w:r/>
            <w:r>
              <w:rPr>
                <w:sz w:val="14"/>
              </w:rPr>
              <w:t>Nominatim geocoding (optional)</w:t>
            </w:r>
          </w:p>
        </w:tc>
        <w:tc>
          <w:tcPr>
            <w:tcW w:type="dxa" w:w="1544"/>
          </w:tcPr>
          <w:p>
            <w:pPr>
              <w:spacing w:after="0"/>
            </w:pPr>
            <w:r/>
            <w:r>
              <w:rPr>
                <w:sz w:val="14"/>
              </w:rPr>
              <w:t>backend geo</w:t>
            </w:r>
          </w:p>
        </w:tc>
        <w:tc>
          <w:tcPr>
            <w:tcW w:type="dxa" w:w="1801"/>
          </w:tcPr>
          <w:p>
            <w:pPr>
              <w:spacing w:after="0"/>
            </w:pPr>
            <w:r/>
            <w:r>
              <w:rPr>
                <w:sz w:val="14"/>
              </w:rPr>
              <w:t>HTTP</w:t>
            </w:r>
          </w:p>
        </w:tc>
        <w:tc>
          <w:tcPr>
            <w:tcW w:type="dxa" w:w="1544"/>
          </w:tcPr>
          <w:p>
            <w:pPr>
              <w:spacing w:after="0"/>
            </w:pPr>
            <w:r/>
            <w:r>
              <w:rPr>
                <w:sz w:val="14"/>
              </w:rPr>
              <w:t>User-Agent required</w:t>
            </w:r>
          </w:p>
        </w:tc>
        <w:tc>
          <w:tcPr>
            <w:tcW w:type="dxa" w:w="2830"/>
          </w:tcPr>
          <w:p>
            <w:pPr>
              <w:spacing w:after="0"/>
            </w:pPr>
            <w:r/>
            <w:r>
              <w:rPr>
                <w:sz w:val="14"/>
              </w:rPr>
              <w:t>GEOCODER_ENABLED false → geocode reports disabled</w:t>
            </w:r>
          </w:p>
        </w:tc>
      </w:tr>
      <w:tr>
        <w:trPr>
          <w:cantSplit/>
        </w:trPr>
        <w:tc>
          <w:tcPr>
            <w:tcW w:type="dxa" w:w="1930"/>
          </w:tcPr>
          <w:p>
            <w:pPr>
              <w:spacing w:after="0"/>
            </w:pPr>
            <w:r/>
            <w:r>
              <w:rPr>
                <w:sz w:val="14"/>
              </w:rPr>
              <w:t>GitHub Container Registry</w:t>
            </w:r>
          </w:p>
        </w:tc>
        <w:tc>
          <w:tcPr>
            <w:tcW w:type="dxa" w:w="1544"/>
          </w:tcPr>
          <w:p>
            <w:pPr>
              <w:spacing w:after="0"/>
            </w:pPr>
            <w:r/>
            <w:r>
              <w:rPr>
                <w:sz w:val="14"/>
              </w:rPr>
              <w:t>CI → VPS</w:t>
            </w:r>
          </w:p>
        </w:tc>
        <w:tc>
          <w:tcPr>
            <w:tcW w:type="dxa" w:w="1801"/>
          </w:tcPr>
          <w:p>
            <w:pPr>
              <w:spacing w:after="0"/>
            </w:pPr>
            <w:r/>
            <w:r>
              <w:rPr>
                <w:sz w:val="14"/>
              </w:rPr>
              <w:t>OCI pull</w:t>
            </w:r>
          </w:p>
        </w:tc>
        <w:tc>
          <w:tcPr>
            <w:tcW w:type="dxa" w:w="1544"/>
          </w:tcPr>
          <w:p>
            <w:pPr>
              <w:spacing w:after="0"/>
            </w:pPr>
            <w:r/>
            <w:r>
              <w:rPr>
                <w:sz w:val="14"/>
              </w:rPr>
              <w:t>GITHUB_TOKEN in CI</w:t>
            </w:r>
          </w:p>
        </w:tc>
        <w:tc>
          <w:tcPr>
            <w:tcW w:type="dxa" w:w="2830"/>
          </w:tcPr>
          <w:p>
            <w:pPr>
              <w:spacing w:after="0"/>
            </w:pPr>
            <w:r/>
            <w:r>
              <w:rPr>
                <w:sz w:val="14"/>
              </w:rPr>
              <w:t>Pull failure → deploy cannot proceed</w:t>
            </w:r>
          </w:p>
        </w:tc>
      </w:tr>
      <w:tr>
        <w:trPr>
          <w:cantSplit/>
        </w:trPr>
        <w:tc>
          <w:tcPr>
            <w:tcW w:type="dxa" w:w="1930"/>
          </w:tcPr>
          <w:p>
            <w:pPr>
              <w:spacing w:after="0"/>
            </w:pPr>
            <w:r/>
            <w:r>
              <w:rPr>
                <w:sz w:val="14"/>
              </w:rPr>
              <w:t>Cloudflare Tunnel</w:t>
            </w:r>
          </w:p>
        </w:tc>
        <w:tc>
          <w:tcPr>
            <w:tcW w:type="dxa" w:w="1544"/>
          </w:tcPr>
          <w:p>
            <w:pPr>
              <w:spacing w:after="0"/>
            </w:pPr>
            <w:r/>
            <w:r>
              <w:rPr>
                <w:sz w:val="14"/>
              </w:rPr>
              <w:t>host</w:t>
            </w:r>
          </w:p>
        </w:tc>
        <w:tc>
          <w:tcPr>
            <w:tcW w:type="dxa" w:w="1801"/>
          </w:tcPr>
          <w:p>
            <w:pPr>
              <w:spacing w:after="0"/>
            </w:pPr>
            <w:r/>
            <w:r>
              <w:rPr>
                <w:sz w:val="14"/>
              </w:rPr>
              <w:t>outbound QUIC/HTTP2</w:t>
            </w:r>
          </w:p>
        </w:tc>
        <w:tc>
          <w:tcPr>
            <w:tcW w:type="dxa" w:w="1544"/>
          </w:tcPr>
          <w:p>
            <w:pPr>
              <w:spacing w:after="0"/>
            </w:pPr>
            <w:r/>
            <w:r>
              <w:rPr>
                <w:sz w:val="14"/>
              </w:rPr>
              <w:t>tunnel credentials (not committed)</w:t>
            </w:r>
          </w:p>
        </w:tc>
        <w:tc>
          <w:tcPr>
            <w:tcW w:type="dxa" w:w="2830"/>
          </w:tcPr>
          <w:p>
            <w:pPr>
              <w:spacing w:after="0"/>
            </w:pPr>
            <w:r/>
            <w:r>
              <w:rPr>
                <w:sz w:val="14"/>
              </w:rPr>
              <w:t>Hostnames unreachable; containers unaffected</w:t>
            </w:r>
          </w:p>
        </w:tc>
      </w:tr>
      <w:tr>
        <w:trPr>
          <w:cantSplit/>
        </w:trPr>
        <w:tc>
          <w:tcPr>
            <w:tcW w:type="dxa" w:w="1930"/>
          </w:tcPr>
          <w:p>
            <w:pPr>
              <w:spacing w:after="0"/>
            </w:pPr>
            <w:r/>
            <w:r>
              <w:rPr>
                <w:sz w:val="14"/>
              </w:rPr>
              <w:t>PostgreSQL / Redis</w:t>
            </w:r>
          </w:p>
        </w:tc>
        <w:tc>
          <w:tcPr>
            <w:tcW w:type="dxa" w:w="1544"/>
          </w:tcPr>
          <w:p>
            <w:pPr>
              <w:spacing w:after="0"/>
            </w:pPr>
            <w:r/>
            <w:r>
              <w:rPr>
                <w:sz w:val="14"/>
              </w:rPr>
              <w:t>backend</w:t>
            </w:r>
          </w:p>
        </w:tc>
        <w:tc>
          <w:tcPr>
            <w:tcW w:type="dxa" w:w="1801"/>
          </w:tcPr>
          <w:p>
            <w:pPr>
              <w:spacing w:after="0"/>
            </w:pPr>
            <w:r/>
            <w:r>
              <w:rPr>
                <w:sz w:val="14"/>
              </w:rPr>
              <w:t>TCP</w:t>
            </w:r>
          </w:p>
        </w:tc>
        <w:tc>
          <w:tcPr>
            <w:tcW w:type="dxa" w:w="1544"/>
          </w:tcPr>
          <w:p>
            <w:pPr>
              <w:spacing w:after="0"/>
            </w:pPr>
            <w:r/>
            <w:r>
              <w:rPr>
                <w:sz w:val="14"/>
              </w:rPr>
              <w:t>password / none</w:t>
            </w:r>
          </w:p>
        </w:tc>
        <w:tc>
          <w:tcPr>
            <w:tcW w:type="dxa" w:w="2830"/>
          </w:tcPr>
          <w:p>
            <w:pPr>
              <w:spacing w:after="0"/>
            </w:pPr>
            <w:r/>
            <w:r>
              <w:rPr>
                <w:sz w:val="14"/>
              </w:rPr>
              <w:t>Backend boots health-only (DB) or degrades (Redis)</w:t>
            </w:r>
          </w:p>
        </w:tc>
      </w:tr>
    </w:tbl>
    <w:p>
      <w:pPr>
        <w:spacing w:after="200"/>
      </w:pPr>
      <w:r>
        <w:rPr>
          <w:i/>
          <w:color w:val="555F6D"/>
          <w:sz w:val="17"/>
        </w:rPr>
        <w:t>Table 99. External integrations</w:t>
      </w:r>
    </w:p>
    <w:p>
      <w:r>
        <w:rPr>
          <w:i w:val="0"/>
        </w:rPr>
        <w:t>Library-level dependencies are listed in chapter 5. All are permissively licensed (MIT/Apache-2.0) except the proprietary in-house packages. No dependency audit (npm audit / govulncheck) runs in CI.</w:t>
      </w:r>
    </w:p>
    <w:p>
      <w:bookmarkStart w:id="1326" w:name="_Toc1326"/>
      <w:pPr>
        <w:pStyle w:val="Heading1"/>
        <w:pageBreakBefore/>
      </w:pPr>
      <w:r>
        <w:t>35. Security and privacy review</w:t>
      </w:r>
      <w:bookmarkEnd w:id="1326"/>
    </w:p>
    <w:p>
      <w:bookmarkStart w:id="1327" w:name="_Toc1327"/>
      <w:pPr>
        <w:pStyle w:val="Heading2"/>
      </w:pPr>
      <w:r>
        <w:t>35.1 Controls that are present</w:t>
      </w:r>
      <w:bookmarkEnd w:id="1327"/>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736"/>
            <w:shd w:val="clear" w:color="auto" w:fill="1F3A5F"/>
          </w:tcPr>
          <w:p>
            <w:pPr>
              <w:spacing w:after="0"/>
            </w:pPr>
            <w:r/>
            <w:r>
              <w:rPr>
                <w:b/>
                <w:color w:val="FFFFFF"/>
                <w:sz w:val="15"/>
              </w:rPr>
              <w:t>Control</w:t>
            </w:r>
          </w:p>
        </w:tc>
        <w:tc>
          <w:tcPr>
            <w:tcW w:type="dxa" w:w="2016"/>
            <w:shd w:val="clear" w:color="auto" w:fill="1F3A5F"/>
          </w:tcPr>
          <w:p>
            <w:pPr>
              <w:spacing w:after="0"/>
            </w:pPr>
            <w:r/>
            <w:r>
              <w:rPr>
                <w:b/>
                <w:color w:val="FFFFFF"/>
                <w:sz w:val="15"/>
              </w:rPr>
              <w:t>Status</w:t>
            </w:r>
          </w:p>
        </w:tc>
        <w:tc>
          <w:tcPr>
            <w:tcW w:type="dxa" w:w="4608"/>
            <w:shd w:val="clear" w:color="auto" w:fill="1F3A5F"/>
          </w:tcPr>
          <w:p>
            <w:pPr>
              <w:spacing w:after="0"/>
            </w:pPr>
            <w:r/>
            <w:r>
              <w:rPr>
                <w:b/>
                <w:color w:val="FFFFFF"/>
                <w:sz w:val="15"/>
              </w:rPr>
              <w:t>Evidence</w:t>
            </w:r>
          </w:p>
        </w:tc>
      </w:tr>
      <w:tr>
        <w:trPr>
          <w:cantSplit/>
        </w:trPr>
        <w:tc>
          <w:tcPr>
            <w:tcW w:type="dxa" w:w="2736"/>
          </w:tcPr>
          <w:p>
            <w:pPr>
              <w:spacing w:after="0"/>
            </w:pPr>
            <w:r/>
            <w:r>
              <w:rPr>
                <w:sz w:val="15"/>
              </w:rPr>
              <w:t>Password hashing</w:t>
            </w:r>
          </w:p>
        </w:tc>
        <w:tc>
          <w:tcPr>
            <w:tcW w:type="dxa" w:w="2016"/>
          </w:tcPr>
          <w:p>
            <w:pPr>
              <w:spacing w:after="0"/>
            </w:pPr>
            <w:r/>
            <w:r>
              <w:rPr>
                <w:sz w:val="15"/>
              </w:rPr>
              <w:t>Present</w:t>
            </w:r>
          </w:p>
        </w:tc>
        <w:tc>
          <w:tcPr>
            <w:tcW w:type="dxa" w:w="4608"/>
          </w:tcPr>
          <w:p>
            <w:pPr>
              <w:spacing w:after="0"/>
            </w:pPr>
            <w:r/>
            <w:r>
              <w:rPr>
                <w:sz w:val="15"/>
              </w:rPr>
              <w:t>bcrypt with a dummy-hash timing equaliser</w:t>
            </w:r>
          </w:p>
        </w:tc>
      </w:tr>
      <w:tr>
        <w:trPr>
          <w:cantSplit/>
        </w:trPr>
        <w:tc>
          <w:tcPr>
            <w:tcW w:type="dxa" w:w="2736"/>
          </w:tcPr>
          <w:p>
            <w:pPr>
              <w:spacing w:after="0"/>
            </w:pPr>
            <w:r/>
            <w:r>
              <w:rPr>
                <w:sz w:val="15"/>
              </w:rPr>
              <w:t>Token entropy and storage</w:t>
            </w:r>
          </w:p>
        </w:tc>
        <w:tc>
          <w:tcPr>
            <w:tcW w:type="dxa" w:w="2016"/>
          </w:tcPr>
          <w:p>
            <w:pPr>
              <w:spacing w:after="0"/>
            </w:pPr>
            <w:r/>
            <w:r>
              <w:rPr>
                <w:sz w:val="15"/>
              </w:rPr>
              <w:t>Present</w:t>
            </w:r>
          </w:p>
        </w:tc>
        <w:tc>
          <w:tcPr>
            <w:tcW w:type="dxa" w:w="4608"/>
          </w:tcPr>
          <w:p>
            <w:pPr>
              <w:spacing w:after="0"/>
            </w:pPr>
            <w:r/>
            <w:r>
              <w:rPr>
                <w:sz w:val="15"/>
              </w:rPr>
              <w:t>crypto/rand.Text, sha256 at rest, expiry enforced</w:t>
            </w:r>
          </w:p>
        </w:tc>
      </w:tr>
      <w:tr>
        <w:trPr>
          <w:cantSplit/>
        </w:trPr>
        <w:tc>
          <w:tcPr>
            <w:tcW w:type="dxa" w:w="2736"/>
          </w:tcPr>
          <w:p>
            <w:pPr>
              <w:spacing w:after="0"/>
            </w:pPr>
            <w:r/>
            <w:r>
              <w:rPr>
                <w:sz w:val="15"/>
              </w:rPr>
              <w:t>Authorization on every data route</w:t>
            </w:r>
          </w:p>
        </w:tc>
        <w:tc>
          <w:tcPr>
            <w:tcW w:type="dxa" w:w="2016"/>
          </w:tcPr>
          <w:p>
            <w:pPr>
              <w:spacing w:after="0"/>
            </w:pPr>
            <w:r/>
            <w:r>
              <w:rPr>
                <w:sz w:val="15"/>
              </w:rPr>
              <w:t>Present</w:t>
            </w:r>
          </w:p>
        </w:tc>
        <w:tc>
          <w:tcPr>
            <w:tcW w:type="dxa" w:w="4608"/>
          </w:tcPr>
          <w:p>
            <w:pPr>
              <w:spacing w:after="0"/>
            </w:pPr>
            <w:r/>
            <w:r>
              <w:rPr>
                <w:sz w:val="15"/>
              </w:rPr>
              <w:t>373/373 routes carry a gate or are deliberately public</w:t>
            </w:r>
          </w:p>
        </w:tc>
      </w:tr>
      <w:tr>
        <w:trPr>
          <w:cantSplit/>
        </w:trPr>
        <w:tc>
          <w:tcPr>
            <w:tcW w:type="dxa" w:w="2736"/>
          </w:tcPr>
          <w:p>
            <w:pPr>
              <w:spacing w:after="0"/>
            </w:pPr>
            <w:r/>
            <w:r>
              <w:rPr>
                <w:sz w:val="15"/>
              </w:rPr>
              <w:t>Tenant scoping</w:t>
            </w:r>
          </w:p>
        </w:tc>
        <w:tc>
          <w:tcPr>
            <w:tcW w:type="dxa" w:w="2016"/>
          </w:tcPr>
          <w:p>
            <w:pPr>
              <w:spacing w:after="0"/>
            </w:pPr>
            <w:r/>
            <w:r>
              <w:rPr>
                <w:sz w:val="15"/>
              </w:rPr>
              <w:t>Present</w:t>
            </w:r>
          </w:p>
        </w:tc>
        <w:tc>
          <w:tcPr>
            <w:tcW w:type="dxa" w:w="4608"/>
          </w:tcPr>
          <w:p>
            <w:pPr>
              <w:spacing w:after="0"/>
            </w:pPr>
            <w:r/>
            <w:r>
              <w:rPr>
                <w:sz w:val="15"/>
              </w:rPr>
              <w:t>store_users → stores → warehouses; 404 out of scope</w:t>
            </w:r>
          </w:p>
        </w:tc>
      </w:tr>
      <w:tr>
        <w:trPr>
          <w:cantSplit/>
        </w:trPr>
        <w:tc>
          <w:tcPr>
            <w:tcW w:type="dxa" w:w="2736"/>
          </w:tcPr>
          <w:p>
            <w:pPr>
              <w:spacing w:after="0"/>
            </w:pPr>
            <w:r/>
            <w:r>
              <w:rPr>
                <w:sz w:val="15"/>
              </w:rPr>
              <w:t>SQL injection</w:t>
            </w:r>
          </w:p>
        </w:tc>
        <w:tc>
          <w:tcPr>
            <w:tcW w:type="dxa" w:w="2016"/>
          </w:tcPr>
          <w:p>
            <w:pPr>
              <w:spacing w:after="0"/>
            </w:pPr>
            <w:r/>
            <w:r>
              <w:rPr>
                <w:sz w:val="15"/>
              </w:rPr>
              <w:t>No exposure found</w:t>
            </w:r>
          </w:p>
        </w:tc>
        <w:tc>
          <w:tcPr>
            <w:tcW w:type="dxa" w:w="4608"/>
          </w:tcPr>
          <w:p>
            <w:pPr>
              <w:spacing w:after="0"/>
            </w:pPr>
            <w:r/>
            <w:r>
              <w:rPr>
                <w:sz w:val="15"/>
              </w:rPr>
              <w:t>Parameterised queries only</w:t>
            </w:r>
          </w:p>
        </w:tc>
      </w:tr>
      <w:tr>
        <w:trPr>
          <w:cantSplit/>
        </w:trPr>
        <w:tc>
          <w:tcPr>
            <w:tcW w:type="dxa" w:w="2736"/>
          </w:tcPr>
          <w:p>
            <w:pPr>
              <w:spacing w:after="0"/>
            </w:pPr>
            <w:r/>
            <w:r>
              <w:rPr>
                <w:sz w:val="15"/>
              </w:rPr>
              <w:t>Body size limits</w:t>
            </w:r>
          </w:p>
        </w:tc>
        <w:tc>
          <w:tcPr>
            <w:tcW w:type="dxa" w:w="2016"/>
          </w:tcPr>
          <w:p>
            <w:pPr>
              <w:spacing w:after="0"/>
            </w:pPr>
            <w:r/>
            <w:r>
              <w:rPr>
                <w:sz w:val="15"/>
              </w:rPr>
              <w:t>Present</w:t>
            </w:r>
          </w:p>
        </w:tc>
        <w:tc>
          <w:tcPr>
            <w:tcW w:type="dxa" w:w="4608"/>
          </w:tcPr>
          <w:p>
            <w:pPr>
              <w:spacing w:after="0"/>
            </w:pPr>
            <w:r/>
            <w:r>
              <w:rPr>
                <w:sz w:val="15"/>
              </w:rPr>
              <w:t>10 MiB default</w:t>
            </w:r>
          </w:p>
        </w:tc>
      </w:tr>
      <w:tr>
        <w:trPr>
          <w:cantSplit/>
        </w:trPr>
        <w:tc>
          <w:tcPr>
            <w:tcW w:type="dxa" w:w="2736"/>
          </w:tcPr>
          <w:p>
            <w:pPr>
              <w:spacing w:after="0"/>
            </w:pPr>
            <w:r/>
            <w:r>
              <w:rPr>
                <w:sz w:val="15"/>
              </w:rPr>
              <w:t>Security headers</w:t>
            </w:r>
          </w:p>
        </w:tc>
        <w:tc>
          <w:tcPr>
            <w:tcW w:type="dxa" w:w="2016"/>
          </w:tcPr>
          <w:p>
            <w:pPr>
              <w:spacing w:after="0"/>
            </w:pPr>
            <w:r/>
            <w:r>
              <w:rPr>
                <w:sz w:val="15"/>
              </w:rPr>
              <w:t>Present on API and SPA</w:t>
            </w:r>
          </w:p>
        </w:tc>
        <w:tc>
          <w:tcPr>
            <w:tcW w:type="dxa" w:w="4608"/>
          </w:tcPr>
          <w:p>
            <w:pPr>
              <w:spacing w:after="0"/>
            </w:pPr>
            <w:r/>
            <w:r>
              <w:rPr>
                <w:sz w:val="15"/>
              </w:rPr>
              <w:t>nosniff, DENY, no-referrer, permissions policy</w:t>
            </w:r>
          </w:p>
        </w:tc>
      </w:tr>
      <w:tr>
        <w:trPr>
          <w:cantSplit/>
        </w:trPr>
        <w:tc>
          <w:tcPr>
            <w:tcW w:type="dxa" w:w="2736"/>
          </w:tcPr>
          <w:p>
            <w:pPr>
              <w:spacing w:after="0"/>
            </w:pPr>
            <w:r/>
            <w:r>
              <w:rPr>
                <w:sz w:val="15"/>
              </w:rPr>
              <w:t>Rate limiting</w:t>
            </w:r>
          </w:p>
        </w:tc>
        <w:tc>
          <w:tcPr>
            <w:tcW w:type="dxa" w:w="2016"/>
          </w:tcPr>
          <w:p>
            <w:pPr>
              <w:spacing w:after="0"/>
            </w:pPr>
            <w:r/>
            <w:r>
              <w:rPr>
                <w:sz w:val="15"/>
              </w:rPr>
              <w:t>Present</w:t>
            </w:r>
          </w:p>
        </w:tc>
        <w:tc>
          <w:tcPr>
            <w:tcW w:type="dxa" w:w="4608"/>
          </w:tcPr>
          <w:p>
            <w:pPr>
              <w:spacing w:after="0"/>
            </w:pPr>
            <w:r/>
            <w:r>
              <w:rPr>
                <w:sz w:val="15"/>
              </w:rPr>
              <w:t>Login fail-closed, generic fail-open, tracking separate</w:t>
            </w:r>
          </w:p>
        </w:tc>
      </w:tr>
      <w:tr>
        <w:trPr>
          <w:cantSplit/>
        </w:trPr>
        <w:tc>
          <w:tcPr>
            <w:tcW w:type="dxa" w:w="2736"/>
          </w:tcPr>
          <w:p>
            <w:pPr>
              <w:spacing w:after="0"/>
            </w:pPr>
            <w:r/>
            <w:r>
              <w:rPr>
                <w:sz w:val="15"/>
              </w:rPr>
              <w:t>Idempotency</w:t>
            </w:r>
          </w:p>
        </w:tc>
        <w:tc>
          <w:tcPr>
            <w:tcW w:type="dxa" w:w="2016"/>
          </w:tcPr>
          <w:p>
            <w:pPr>
              <w:spacing w:after="0"/>
            </w:pPr>
            <w:r/>
            <w:r>
              <w:rPr>
                <w:sz w:val="15"/>
              </w:rPr>
              <w:t>Present and mandatory on money paths</w:t>
            </w:r>
          </w:p>
        </w:tc>
        <w:tc>
          <w:tcPr>
            <w:tcW w:type="dxa" w:w="4608"/>
          </w:tcPr>
          <w:p>
            <w:pPr>
              <w:spacing w:after="0"/>
            </w:pPr>
            <w:r/>
            <w:r>
              <w:rPr>
                <w:sz w:val="15"/>
              </w:rPr>
              <w:t>Redis-backed, fail-closed</w:t>
            </w:r>
          </w:p>
        </w:tc>
      </w:tr>
      <w:tr>
        <w:trPr>
          <w:cantSplit/>
        </w:trPr>
        <w:tc>
          <w:tcPr>
            <w:tcW w:type="dxa" w:w="2736"/>
          </w:tcPr>
          <w:p>
            <w:pPr>
              <w:spacing w:after="0"/>
            </w:pPr>
            <w:r/>
            <w:r>
              <w:rPr>
                <w:sz w:val="15"/>
              </w:rPr>
              <w:t>Upload authorization</w:t>
            </w:r>
          </w:p>
        </w:tc>
        <w:tc>
          <w:tcPr>
            <w:tcW w:type="dxa" w:w="2016"/>
          </w:tcPr>
          <w:p>
            <w:pPr>
              <w:spacing w:after="0"/>
            </w:pPr>
            <w:r/>
            <w:r>
              <w:rPr>
                <w:sz w:val="15"/>
              </w:rPr>
              <w:t>Present</w:t>
            </w:r>
          </w:p>
        </w:tc>
        <w:tc>
          <w:tcPr>
            <w:tcW w:type="dxa" w:w="4608"/>
          </w:tcPr>
          <w:p>
            <w:pPr>
              <w:spacing w:after="0"/>
            </w:pPr>
            <w:r/>
            <w:r>
              <w:rPr>
                <w:sz w:val="15"/>
              </w:rPr>
              <w:t>Session required; proofs ownership-checked</w:t>
            </w:r>
          </w:p>
        </w:tc>
      </w:tr>
      <w:tr>
        <w:trPr>
          <w:cantSplit/>
        </w:trPr>
        <w:tc>
          <w:tcPr>
            <w:tcW w:type="dxa" w:w="2736"/>
          </w:tcPr>
          <w:p>
            <w:pPr>
              <w:spacing w:after="0"/>
            </w:pPr>
            <w:r/>
            <w:r>
              <w:rPr>
                <w:sz w:val="15"/>
              </w:rPr>
              <w:t>Financial immutability</w:t>
            </w:r>
          </w:p>
        </w:tc>
        <w:tc>
          <w:tcPr>
            <w:tcW w:type="dxa" w:w="2016"/>
          </w:tcPr>
          <w:p>
            <w:pPr>
              <w:spacing w:after="0"/>
            </w:pPr>
            <w:r/>
            <w:r>
              <w:rPr>
                <w:sz w:val="15"/>
              </w:rPr>
              <w:t>Present</w:t>
            </w:r>
          </w:p>
        </w:tc>
        <w:tc>
          <w:tcPr>
            <w:tcW w:type="dxa" w:w="4608"/>
          </w:tcPr>
          <w:p>
            <w:pPr>
              <w:spacing w:after="0"/>
            </w:pPr>
            <w:r/>
            <w:r>
              <w:rPr>
                <w:sz w:val="15"/>
              </w:rPr>
              <w:t>Two triggers + service rules</w:t>
            </w:r>
          </w:p>
        </w:tc>
      </w:tr>
      <w:tr>
        <w:trPr>
          <w:cantSplit/>
        </w:trPr>
        <w:tc>
          <w:tcPr>
            <w:tcW w:type="dxa" w:w="2736"/>
          </w:tcPr>
          <w:p>
            <w:pPr>
              <w:spacing w:after="0"/>
            </w:pPr>
            <w:r/>
            <w:r>
              <w:rPr>
                <w:sz w:val="15"/>
              </w:rPr>
              <w:t>Secret handling</w:t>
            </w:r>
          </w:p>
        </w:tc>
        <w:tc>
          <w:tcPr>
            <w:tcW w:type="dxa" w:w="2016"/>
          </w:tcPr>
          <w:p>
            <w:pPr>
              <w:spacing w:after="0"/>
            </w:pPr>
            <w:r/>
            <w:r>
              <w:rPr>
                <w:sz w:val="15"/>
              </w:rPr>
              <w:t>No secret in the repository</w:t>
            </w:r>
          </w:p>
        </w:tc>
        <w:tc>
          <w:tcPr>
            <w:tcW w:type="dxa" w:w="4608"/>
          </w:tcPr>
          <w:p>
            <w:pPr>
              <w:spacing w:after="0"/>
            </w:pPr>
            <w:r/>
            <w:r>
              <w:rPr>
                <w:sz w:val="15"/>
              </w:rPr>
              <w:t>Only .env.example with placeholders</w:t>
            </w:r>
          </w:p>
        </w:tc>
      </w:tr>
    </w:tbl>
    <w:p>
      <w:pPr>
        <w:spacing w:after="200"/>
      </w:pPr>
      <w:r>
        <w:rPr>
          <w:i/>
          <w:color w:val="555F6D"/>
          <w:sz w:val="17"/>
        </w:rPr>
        <w:t>Table 100. Security controls verified in source</w:t>
      </w:r>
    </w:p>
    <w:p>
      <w:bookmarkStart w:id="1328" w:name="_Toc1328"/>
      <w:pPr>
        <w:pStyle w:val="Heading2"/>
      </w:pPr>
      <w:r>
        <w:t>35.2 Weaknesses and residual risk</w:t>
      </w:r>
      <w:bookmarkEnd w:id="1328"/>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3024"/>
            <w:shd w:val="clear" w:color="auto" w:fill="1F3A5F"/>
          </w:tcPr>
          <w:p>
            <w:pPr>
              <w:spacing w:after="0"/>
            </w:pPr>
            <w:r/>
            <w:r>
              <w:rPr>
                <w:b/>
                <w:color w:val="FFFFFF"/>
                <w:sz w:val="14"/>
              </w:rPr>
              <w:t>Risk</w:t>
            </w:r>
          </w:p>
        </w:tc>
        <w:tc>
          <w:tcPr>
            <w:tcW w:type="dxa" w:w="1008"/>
            <w:shd w:val="clear" w:color="auto" w:fill="1F3A5F"/>
          </w:tcPr>
          <w:p>
            <w:pPr>
              <w:spacing w:after="0"/>
            </w:pPr>
            <w:r/>
            <w:r>
              <w:rPr>
                <w:b/>
                <w:color w:val="FFFFFF"/>
                <w:sz w:val="14"/>
              </w:rPr>
              <w:t>Severity</w:t>
            </w:r>
          </w:p>
        </w:tc>
        <w:tc>
          <w:tcPr>
            <w:tcW w:type="dxa" w:w="3168"/>
            <w:shd w:val="clear" w:color="auto" w:fill="1F3A5F"/>
          </w:tcPr>
          <w:p>
            <w:pPr>
              <w:spacing w:after="0"/>
            </w:pPr>
            <w:r/>
            <w:r>
              <w:rPr>
                <w:b/>
                <w:color w:val="FFFFFF"/>
                <w:sz w:val="14"/>
              </w:rPr>
              <w:t>Detail</w:t>
            </w:r>
          </w:p>
        </w:tc>
        <w:tc>
          <w:tcPr>
            <w:tcW w:type="dxa" w:w="2160"/>
            <w:shd w:val="clear" w:color="auto" w:fill="1F3A5F"/>
          </w:tcPr>
          <w:p>
            <w:pPr>
              <w:spacing w:after="0"/>
            </w:pPr>
            <w:r/>
            <w:r>
              <w:rPr>
                <w:b/>
                <w:color w:val="FFFFFF"/>
                <w:sz w:val="14"/>
              </w:rPr>
              <w:t>Mitigation</w:t>
            </w:r>
          </w:p>
        </w:tc>
      </w:tr>
      <w:tr>
        <w:trPr>
          <w:cantSplit/>
        </w:trPr>
        <w:tc>
          <w:tcPr>
            <w:tcW w:type="dxa" w:w="3024"/>
          </w:tcPr>
          <w:p>
            <w:pPr>
              <w:spacing w:after="0"/>
            </w:pPr>
            <w:r/>
            <w:r>
              <w:rPr>
                <w:sz w:val="14"/>
              </w:rPr>
              <w:t>No RLS; service layer is the only tenancy boundary</w:t>
            </w:r>
          </w:p>
        </w:tc>
        <w:tc>
          <w:tcPr>
            <w:tcW w:type="dxa" w:w="1008"/>
          </w:tcPr>
          <w:p>
            <w:pPr>
              <w:spacing w:after="0"/>
            </w:pPr>
            <w:r/>
            <w:r>
              <w:rPr>
                <w:sz w:val="14"/>
              </w:rPr>
              <w:t>Medium</w:t>
            </w:r>
          </w:p>
        </w:tc>
        <w:tc>
          <w:tcPr>
            <w:tcW w:type="dxa" w:w="3168"/>
          </w:tcPr>
          <w:p>
            <w:pPr>
              <w:spacing w:after="0"/>
            </w:pPr>
            <w:r/>
            <w:r>
              <w:rPr>
                <w:sz w:val="14"/>
              </w:rPr>
              <w:t>One missed scope check exposes another outlet's data</w:t>
            </w:r>
          </w:p>
        </w:tc>
        <w:tc>
          <w:tcPr>
            <w:tcW w:type="dxa" w:w="2160"/>
          </w:tcPr>
          <w:p>
            <w:pPr>
              <w:spacing w:after="0"/>
            </w:pPr>
            <w:r/>
            <w:r>
              <w:rPr>
                <w:sz w:val="14"/>
              </w:rPr>
              <w:t>Add RLS or a repository-level scope guard; at minimum, keep the tenant tests</w:t>
            </w:r>
          </w:p>
        </w:tc>
      </w:tr>
      <w:tr>
        <w:trPr>
          <w:cantSplit/>
        </w:trPr>
        <w:tc>
          <w:tcPr>
            <w:tcW w:type="dxa" w:w="3024"/>
          </w:tcPr>
          <w:p>
            <w:pPr>
              <w:spacing w:after="0"/>
            </w:pPr>
            <w:r/>
            <w:r>
              <w:rPr>
                <w:sz w:val="14"/>
              </w:rPr>
              <w:t>CORS default is localhost; wildcard allowed</w:t>
            </w:r>
          </w:p>
        </w:tc>
        <w:tc>
          <w:tcPr>
            <w:tcW w:type="dxa" w:w="1008"/>
          </w:tcPr>
          <w:p>
            <w:pPr>
              <w:spacing w:after="0"/>
            </w:pPr>
            <w:r/>
            <w:r>
              <w:rPr>
                <w:sz w:val="14"/>
              </w:rPr>
              <w:t>Medium</w:t>
            </w:r>
          </w:p>
        </w:tc>
        <w:tc>
          <w:tcPr>
            <w:tcW w:type="dxa" w:w="3168"/>
          </w:tcPr>
          <w:p>
            <w:pPr>
              <w:spacing w:after="0"/>
            </w:pPr>
            <w:r/>
            <w:r>
              <w:rPr>
                <w:sz w:val="14"/>
              </w:rPr>
              <w:t>A misconfigured deployment either blocks the SPAs or opens the API to any origin</w:t>
            </w:r>
          </w:p>
        </w:tc>
        <w:tc>
          <w:tcPr>
            <w:tcW w:type="dxa" w:w="2160"/>
          </w:tcPr>
          <w:p>
            <w:pPr>
              <w:spacing w:after="0"/>
            </w:pPr>
            <w:r/>
            <w:r>
              <w:rPr>
                <w:sz w:val="14"/>
              </w:rPr>
              <w:t>Set CORS_ORIGINS explicitly per environment (F-12)</w:t>
            </w:r>
          </w:p>
        </w:tc>
      </w:tr>
      <w:tr>
        <w:trPr>
          <w:cantSplit/>
        </w:trPr>
        <w:tc>
          <w:tcPr>
            <w:tcW w:type="dxa" w:w="3024"/>
          </w:tcPr>
          <w:p>
            <w:pPr>
              <w:spacing w:after="0"/>
            </w:pPr>
            <w:r/>
            <w:r>
              <w:rPr>
                <w:sz w:val="14"/>
              </w:rPr>
              <w:t>No dependency scanning</w:t>
            </w:r>
          </w:p>
        </w:tc>
        <w:tc>
          <w:tcPr>
            <w:tcW w:type="dxa" w:w="1008"/>
          </w:tcPr>
          <w:p>
            <w:pPr>
              <w:spacing w:after="0"/>
            </w:pPr>
            <w:r/>
            <w:r>
              <w:rPr>
                <w:sz w:val="14"/>
              </w:rPr>
              <w:t>Medium</w:t>
            </w:r>
          </w:p>
        </w:tc>
        <w:tc>
          <w:tcPr>
            <w:tcW w:type="dxa" w:w="3168"/>
          </w:tcPr>
          <w:p>
            <w:pPr>
              <w:spacing w:after="0"/>
            </w:pPr>
            <w:r/>
            <w:r>
              <w:rPr>
                <w:sz w:val="14"/>
              </w:rPr>
              <w:t>A vulnerable transitive package would not be flagged</w:t>
            </w:r>
          </w:p>
        </w:tc>
        <w:tc>
          <w:tcPr>
            <w:tcW w:type="dxa" w:w="2160"/>
          </w:tcPr>
          <w:p>
            <w:pPr>
              <w:spacing w:after="0"/>
            </w:pPr>
            <w:r/>
            <w:r>
              <w:rPr>
                <w:sz w:val="14"/>
              </w:rPr>
              <w:t>Add govulncheck and pnpm audit to CI</w:t>
            </w:r>
          </w:p>
        </w:tc>
      </w:tr>
      <w:tr>
        <w:trPr>
          <w:cantSplit/>
        </w:trPr>
        <w:tc>
          <w:tcPr>
            <w:tcW w:type="dxa" w:w="3024"/>
          </w:tcPr>
          <w:p>
            <w:pPr>
              <w:spacing w:after="0"/>
            </w:pPr>
            <w:r/>
            <w:r>
              <w:rPr>
                <w:sz w:val="14"/>
              </w:rPr>
              <w:t>No CSRF token, by design</w:t>
            </w:r>
          </w:p>
        </w:tc>
        <w:tc>
          <w:tcPr>
            <w:tcW w:type="dxa" w:w="1008"/>
          </w:tcPr>
          <w:p>
            <w:pPr>
              <w:spacing w:after="0"/>
            </w:pPr>
            <w:r/>
            <w:r>
              <w:rPr>
                <w:sz w:val="14"/>
              </w:rPr>
              <w:t>Low</w:t>
            </w:r>
          </w:p>
        </w:tc>
        <w:tc>
          <w:tcPr>
            <w:tcW w:type="dxa" w:w="3168"/>
          </w:tcPr>
          <w:p>
            <w:pPr>
              <w:spacing w:after="0"/>
            </w:pPr>
            <w:r/>
            <w:r>
              <w:rPr>
                <w:sz w:val="14"/>
              </w:rPr>
              <w:t>Safe today because no state-changing call relies on a cookie; the B2B cookie is converted server-side</w:t>
            </w:r>
          </w:p>
        </w:tc>
        <w:tc>
          <w:tcPr>
            <w:tcW w:type="dxa" w:w="2160"/>
          </w:tcPr>
          <w:p>
            <w:pPr>
              <w:spacing w:after="0"/>
            </w:pPr>
            <w:r/>
            <w:r>
              <w:rPr>
                <w:sz w:val="14"/>
              </w:rPr>
              <w:t>Keep the conversion server-side; never let the browser send the cookie directly to the API</w:t>
            </w:r>
          </w:p>
        </w:tc>
      </w:tr>
      <w:tr>
        <w:trPr>
          <w:cantSplit/>
        </w:trPr>
        <w:tc>
          <w:tcPr>
            <w:tcW w:type="dxa" w:w="3024"/>
          </w:tcPr>
          <w:p>
            <w:pPr>
              <w:spacing w:after="0"/>
            </w:pPr>
            <w:r/>
            <w:r>
              <w:rPr>
                <w:sz w:val="14"/>
              </w:rPr>
              <w:t>Login rate limit keyed on IP only</w:t>
            </w:r>
          </w:p>
        </w:tc>
        <w:tc>
          <w:tcPr>
            <w:tcW w:type="dxa" w:w="1008"/>
          </w:tcPr>
          <w:p>
            <w:pPr>
              <w:spacing w:after="0"/>
            </w:pPr>
            <w:r/>
            <w:r>
              <w:rPr>
                <w:sz w:val="14"/>
              </w:rPr>
              <w:t>Low</w:t>
            </w:r>
          </w:p>
        </w:tc>
        <w:tc>
          <w:tcPr>
            <w:tcW w:type="dxa" w:w="3168"/>
          </w:tcPr>
          <w:p>
            <w:pPr>
              <w:spacing w:after="0"/>
            </w:pPr>
            <w:r/>
            <w:r>
              <w:rPr>
                <w:sz w:val="14"/>
              </w:rPr>
              <w:t>Behind a proxy without TRUSTED_PROXIES every client shares one bucket</w:t>
            </w:r>
          </w:p>
        </w:tc>
        <w:tc>
          <w:tcPr>
            <w:tcW w:type="dxa" w:w="2160"/>
          </w:tcPr>
          <w:p>
            <w:pPr>
              <w:spacing w:after="0"/>
            </w:pPr>
            <w:r/>
            <w:r>
              <w:rPr>
                <w:sz w:val="14"/>
              </w:rPr>
              <w:t>Set TRUSTED_PROXIES</w:t>
            </w:r>
          </w:p>
        </w:tc>
      </w:tr>
      <w:tr>
        <w:trPr>
          <w:cantSplit/>
        </w:trPr>
        <w:tc>
          <w:tcPr>
            <w:tcW w:type="dxa" w:w="3024"/>
          </w:tcPr>
          <w:p>
            <w:pPr>
              <w:spacing w:after="0"/>
            </w:pPr>
            <w:r/>
            <w:r>
              <w:rPr>
                <w:sz w:val="14"/>
              </w:rPr>
              <w:t>Audit log is application-level only</w:t>
            </w:r>
          </w:p>
        </w:tc>
        <w:tc>
          <w:tcPr>
            <w:tcW w:type="dxa" w:w="1008"/>
          </w:tcPr>
          <w:p>
            <w:pPr>
              <w:spacing w:after="0"/>
            </w:pPr>
            <w:r/>
            <w:r>
              <w:rPr>
                <w:sz w:val="14"/>
              </w:rPr>
              <w:t>Low</w:t>
            </w:r>
          </w:p>
        </w:tc>
        <w:tc>
          <w:tcPr>
            <w:tcW w:type="dxa" w:w="3168"/>
          </w:tcPr>
          <w:p>
            <w:pPr>
              <w:spacing w:after="0"/>
            </w:pPr>
            <w:r/>
            <w:r>
              <w:rPr>
                <w:sz w:val="14"/>
              </w:rPr>
              <w:t>Direct SQL changes are invisible</w:t>
            </w:r>
          </w:p>
        </w:tc>
        <w:tc>
          <w:tcPr>
            <w:tcW w:type="dxa" w:w="2160"/>
          </w:tcPr>
          <w:p>
            <w:pPr>
              <w:spacing w:after="0"/>
            </w:pPr>
            <w:r/>
            <w:r>
              <w:rPr>
                <w:sz w:val="14"/>
              </w:rPr>
              <w:t>Restrict database access; enable pgaudit if the host allows</w:t>
            </w:r>
          </w:p>
        </w:tc>
      </w:tr>
      <w:tr>
        <w:trPr>
          <w:cantSplit/>
        </w:trPr>
        <w:tc>
          <w:tcPr>
            <w:tcW w:type="dxa" w:w="3024"/>
          </w:tcPr>
          <w:p>
            <w:pPr>
              <w:spacing w:after="0"/>
            </w:pPr>
            <w:r/>
            <w:r>
              <w:rPr>
                <w:sz w:val="14"/>
              </w:rPr>
              <w:t>Seeded admin password in seed.sql</w:t>
            </w:r>
          </w:p>
        </w:tc>
        <w:tc>
          <w:tcPr>
            <w:tcW w:type="dxa" w:w="1008"/>
          </w:tcPr>
          <w:p>
            <w:pPr>
              <w:spacing w:after="0"/>
            </w:pPr>
            <w:r/>
            <w:r>
              <w:rPr>
                <w:sz w:val="14"/>
              </w:rPr>
              <w:t>Low</w:t>
            </w:r>
          </w:p>
        </w:tc>
        <w:tc>
          <w:tcPr>
            <w:tcW w:type="dxa" w:w="3168"/>
          </w:tcPr>
          <w:p>
            <w:pPr>
              <w:spacing w:after="0"/>
            </w:pPr>
            <w:r/>
            <w:r>
              <w:rPr>
                <w:sz w:val="14"/>
              </w:rPr>
              <w:t>Published in the repository</w:t>
            </w:r>
          </w:p>
        </w:tc>
        <w:tc>
          <w:tcPr>
            <w:tcW w:type="dxa" w:w="2160"/>
          </w:tcPr>
          <w:p>
            <w:pPr>
              <w:spacing w:after="0"/>
            </w:pPr>
            <w:r/>
            <w:r>
              <w:rPr>
                <w:sz w:val="14"/>
              </w:rPr>
              <w:t>Change on first login; never seed a reachable deployment</w:t>
            </w:r>
          </w:p>
        </w:tc>
      </w:tr>
      <w:tr>
        <w:trPr>
          <w:cantSplit/>
        </w:trPr>
        <w:tc>
          <w:tcPr>
            <w:tcW w:type="dxa" w:w="3024"/>
          </w:tcPr>
          <w:p>
            <w:pPr>
              <w:spacing w:after="0"/>
            </w:pPr>
            <w:r/>
            <w:r>
              <w:rPr>
                <w:sz w:val="14"/>
              </w:rPr>
              <w:t>Payment proof served from the same namespace as public images</w:t>
            </w:r>
          </w:p>
        </w:tc>
        <w:tc>
          <w:tcPr>
            <w:tcW w:type="dxa" w:w="1008"/>
          </w:tcPr>
          <w:p>
            <w:pPr>
              <w:spacing w:after="0"/>
            </w:pPr>
            <w:r/>
            <w:r>
              <w:rPr>
                <w:sz w:val="14"/>
              </w:rPr>
              <w:t>Low</w:t>
            </w:r>
          </w:p>
        </w:tc>
        <w:tc>
          <w:tcPr>
            <w:tcW w:type="dxa" w:w="3168"/>
          </w:tcPr>
          <w:p>
            <w:pPr>
              <w:spacing w:after="0"/>
            </w:pPr>
            <w:r/>
            <w:r>
              <w:rPr>
                <w:sz w:val="14"/>
              </w:rPr>
              <w:t>Authorization is per-request inside the handler</w:t>
            </w:r>
          </w:p>
        </w:tc>
        <w:tc>
          <w:tcPr>
            <w:tcW w:type="dxa" w:w="2160"/>
          </w:tcPr>
          <w:p>
            <w:pPr>
              <w:spacing w:after="0"/>
            </w:pPr>
            <w:r/>
            <w:r>
              <w:rPr>
                <w:sz w:val="14"/>
              </w:rPr>
              <w:t>Keep the payments-table check; add a test that an anonymous GET of a proof key fails</w:t>
            </w:r>
          </w:p>
        </w:tc>
      </w:tr>
    </w:tbl>
    <w:p>
      <w:pPr>
        <w:spacing w:after="200"/>
      </w:pPr>
      <w:r>
        <w:rPr>
          <w:i/>
          <w:color w:val="555F6D"/>
          <w:sz w:val="17"/>
        </w:rPr>
        <w:t>Table 101. Residual security risks</w:t>
      </w:r>
    </w:p>
    <w:p>
      <w:bookmarkStart w:id="1329" w:name="_Toc1329"/>
      <w:pPr>
        <w:pStyle w:val="Heading2"/>
      </w:pPr>
      <w:r>
        <w:t>35.3 Privacy</w:t>
      </w:r>
      <w:bookmarkEnd w:id="1329"/>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504" w:type="dxa"/>
      </w:tblPr>
      <w:tblGrid>
        <w:gridCol w:w="2412"/>
        <w:gridCol w:w="2412"/>
        <w:gridCol w:w="2412"/>
        <w:gridCol w:w="2412"/>
      </w:tblGrid>
      <w:tr>
        <w:trPr>
          <w:tblHeader w:val="true"/>
        </w:trPr>
        <w:tc>
          <w:tcPr>
            <w:tcW w:type="dxa" w:w="1872"/>
            <w:shd w:val="clear" w:color="auto" w:fill="1F3A5F"/>
          </w:tcPr>
          <w:p>
            <w:pPr>
              <w:spacing w:after="0"/>
            </w:pPr>
            <w:r/>
            <w:r>
              <w:rPr>
                <w:b/>
                <w:color w:val="FFFFFF"/>
                <w:sz w:val="15"/>
              </w:rPr>
              <w:t>Data</w:t>
            </w:r>
          </w:p>
        </w:tc>
        <w:tc>
          <w:tcPr>
            <w:tcW w:type="dxa" w:w="3168"/>
            <w:shd w:val="clear" w:color="auto" w:fill="1F3A5F"/>
          </w:tcPr>
          <w:p>
            <w:pPr>
              <w:spacing w:after="0"/>
            </w:pPr>
            <w:r/>
            <w:r>
              <w:rPr>
                <w:b/>
                <w:color w:val="FFFFFF"/>
                <w:sz w:val="15"/>
              </w:rPr>
              <w:t>Table/column</w:t>
            </w:r>
          </w:p>
        </w:tc>
        <w:tc>
          <w:tcPr>
            <w:tcW w:type="dxa" w:w="1584"/>
            <w:shd w:val="clear" w:color="auto" w:fill="1F3A5F"/>
          </w:tcPr>
          <w:p>
            <w:pPr>
              <w:spacing w:after="0"/>
            </w:pPr>
            <w:r/>
            <w:r>
              <w:rPr>
                <w:b/>
                <w:color w:val="FFFFFF"/>
                <w:sz w:val="15"/>
              </w:rPr>
              <w:t>Sensitivity</w:t>
            </w:r>
          </w:p>
        </w:tc>
        <w:tc>
          <w:tcPr>
            <w:tcW w:type="dxa" w:w="2880"/>
            <w:shd w:val="clear" w:color="auto" w:fill="1F3A5F"/>
          </w:tcPr>
          <w:p>
            <w:pPr>
              <w:spacing w:after="0"/>
            </w:pPr>
            <w:r/>
            <w:r>
              <w:rPr>
                <w:b/>
                <w:color w:val="FFFFFF"/>
                <w:sz w:val="15"/>
              </w:rPr>
              <w:t>Handling</w:t>
            </w:r>
          </w:p>
        </w:tc>
      </w:tr>
      <w:tr>
        <w:trPr>
          <w:cantSplit/>
        </w:trPr>
        <w:tc>
          <w:tcPr>
            <w:tcW w:type="dxa" w:w="1872"/>
          </w:tcPr>
          <w:p>
            <w:pPr>
              <w:spacing w:after="0"/>
            </w:pPr>
            <w:r/>
            <w:r>
              <w:rPr>
                <w:sz w:val="15"/>
              </w:rPr>
              <w:t>Customer identity</w:t>
            </w:r>
          </w:p>
        </w:tc>
        <w:tc>
          <w:tcPr>
            <w:tcW w:type="dxa" w:w="3168"/>
          </w:tcPr>
          <w:p>
            <w:pPr>
              <w:spacing w:after="0"/>
            </w:pPr>
            <w:r/>
            <w:r>
              <w:rPr>
                <w:sz w:val="15"/>
              </w:rPr>
              <w:t>customers (name, phone, email, address, tax_number)</w:t>
            </w:r>
          </w:p>
        </w:tc>
        <w:tc>
          <w:tcPr>
            <w:tcW w:type="dxa" w:w="1584"/>
          </w:tcPr>
          <w:p>
            <w:pPr>
              <w:spacing w:after="0"/>
            </w:pPr>
            <w:r/>
            <w:r>
              <w:rPr>
                <w:sz w:val="15"/>
              </w:rPr>
              <w:t>PII</w:t>
            </w:r>
          </w:p>
        </w:tc>
        <w:tc>
          <w:tcPr>
            <w:tcW w:type="dxa" w:w="2880"/>
          </w:tcPr>
          <w:p>
            <w:pPr>
              <w:spacing w:after="0"/>
            </w:pPr>
            <w:r/>
            <w:r>
              <w:rPr>
                <w:sz w:val="15"/>
              </w:rPr>
              <w:t>Scoped by permission; no public endpoint returns the full row</w:t>
            </w:r>
          </w:p>
        </w:tc>
      </w:tr>
      <w:tr>
        <w:trPr>
          <w:cantSplit/>
        </w:trPr>
        <w:tc>
          <w:tcPr>
            <w:tcW w:type="dxa" w:w="1872"/>
          </w:tcPr>
          <w:p>
            <w:pPr>
              <w:spacing w:after="0"/>
            </w:pPr>
            <w:r/>
            <w:r>
              <w:rPr>
                <w:sz w:val="15"/>
              </w:rPr>
              <w:t>Buyer account</w:t>
            </w:r>
          </w:p>
        </w:tc>
        <w:tc>
          <w:tcPr>
            <w:tcW w:type="dxa" w:w="3168"/>
          </w:tcPr>
          <w:p>
            <w:pPr>
              <w:spacing w:after="0"/>
            </w:pPr>
            <w:r/>
            <w:r>
              <w:rPr>
                <w:sz w:val="15"/>
              </w:rPr>
              <w:t>users.email, buyer_addresses</w:t>
            </w:r>
          </w:p>
        </w:tc>
        <w:tc>
          <w:tcPr>
            <w:tcW w:type="dxa" w:w="1584"/>
          </w:tcPr>
          <w:p>
            <w:pPr>
              <w:spacing w:after="0"/>
            </w:pPr>
            <w:r/>
            <w:r>
              <w:rPr>
                <w:sz w:val="15"/>
              </w:rPr>
              <w:t>PII</w:t>
            </w:r>
          </w:p>
        </w:tc>
        <w:tc>
          <w:tcPr>
            <w:tcW w:type="dxa" w:w="2880"/>
          </w:tcPr>
          <w:p>
            <w:pPr>
              <w:spacing w:after="0"/>
            </w:pPr>
            <w:r/>
            <w:r>
              <w:rPr>
                <w:sz w:val="15"/>
              </w:rPr>
              <w:t>Own-record only (RequireApp + ownership)</w:t>
            </w:r>
          </w:p>
        </w:tc>
      </w:tr>
      <w:tr>
        <w:trPr>
          <w:cantSplit/>
        </w:trPr>
        <w:tc>
          <w:tcPr>
            <w:tcW w:type="dxa" w:w="1872"/>
          </w:tcPr>
          <w:p>
            <w:pPr>
              <w:spacing w:after="0"/>
            </w:pPr>
            <w:r/>
            <w:r>
              <w:rPr>
                <w:sz w:val="15"/>
              </w:rPr>
              <w:t>Employee data</w:t>
            </w:r>
          </w:p>
        </w:tc>
        <w:tc>
          <w:tcPr>
            <w:tcW w:type="dxa" w:w="3168"/>
          </w:tcPr>
          <w:p>
            <w:pPr>
              <w:spacing w:after="0"/>
            </w:pPr>
            <w:r/>
            <w:r>
              <w:rPr>
                <w:sz w:val="15"/>
              </w:rPr>
              <w:t>employees (nik, npwp, bank account, salary)</w:t>
            </w:r>
          </w:p>
        </w:tc>
        <w:tc>
          <w:tcPr>
            <w:tcW w:type="dxa" w:w="1584"/>
          </w:tcPr>
          <w:p>
            <w:pPr>
              <w:spacing w:after="0"/>
            </w:pPr>
            <w:r/>
            <w:r>
              <w:rPr>
                <w:sz w:val="15"/>
              </w:rPr>
              <w:t>PII + financial</w:t>
            </w:r>
          </w:p>
        </w:tc>
        <w:tc>
          <w:tcPr>
            <w:tcW w:type="dxa" w:w="2880"/>
          </w:tcPr>
          <w:p>
            <w:pPr>
              <w:spacing w:after="0"/>
            </w:pPr>
            <w:r/>
            <w:r>
              <w:rPr>
                <w:sz w:val="15"/>
              </w:rPr>
              <w:t>HR permissions only; self-service /me endpoints</w:t>
            </w:r>
          </w:p>
        </w:tc>
      </w:tr>
      <w:tr>
        <w:trPr>
          <w:cantSplit/>
        </w:trPr>
        <w:tc>
          <w:tcPr>
            <w:tcW w:type="dxa" w:w="1872"/>
          </w:tcPr>
          <w:p>
            <w:pPr>
              <w:spacing w:after="0"/>
            </w:pPr>
            <w:r/>
            <w:r>
              <w:rPr>
                <w:sz w:val="15"/>
              </w:rPr>
              <w:t>Payroll</w:t>
            </w:r>
          </w:p>
        </w:tc>
        <w:tc>
          <w:tcPr>
            <w:tcW w:type="dxa" w:w="3168"/>
          </w:tcPr>
          <w:p>
            <w:pPr>
              <w:spacing w:after="0"/>
            </w:pPr>
            <w:r/>
            <w:r>
              <w:rPr>
                <w:sz w:val="15"/>
              </w:rPr>
              <w:t>payrolls</w:t>
            </w:r>
          </w:p>
        </w:tc>
        <w:tc>
          <w:tcPr>
            <w:tcW w:type="dxa" w:w="1584"/>
          </w:tcPr>
          <w:p>
            <w:pPr>
              <w:spacing w:after="0"/>
            </w:pPr>
            <w:r/>
            <w:r>
              <w:rPr>
                <w:sz w:val="15"/>
              </w:rPr>
              <w:t>Financial/PII</w:t>
            </w:r>
          </w:p>
        </w:tc>
        <w:tc>
          <w:tcPr>
            <w:tcW w:type="dxa" w:w="2880"/>
          </w:tcPr>
          <w:p>
            <w:pPr>
              <w:spacing w:after="0"/>
            </w:pPr>
            <w:r/>
            <w:r>
              <w:rPr>
                <w:sz w:val="15"/>
              </w:rPr>
              <w:t>hr.payrolls.view</w:t>
            </w:r>
          </w:p>
        </w:tc>
      </w:tr>
      <w:tr>
        <w:trPr>
          <w:cantSplit/>
        </w:trPr>
        <w:tc>
          <w:tcPr>
            <w:tcW w:type="dxa" w:w="1872"/>
          </w:tcPr>
          <w:p>
            <w:pPr>
              <w:spacing w:after="0"/>
            </w:pPr>
            <w:r/>
            <w:r>
              <w:rPr>
                <w:sz w:val="15"/>
              </w:rPr>
              <w:t>Payment proofs</w:t>
            </w:r>
          </w:p>
        </w:tc>
        <w:tc>
          <w:tcPr>
            <w:tcW w:type="dxa" w:w="3168"/>
          </w:tcPr>
          <w:p>
            <w:pPr>
              <w:spacing w:after="0"/>
            </w:pPr>
            <w:r/>
            <w:r>
              <w:rPr>
                <w:sz w:val="15"/>
              </w:rPr>
              <w:t>payments.proof_url + uploads</w:t>
            </w:r>
          </w:p>
        </w:tc>
        <w:tc>
          <w:tcPr>
            <w:tcW w:type="dxa" w:w="1584"/>
          </w:tcPr>
          <w:p>
            <w:pPr>
              <w:spacing w:after="0"/>
            </w:pPr>
            <w:r/>
            <w:r>
              <w:rPr>
                <w:sz w:val="15"/>
              </w:rPr>
              <w:t>Financial evidence</w:t>
            </w:r>
          </w:p>
        </w:tc>
        <w:tc>
          <w:tcPr>
            <w:tcW w:type="dxa" w:w="2880"/>
          </w:tcPr>
          <w:p>
            <w:pPr>
              <w:spacing w:after="0"/>
            </w:pPr>
            <w:r/>
            <w:r>
              <w:rPr>
                <w:sz w:val="15"/>
              </w:rPr>
              <w:t>Ownership-checked serving</w:t>
            </w:r>
          </w:p>
        </w:tc>
      </w:tr>
      <w:tr>
        <w:trPr>
          <w:cantSplit/>
        </w:trPr>
        <w:tc>
          <w:tcPr>
            <w:tcW w:type="dxa" w:w="1872"/>
          </w:tcPr>
          <w:p>
            <w:pPr>
              <w:spacing w:after="0"/>
            </w:pPr>
            <w:r/>
            <w:r>
              <w:rPr>
                <w:sz w:val="15"/>
              </w:rPr>
              <w:t>Tokens</w:t>
            </w:r>
          </w:p>
        </w:tc>
        <w:tc>
          <w:tcPr>
            <w:tcW w:type="dxa" w:w="3168"/>
          </w:tcPr>
          <w:p>
            <w:pPr>
              <w:spacing w:after="0"/>
            </w:pPr>
            <w:r/>
            <w:r>
              <w:rPr>
                <w:sz w:val="15"/>
              </w:rPr>
              <w:t>personal_access_tokens.token (hash)</w:t>
            </w:r>
          </w:p>
        </w:tc>
        <w:tc>
          <w:tcPr>
            <w:tcW w:type="dxa" w:w="1584"/>
          </w:tcPr>
          <w:p>
            <w:pPr>
              <w:spacing w:after="0"/>
            </w:pPr>
            <w:r/>
            <w:r>
              <w:rPr>
                <w:sz w:val="15"/>
              </w:rPr>
              <w:t>Credential</w:t>
            </w:r>
          </w:p>
        </w:tc>
        <w:tc>
          <w:tcPr>
            <w:tcW w:type="dxa" w:w="2880"/>
          </w:tcPr>
          <w:p>
            <w:pPr>
              <w:spacing w:after="0"/>
            </w:pPr>
            <w:r/>
            <w:r>
              <w:rPr>
                <w:sz w:val="15"/>
              </w:rPr>
              <w:t>Hash only; expiry enforced</w:t>
            </w:r>
          </w:p>
        </w:tc>
      </w:tr>
      <w:tr>
        <w:trPr>
          <w:cantSplit/>
        </w:trPr>
        <w:tc>
          <w:tcPr>
            <w:tcW w:type="dxa" w:w="1872"/>
          </w:tcPr>
          <w:p>
            <w:pPr>
              <w:spacing w:after="0"/>
            </w:pPr>
            <w:r/>
            <w:r>
              <w:rPr>
                <w:sz w:val="15"/>
              </w:rPr>
              <w:t>Audit trail</w:t>
            </w:r>
          </w:p>
        </w:tc>
        <w:tc>
          <w:tcPr>
            <w:tcW w:type="dxa" w:w="3168"/>
          </w:tcPr>
          <w:p>
            <w:pPr>
              <w:spacing w:after="0"/>
            </w:pPr>
            <w:r/>
            <w:r>
              <w:rPr>
                <w:sz w:val="15"/>
              </w:rPr>
              <w:t>activity_logs.old_values/new_values</w:t>
            </w:r>
          </w:p>
        </w:tc>
        <w:tc>
          <w:tcPr>
            <w:tcW w:type="dxa" w:w="1584"/>
          </w:tcPr>
          <w:p>
            <w:pPr>
              <w:spacing w:after="0"/>
            </w:pPr>
            <w:r/>
            <w:r>
              <w:rPr>
                <w:sz w:val="15"/>
              </w:rPr>
              <w:t>Potentially PII</w:t>
            </w:r>
          </w:p>
        </w:tc>
        <w:tc>
          <w:tcPr>
            <w:tcW w:type="dxa" w:w="2880"/>
          </w:tcPr>
          <w:p>
            <w:pPr>
              <w:spacing w:after="0"/>
            </w:pPr>
            <w:r/>
            <w:r>
              <w:rPr>
                <w:sz w:val="15"/>
              </w:rPr>
              <w:t>system.activity-logs.view; admin can clear</w:t>
            </w:r>
          </w:p>
        </w:tc>
      </w:tr>
      <w:tr>
        <w:trPr>
          <w:cantSplit/>
        </w:trPr>
        <w:tc>
          <w:tcPr>
            <w:tcW w:type="dxa" w:w="1872"/>
          </w:tcPr>
          <w:p>
            <w:pPr>
              <w:spacing w:after="0"/>
            </w:pPr>
            <w:r/>
            <w:r>
              <w:rPr>
                <w:sz w:val="15"/>
              </w:rPr>
              <w:t>Support tickets</w:t>
            </w:r>
          </w:p>
        </w:tc>
        <w:tc>
          <w:tcPr>
            <w:tcW w:type="dxa" w:w="3168"/>
          </w:tcPr>
          <w:p>
            <w:pPr>
              <w:spacing w:after="0"/>
            </w:pPr>
            <w:r/>
            <w:r>
              <w:rPr>
                <w:sz w:val="15"/>
              </w:rPr>
              <w:t>tickets (reporter email, metadata)</w:t>
            </w:r>
          </w:p>
        </w:tc>
        <w:tc>
          <w:tcPr>
            <w:tcW w:type="dxa" w:w="1584"/>
          </w:tcPr>
          <w:p>
            <w:pPr>
              <w:spacing w:after="0"/>
            </w:pPr>
            <w:r/>
            <w:r>
              <w:rPr>
                <w:sz w:val="15"/>
              </w:rPr>
              <w:t>PII</w:t>
            </w:r>
          </w:p>
        </w:tc>
        <w:tc>
          <w:tcPr>
            <w:tcW w:type="dxa" w:w="2880"/>
          </w:tcPr>
          <w:p>
            <w:pPr>
              <w:spacing w:after="0"/>
            </w:pPr>
            <w:r/>
            <w:r>
              <w:rPr>
                <w:sz w:val="15"/>
              </w:rPr>
              <w:t>support.tickets.view; is_internal comments hidden from buyers</w:t>
            </w:r>
          </w:p>
        </w:tc>
      </w:tr>
    </w:tbl>
    <w:p>
      <w:pPr>
        <w:spacing w:after="200"/>
      </w:pPr>
      <w:r>
        <w:rPr>
          <w:i/>
          <w:color w:val="555F6D"/>
          <w:sz w:val="17"/>
        </w:rPr>
        <w:t>Table 102. Personal data inventory</w:t>
      </w:r>
    </w:p>
    <w:p>
      <w:bookmarkStart w:id="1330" w:name="_Toc1330"/>
      <w:pPr>
        <w:pStyle w:val="Heading1"/>
        <w:pageBreakBefore/>
      </w:pPr>
      <w:r>
        <w:t>36. Performance and resource constraints</w:t>
      </w:r>
      <w:bookmarkEnd w:id="1330"/>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304"/>
            <w:shd w:val="clear" w:color="auto" w:fill="1F3A5F"/>
          </w:tcPr>
          <w:p>
            <w:pPr>
              <w:spacing w:after="0"/>
            </w:pPr>
            <w:r/>
            <w:r>
              <w:rPr>
                <w:b/>
                <w:color w:val="FFFFFF"/>
                <w:sz w:val="15"/>
              </w:rPr>
              <w:t>Constraint</w:t>
            </w:r>
          </w:p>
        </w:tc>
        <w:tc>
          <w:tcPr>
            <w:tcW w:type="dxa" w:w="4320"/>
            <w:shd w:val="clear" w:color="auto" w:fill="1F3A5F"/>
          </w:tcPr>
          <w:p>
            <w:pPr>
              <w:spacing w:after="0"/>
            </w:pPr>
            <w:r/>
            <w:r>
              <w:rPr>
                <w:b/>
                <w:color w:val="FFFFFF"/>
                <w:sz w:val="15"/>
              </w:rPr>
              <w:t>Configured value</w:t>
            </w:r>
          </w:p>
        </w:tc>
        <w:tc>
          <w:tcPr>
            <w:tcW w:type="dxa" w:w="2736"/>
            <w:shd w:val="clear" w:color="auto" w:fill="1F3A5F"/>
          </w:tcPr>
          <w:p>
            <w:pPr>
              <w:spacing w:after="0"/>
            </w:pPr>
            <w:r/>
            <w:r>
              <w:rPr>
                <w:b/>
                <w:color w:val="FFFFFF"/>
                <w:sz w:val="15"/>
              </w:rPr>
              <w:t>Where</w:t>
            </w:r>
          </w:p>
        </w:tc>
      </w:tr>
      <w:tr>
        <w:trPr>
          <w:cantSplit/>
        </w:trPr>
        <w:tc>
          <w:tcPr>
            <w:tcW w:type="dxa" w:w="2304"/>
          </w:tcPr>
          <w:p>
            <w:pPr>
              <w:spacing w:after="0"/>
            </w:pPr>
            <w:r/>
            <w:r>
              <w:rPr>
                <w:sz w:val="15"/>
              </w:rPr>
              <w:t>Host</w:t>
            </w:r>
          </w:p>
        </w:tc>
        <w:tc>
          <w:tcPr>
            <w:tcW w:type="dxa" w:w="4320"/>
          </w:tcPr>
          <w:p>
            <w:pPr>
              <w:spacing w:after="0"/>
            </w:pPr>
            <w:r/>
            <w:r>
              <w:rPr>
                <w:sz w:val="15"/>
              </w:rPr>
              <w:t>2 vCPU / 8 GB / 100 GB NVMe (documented)</w:t>
            </w:r>
          </w:p>
        </w:tc>
        <w:tc>
          <w:tcPr>
            <w:tcW w:type="dxa" w:w="2736"/>
          </w:tcPr>
          <w:p>
            <w:pPr>
              <w:spacing w:after="0"/>
            </w:pPr>
            <w:r/>
            <w:r>
              <w:rPr>
                <w:sz w:val="15"/>
              </w:rPr>
              <w:t>docs/performance/baseline.md</w:t>
            </w:r>
          </w:p>
        </w:tc>
      </w:tr>
      <w:tr>
        <w:trPr>
          <w:cantSplit/>
        </w:trPr>
        <w:tc>
          <w:tcPr>
            <w:tcW w:type="dxa" w:w="2304"/>
          </w:tcPr>
          <w:p>
            <w:pPr>
              <w:spacing w:after="0"/>
            </w:pPr>
            <w:r/>
            <w:r>
              <w:rPr>
                <w:sz w:val="15"/>
              </w:rPr>
              <w:t>Go memory</w:t>
            </w:r>
          </w:p>
        </w:tc>
        <w:tc>
          <w:tcPr>
            <w:tcW w:type="dxa" w:w="4320"/>
          </w:tcPr>
          <w:p>
            <w:pPr>
              <w:spacing w:after="0"/>
            </w:pPr>
            <w:r/>
            <w:r>
              <w:rPr>
                <w:sz w:val="15"/>
              </w:rPr>
              <w:t>GOMEMLIMIT=512MiB, GOGC=100</w:t>
            </w:r>
          </w:p>
        </w:tc>
        <w:tc>
          <w:tcPr>
            <w:tcW w:type="dxa" w:w="2736"/>
          </w:tcPr>
          <w:p>
            <w:pPr>
              <w:spacing w:after="0"/>
            </w:pPr>
            <w:r/>
            <w:r>
              <w:rPr>
                <w:sz w:val="15"/>
              </w:rPr>
              <w:t>compose.prod.yml backend env</w:t>
            </w:r>
          </w:p>
        </w:tc>
      </w:tr>
      <w:tr>
        <w:trPr>
          <w:cantSplit/>
        </w:trPr>
        <w:tc>
          <w:tcPr>
            <w:tcW w:type="dxa" w:w="2304"/>
          </w:tcPr>
          <w:p>
            <w:pPr>
              <w:spacing w:after="0"/>
            </w:pPr>
            <w:r/>
            <w:r>
              <w:rPr>
                <w:sz w:val="15"/>
              </w:rPr>
              <w:t>Go HTTP timeouts</w:t>
            </w:r>
          </w:p>
        </w:tc>
        <w:tc>
          <w:tcPr>
            <w:tcW w:type="dxa" w:w="4320"/>
          </w:tcPr>
          <w:p>
            <w:pPr>
              <w:spacing w:after="0"/>
            </w:pPr>
            <w:r/>
            <w:r>
              <w:rPr>
                <w:sz w:val="15"/>
              </w:rPr>
              <w:t>read header 10 s, read 30 s, write 60 s, idle 120 s</w:t>
            </w:r>
          </w:p>
        </w:tc>
        <w:tc>
          <w:tcPr>
            <w:tcW w:type="dxa" w:w="2736"/>
          </w:tcPr>
          <w:p>
            <w:pPr>
              <w:spacing w:after="0"/>
            </w:pPr>
            <w:r/>
            <w:r>
              <w:rPr>
                <w:sz w:val="15"/>
              </w:rPr>
              <w:t>cmd/server/main.go</w:t>
            </w:r>
          </w:p>
        </w:tc>
      </w:tr>
      <w:tr>
        <w:trPr>
          <w:cantSplit/>
        </w:trPr>
        <w:tc>
          <w:tcPr>
            <w:tcW w:type="dxa" w:w="2304"/>
          </w:tcPr>
          <w:p>
            <w:pPr>
              <w:spacing w:after="0"/>
            </w:pPr>
            <w:r/>
            <w:r>
              <w:rPr>
                <w:sz w:val="15"/>
              </w:rPr>
              <w:t>DB pool</w:t>
            </w:r>
          </w:p>
        </w:tc>
        <w:tc>
          <w:tcPr>
            <w:tcW w:type="dxa" w:w="4320"/>
          </w:tcPr>
          <w:p>
            <w:pPr>
              <w:spacing w:after="0"/>
            </w:pPr>
            <w:r/>
            <w:r>
              <w:rPr>
                <w:sz w:val="15"/>
              </w:rPr>
              <w:t>MaxConns 25, MinConns 2</w:t>
            </w:r>
          </w:p>
        </w:tc>
        <w:tc>
          <w:tcPr>
            <w:tcW w:type="dxa" w:w="2736"/>
          </w:tcPr>
          <w:p>
            <w:pPr>
              <w:spacing w:after="0"/>
            </w:pPr>
            <w:r/>
            <w:r>
              <w:rPr>
                <w:sz w:val="15"/>
              </w:rPr>
              <w:t>pkg/database/database.go</w:t>
            </w:r>
          </w:p>
        </w:tc>
      </w:tr>
      <w:tr>
        <w:trPr>
          <w:cantSplit/>
        </w:trPr>
        <w:tc>
          <w:tcPr>
            <w:tcW w:type="dxa" w:w="2304"/>
          </w:tcPr>
          <w:p>
            <w:pPr>
              <w:spacing w:after="0"/>
            </w:pPr>
            <w:r/>
            <w:r>
              <w:rPr>
                <w:sz w:val="15"/>
              </w:rPr>
              <w:t>Nuxt heap</w:t>
            </w:r>
          </w:p>
        </w:tc>
        <w:tc>
          <w:tcPr>
            <w:tcW w:type="dxa" w:w="4320"/>
          </w:tcPr>
          <w:p>
            <w:pPr>
              <w:spacing w:after="0"/>
            </w:pPr>
            <w:r/>
            <w:r>
              <w:rPr>
                <w:sz w:val="15"/>
              </w:rPr>
              <w:t>--max-old-space-size=256</w:t>
            </w:r>
          </w:p>
        </w:tc>
        <w:tc>
          <w:tcPr>
            <w:tcW w:type="dxa" w:w="2736"/>
          </w:tcPr>
          <w:p>
            <w:pPr>
              <w:spacing w:after="0"/>
            </w:pPr>
            <w:r/>
            <w:r>
              <w:rPr>
                <w:sz w:val="15"/>
              </w:rPr>
              <w:t>compose b2b env</w:t>
            </w:r>
          </w:p>
        </w:tc>
      </w:tr>
      <w:tr>
        <w:trPr>
          <w:cantSplit/>
        </w:trPr>
        <w:tc>
          <w:tcPr>
            <w:tcW w:type="dxa" w:w="2304"/>
          </w:tcPr>
          <w:p>
            <w:pPr>
              <w:spacing w:after="0"/>
            </w:pPr>
            <w:r/>
            <w:r>
              <w:rPr>
                <w:sz w:val="15"/>
              </w:rPr>
              <w:t>NextReport heap</w:t>
            </w:r>
          </w:p>
        </w:tc>
        <w:tc>
          <w:tcPr>
            <w:tcW w:type="dxa" w:w="4320"/>
          </w:tcPr>
          <w:p>
            <w:pPr>
              <w:spacing w:after="0"/>
            </w:pPr>
            <w:r/>
            <w:r>
              <w:rPr>
                <w:sz w:val="15"/>
              </w:rPr>
              <w:t>--max-old-space-size=256, one Chromium instance</w:t>
            </w:r>
          </w:p>
        </w:tc>
        <w:tc>
          <w:tcPr>
            <w:tcW w:type="dxa" w:w="2736"/>
          </w:tcPr>
          <w:p>
            <w:pPr>
              <w:spacing w:after="0"/>
            </w:pPr>
            <w:r/>
            <w:r>
              <w:rPr>
                <w:sz w:val="15"/>
              </w:rPr>
              <w:t>compose + server.mjs</w:t>
            </w:r>
          </w:p>
        </w:tc>
      </w:tr>
      <w:tr>
        <w:trPr>
          <w:cantSplit/>
        </w:trPr>
        <w:tc>
          <w:tcPr>
            <w:tcW w:type="dxa" w:w="2304"/>
          </w:tcPr>
          <w:p>
            <w:pPr>
              <w:spacing w:after="0"/>
            </w:pPr>
            <w:r/>
            <w:r>
              <w:rPr>
                <w:sz w:val="15"/>
              </w:rPr>
              <w:t>Redis</w:t>
            </w:r>
          </w:p>
        </w:tc>
        <w:tc>
          <w:tcPr>
            <w:tcW w:type="dxa" w:w="4320"/>
          </w:tcPr>
          <w:p>
            <w:pPr>
              <w:spacing w:after="0"/>
            </w:pPr>
            <w:r/>
            <w:r>
              <w:rPr>
                <w:sz w:val="15"/>
              </w:rPr>
              <w:t>maxmemory 96mb, volatile-lru, AOF on</w:t>
            </w:r>
          </w:p>
        </w:tc>
        <w:tc>
          <w:tcPr>
            <w:tcW w:type="dxa" w:w="2736"/>
          </w:tcPr>
          <w:p>
            <w:pPr>
              <w:spacing w:after="0"/>
            </w:pPr>
            <w:r/>
            <w:r>
              <w:rPr>
                <w:sz w:val="15"/>
              </w:rPr>
              <w:t>compose redis command</w:t>
            </w:r>
          </w:p>
        </w:tc>
      </w:tr>
      <w:tr>
        <w:trPr>
          <w:cantSplit/>
        </w:trPr>
        <w:tc>
          <w:tcPr>
            <w:tcW w:type="dxa" w:w="2304"/>
          </w:tcPr>
          <w:p>
            <w:pPr>
              <w:spacing w:after="0"/>
            </w:pPr>
            <w:r/>
            <w:r>
              <w:rPr>
                <w:sz w:val="15"/>
              </w:rPr>
              <w:t>Logs</w:t>
            </w:r>
          </w:p>
        </w:tc>
        <w:tc>
          <w:tcPr>
            <w:tcW w:type="dxa" w:w="4320"/>
          </w:tcPr>
          <w:p>
            <w:pPr>
              <w:spacing w:after="0"/>
            </w:pPr>
            <w:r/>
            <w:r>
              <w:rPr>
                <w:sz w:val="15"/>
              </w:rPr>
              <w:t>10 MB × 3 files per container</w:t>
            </w:r>
          </w:p>
        </w:tc>
        <w:tc>
          <w:tcPr>
            <w:tcW w:type="dxa" w:w="2736"/>
          </w:tcPr>
          <w:p>
            <w:pPr>
              <w:spacing w:after="0"/>
            </w:pPr>
            <w:r/>
            <w:r>
              <w:rPr>
                <w:sz w:val="15"/>
              </w:rPr>
              <w:t>every service</w:t>
            </w:r>
          </w:p>
        </w:tc>
      </w:tr>
      <w:tr>
        <w:trPr>
          <w:cantSplit/>
        </w:trPr>
        <w:tc>
          <w:tcPr>
            <w:tcW w:type="dxa" w:w="2304"/>
          </w:tcPr>
          <w:p>
            <w:pPr>
              <w:spacing w:after="0"/>
            </w:pPr>
            <w:r/>
            <w:r>
              <w:rPr>
                <w:sz w:val="15"/>
              </w:rPr>
              <w:t>Report render timeout</w:t>
            </w:r>
          </w:p>
        </w:tc>
        <w:tc>
          <w:tcPr>
            <w:tcW w:type="dxa" w:w="4320"/>
          </w:tcPr>
          <w:p>
            <w:pPr>
              <w:spacing w:after="0"/>
            </w:pPr>
            <w:r/>
            <w:r>
              <w:rPr>
                <w:sz w:val="15"/>
              </w:rPr>
              <w:t>30 s (backend proxy), 15 s (page load)</w:t>
            </w:r>
          </w:p>
        </w:tc>
        <w:tc>
          <w:tcPr>
            <w:tcW w:type="dxa" w:w="2736"/>
          </w:tcPr>
          <w:p>
            <w:pPr>
              <w:spacing w:after="0"/>
            </w:pPr>
            <w:r/>
            <w:r>
              <w:rPr>
                <w:sz w:val="15"/>
              </w:rPr>
              <w:t>reportproxy, server.mjs</w:t>
            </w:r>
          </w:p>
        </w:tc>
      </w:tr>
    </w:tbl>
    <w:p>
      <w:pPr>
        <w:spacing w:after="200"/>
      </w:pPr>
      <w:r>
        <w:rPr>
          <w:i/>
          <w:color w:val="555F6D"/>
          <w:sz w:val="17"/>
        </w:rPr>
        <w:t>Table 103. Configured resource constraints</w:t>
      </w:r>
    </w:p>
    <w:p>
      <w:pPr>
        <w:spacing w:after="160"/>
        <w:ind w:left="216"/>
        <w:pBdr>
          <w:left w:val="single" w:sz="18" w:space="6" w:color="555F6D"/>
        </w:pBdr>
      </w:pPr>
      <w:r>
        <w:rPr>
          <w:b/>
          <w:color w:val="555F6D"/>
          <w:sz w:val="19"/>
        </w:rPr>
        <w:t xml:space="preserve">Not measured: </w:t>
      </w:r>
      <w:r>
        <w:rPr>
          <w:sz w:val="19"/>
        </w:rPr>
        <w:t>No load test, no p95 latency and no production RSS figure was produced by this audit. The only measured runtime facts are: the backend started and answered health/readiness within a second of the DB being ready; a POS checkout completed in a single request; a PDF render of the POS receipt took under 2 seconds locally.</w:t>
      </w:r>
    </w:p>
    <w:p>
      <w:bookmarkStart w:id="1331" w:name="_Toc1331"/>
      <w:pPr>
        <w:pStyle w:val="Heading2"/>
      </w:pPr>
      <w:r>
        <w:t>36.1 Scalability notes</w:t>
      </w:r>
      <w:bookmarkEnd w:id="1331"/>
    </w:p>
    <w:p>
      <w:pPr>
        <w:pStyle w:val="ListBullet"/>
      </w:pPr>
      <w:r>
        <w:t>The backend is stateless apart from Redis; horizontal scaling would require sticky-free tokens (already true) and a shared uploads store (currently a local volume).</w:t>
      </w:r>
    </w:p>
    <w:p>
      <w:pPr>
        <w:pStyle w:val="ListBullet"/>
      </w:pPr>
      <w:r>
        <w:t>Uploads are local-disk only (pkg/storage/local.go). A second backend replica would not see the first replica's files; docs/architecture/overview.md mentions MinIO/S3, but no S3/MinIO client appears anywhere under apps/backend (verified by searching for s3/minio/aws-sdk).</w:t>
      </w:r>
    </w:p>
    <w:p>
      <w:pPr>
        <w:pStyle w:val="ListBullet"/>
      </w:pPr>
      <w:r>
        <w:t>Reports are synchronous: the HTTP request waits for Chromium. Under load, NextReport (0.8 CPU) is the bottleneck.</w:t>
      </w:r>
    </w:p>
    <w:p>
      <w:pPr>
        <w:pStyle w:val="ListBullet"/>
      </w:pPr>
      <w:r>
        <w:t>The generic rate limiter is per-IP and fail-open, so it does not protect the database from an authenticated flood.</w:t>
      </w:r>
    </w:p>
    <w:p>
      <w:bookmarkStart w:id="1332" w:name="_Toc1332"/>
      <w:pPr>
        <w:pStyle w:val="Heading1"/>
        <w:pageBreakBefore/>
      </w:pPr>
      <w:r>
        <w:t>37. Testing strategy and test coverage</w:t>
      </w:r>
      <w:bookmarkEnd w:id="1332"/>
    </w:p>
    <w:p>
      <w:r>
        <w:rPr>
          <w:i w:val="0"/>
        </w:rPr>
        <w:t>The strategy visible in the code is: unit-test the rule, integration-test the SQL, and assert the contract (routes, permissions) mechanically. The strongest artefacts are the route→gate table and the drift guard, because they fail when someone adds an endpoint without a policy or changes a route without regenerating the client contract.</w:t>
      </w:r>
    </w:p>
    <w:p>
      <w:bookmarkStart w:id="1333" w:name="_Toc1333"/>
      <w:pPr>
        <w:pStyle w:val="Heading2"/>
      </w:pPr>
      <w:r>
        <w:t>37.1 Execution results</w:t>
      </w:r>
      <w:bookmarkEnd w:id="1333"/>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1608"/>
        <w:gridCol w:w="1608"/>
        <w:gridCol w:w="1608"/>
        <w:gridCol w:w="1608"/>
        <w:gridCol w:w="1608"/>
        <w:gridCol w:w="1608"/>
      </w:tblGrid>
      <w:tr>
        <w:trPr>
          <w:tblHeader w:val="true"/>
        </w:trPr>
        <w:tc>
          <w:tcPr>
            <w:tcW w:type="dxa" w:w="2304"/>
            <w:shd w:val="clear" w:color="auto" w:fill="1F3A5F"/>
          </w:tcPr>
          <w:p>
            <w:pPr>
              <w:spacing w:after="0"/>
            </w:pPr>
            <w:r/>
            <w:r>
              <w:rPr>
                <w:b/>
                <w:color w:val="FFFFFF"/>
                <w:sz w:val="15"/>
              </w:rPr>
              <w:t>Suite</w:t>
            </w:r>
          </w:p>
        </w:tc>
        <w:tc>
          <w:tcPr>
            <w:tcW w:type="dxa" w:w="1008"/>
            <w:shd w:val="clear" w:color="auto" w:fill="1F3A5F"/>
          </w:tcPr>
          <w:p>
            <w:pPr>
              <w:spacing w:after="0"/>
            </w:pPr>
            <w:r/>
            <w:r>
              <w:rPr>
                <w:b/>
                <w:color w:val="FFFFFF"/>
                <w:sz w:val="15"/>
              </w:rPr>
              <w:t>Files</w:t>
            </w:r>
          </w:p>
        </w:tc>
        <w:tc>
          <w:tcPr>
            <w:tcW w:type="dxa" w:w="1008"/>
            <w:shd w:val="clear" w:color="auto" w:fill="1F3A5F"/>
          </w:tcPr>
          <w:p>
            <w:pPr>
              <w:spacing w:after="0"/>
            </w:pPr>
            <w:r/>
            <w:r>
              <w:rPr>
                <w:b/>
                <w:color w:val="FFFFFF"/>
                <w:sz w:val="15"/>
              </w:rPr>
              <w:t>Pass</w:t>
            </w:r>
          </w:p>
        </w:tc>
        <w:tc>
          <w:tcPr>
            <w:tcW w:type="dxa" w:w="864"/>
            <w:shd w:val="clear" w:color="auto" w:fill="1F3A5F"/>
          </w:tcPr>
          <w:p>
            <w:pPr>
              <w:spacing w:after="0"/>
            </w:pPr>
            <w:r/>
            <w:r>
              <w:rPr>
                <w:b/>
                <w:color w:val="FFFFFF"/>
                <w:sz w:val="15"/>
              </w:rPr>
              <w:t>Fail</w:t>
            </w:r>
          </w:p>
        </w:tc>
        <w:tc>
          <w:tcPr>
            <w:tcW w:type="dxa" w:w="864"/>
            <w:shd w:val="clear" w:color="auto" w:fill="1F3A5F"/>
          </w:tcPr>
          <w:p>
            <w:pPr>
              <w:spacing w:after="0"/>
            </w:pPr>
            <w:r/>
            <w:r>
              <w:rPr>
                <w:b/>
                <w:color w:val="FFFFFF"/>
                <w:sz w:val="15"/>
              </w:rPr>
              <w:t>Skip</w:t>
            </w:r>
          </w:p>
        </w:tc>
        <w:tc>
          <w:tcPr>
            <w:tcW w:type="dxa" w:w="3312"/>
            <w:shd w:val="clear" w:color="auto" w:fill="1F3A5F"/>
          </w:tcPr>
          <w:p>
            <w:pPr>
              <w:spacing w:after="0"/>
            </w:pPr>
            <w:r/>
            <w:r>
              <w:rPr>
                <w:b/>
                <w:color w:val="FFFFFF"/>
                <w:sz w:val="15"/>
              </w:rPr>
              <w:t>Notes</w:t>
            </w:r>
          </w:p>
        </w:tc>
      </w:tr>
      <w:tr>
        <w:trPr>
          <w:cantSplit/>
        </w:trPr>
        <w:tc>
          <w:tcPr>
            <w:tcW w:type="dxa" w:w="2304"/>
          </w:tcPr>
          <w:p>
            <w:pPr>
              <w:spacing w:after="0"/>
            </w:pPr>
            <w:r/>
            <w:r>
              <w:rPr>
                <w:sz w:val="15"/>
              </w:rPr>
              <w:t>Go (all packages)</w:t>
            </w:r>
          </w:p>
        </w:tc>
        <w:tc>
          <w:tcPr>
            <w:tcW w:type="dxa" w:w="1008"/>
          </w:tcPr>
          <w:p>
            <w:pPr>
              <w:spacing w:after="0"/>
            </w:pPr>
            <w:r/>
            <w:r>
              <w:rPr>
                <w:sz w:val="15"/>
              </w:rPr>
              <w:t>139</w:t>
            </w:r>
          </w:p>
        </w:tc>
        <w:tc>
          <w:tcPr>
            <w:tcW w:type="dxa" w:w="1008"/>
          </w:tcPr>
          <w:p>
            <w:pPr>
              <w:spacing w:after="0"/>
            </w:pPr>
            <w:r/>
            <w:r>
              <w:rPr>
                <w:sz w:val="15"/>
              </w:rPr>
              <w:t>1176</w:t>
            </w:r>
          </w:p>
        </w:tc>
        <w:tc>
          <w:tcPr>
            <w:tcW w:type="dxa" w:w="864"/>
          </w:tcPr>
          <w:p>
            <w:pPr>
              <w:spacing w:after="0"/>
            </w:pPr>
            <w:r/>
            <w:r>
              <w:rPr>
                <w:sz w:val="15"/>
              </w:rPr>
              <w:t>0</w:t>
            </w:r>
          </w:p>
        </w:tc>
        <w:tc>
          <w:tcPr>
            <w:tcW w:type="dxa" w:w="864"/>
          </w:tcPr>
          <w:p>
            <w:pPr>
              <w:spacing w:after="0"/>
            </w:pPr>
            <w:r/>
            <w:r>
              <w:rPr>
                <w:sz w:val="15"/>
              </w:rPr>
              <w:t>38</w:t>
            </w:r>
          </w:p>
        </w:tc>
        <w:tc>
          <w:tcPr>
            <w:tcW w:type="dxa" w:w="3312"/>
          </w:tcPr>
          <w:p>
            <w:pPr>
              <w:spacing w:after="0"/>
            </w:pPr>
            <w:r/>
            <w:r>
              <w:rPr>
                <w:sz w:val="15"/>
              </w:rPr>
              <w:t>Integration skips without DATABASE_URL</w:t>
            </w:r>
          </w:p>
        </w:tc>
      </w:tr>
      <w:tr>
        <w:trPr>
          <w:cantSplit/>
        </w:trPr>
        <w:tc>
          <w:tcPr>
            <w:tcW w:type="dxa" w:w="2304"/>
          </w:tcPr>
          <w:p>
            <w:pPr>
              <w:spacing w:after="0"/>
            </w:pPr>
            <w:r/>
            <w:r>
              <w:rPr>
                <w:sz w:val="15"/>
              </w:rPr>
              <w:t>Go integration (consented)</w:t>
            </w:r>
          </w:p>
        </w:tc>
        <w:tc>
          <w:tcPr>
            <w:tcW w:type="dxa" w:w="1008"/>
          </w:tcPr>
          <w:p>
            <w:pPr>
              <w:spacing w:after="0"/>
            </w:pPr>
            <w:r/>
            <w:r>
              <w:rPr>
                <w:sz w:val="15"/>
              </w:rPr>
              <w:t>26</w:t>
            </w:r>
          </w:p>
        </w:tc>
        <w:tc>
          <w:tcPr>
            <w:tcW w:type="dxa" w:w="1008"/>
          </w:tcPr>
          <w:p>
            <w:pPr>
              <w:spacing w:after="0"/>
            </w:pPr>
            <w:r/>
            <w:r>
              <w:rPr>
                <w:sz w:val="15"/>
              </w:rPr>
              <w:t>88</w:t>
            </w:r>
          </w:p>
        </w:tc>
        <w:tc>
          <w:tcPr>
            <w:tcW w:type="dxa" w:w="864"/>
          </w:tcPr>
          <w:p>
            <w:pPr>
              <w:spacing w:after="0"/>
            </w:pPr>
            <w:r/>
            <w:r>
              <w:rPr>
                <w:sz w:val="15"/>
              </w:rPr>
              <w:t>0</w:t>
            </w:r>
          </w:p>
        </w:tc>
        <w:tc>
          <w:tcPr>
            <w:tcW w:type="dxa" w:w="864"/>
          </w:tcPr>
          <w:p>
            <w:pPr>
              <w:spacing w:after="0"/>
            </w:pPr>
            <w:r/>
            <w:r>
              <w:rPr>
                <w:sz w:val="15"/>
              </w:rPr>
              <w:t>1</w:t>
            </w:r>
          </w:p>
        </w:tc>
        <w:tc>
          <w:tcPr>
            <w:tcW w:type="dxa" w:w="3312"/>
          </w:tcPr>
          <w:p>
            <w:pPr>
              <w:spacing w:after="0"/>
            </w:pPr>
            <w:r/>
            <w:r>
              <w:rPr>
                <w:sz w:val="15"/>
              </w:rPr>
              <w:t>Truncates 66 tables; one HTTP test skipped</w:t>
            </w:r>
          </w:p>
        </w:tc>
      </w:tr>
      <w:tr>
        <w:trPr>
          <w:cantSplit/>
        </w:trPr>
        <w:tc>
          <w:tcPr>
            <w:tcW w:type="dxa" w:w="2304"/>
          </w:tcPr>
          <w:p>
            <w:pPr>
              <w:spacing w:after="0"/>
            </w:pPr>
            <w:r/>
            <w:r>
              <w:rPr>
                <w:sz w:val="15"/>
              </w:rPr>
              <w:t>ERP</w:t>
            </w:r>
          </w:p>
        </w:tc>
        <w:tc>
          <w:tcPr>
            <w:tcW w:type="dxa" w:w="1008"/>
          </w:tcPr>
          <w:p>
            <w:pPr>
              <w:spacing w:after="0"/>
            </w:pPr>
            <w:r/>
            <w:r>
              <w:rPr>
                <w:sz w:val="15"/>
              </w:rPr>
              <w:t>39</w:t>
            </w:r>
          </w:p>
        </w:tc>
        <w:tc>
          <w:tcPr>
            <w:tcW w:type="dxa" w:w="1008"/>
          </w:tcPr>
          <w:p>
            <w:pPr>
              <w:spacing w:after="0"/>
            </w:pPr>
            <w:r/>
            <w:r>
              <w:rPr>
                <w:sz w:val="15"/>
              </w:rPr>
              <w:t>344</w:t>
            </w:r>
          </w:p>
        </w:tc>
        <w:tc>
          <w:tcPr>
            <w:tcW w:type="dxa" w:w="864"/>
          </w:tcPr>
          <w:p>
            <w:pPr>
              <w:spacing w:after="0"/>
            </w:pPr>
            <w:r/>
            <w:r>
              <w:rPr>
                <w:sz w:val="15"/>
              </w:rPr>
              <w:t>0</w:t>
            </w:r>
          </w:p>
        </w:tc>
        <w:tc>
          <w:tcPr>
            <w:tcW w:type="dxa" w:w="864"/>
          </w:tcPr>
          <w:p>
            <w:pPr>
              <w:spacing w:after="0"/>
            </w:pPr>
            <w:r/>
            <w:r>
              <w:rPr>
                <w:sz w:val="15"/>
              </w:rPr>
              <w:t>0</w:t>
            </w:r>
          </w:p>
        </w:tc>
        <w:tc>
          <w:tcPr>
            <w:tcW w:type="dxa" w:w="3312"/>
          </w:tcPr>
          <w:p>
            <w:pPr>
              <w:spacing w:after="0"/>
            </w:pPr>
            <w:r/>
            <w:r>
              <w:rPr>
                <w:sz w:val="15"/>
              </w:rPr>
              <w:t>171 s</w:t>
            </w:r>
          </w:p>
        </w:tc>
      </w:tr>
      <w:tr>
        <w:trPr>
          <w:cantSplit/>
        </w:trPr>
        <w:tc>
          <w:tcPr>
            <w:tcW w:type="dxa" w:w="2304"/>
          </w:tcPr>
          <w:p>
            <w:pPr>
              <w:spacing w:after="0"/>
            </w:pPr>
            <w:r/>
            <w:r>
              <w:rPr>
                <w:sz w:val="15"/>
              </w:rPr>
              <w:t>POS</w:t>
            </w:r>
          </w:p>
        </w:tc>
        <w:tc>
          <w:tcPr>
            <w:tcW w:type="dxa" w:w="1008"/>
          </w:tcPr>
          <w:p>
            <w:pPr>
              <w:spacing w:after="0"/>
            </w:pPr>
            <w:r/>
            <w:r>
              <w:rPr>
                <w:sz w:val="15"/>
              </w:rPr>
              <w:t>20</w:t>
            </w:r>
          </w:p>
        </w:tc>
        <w:tc>
          <w:tcPr>
            <w:tcW w:type="dxa" w:w="1008"/>
          </w:tcPr>
          <w:p>
            <w:pPr>
              <w:spacing w:after="0"/>
            </w:pPr>
            <w:r/>
            <w:r>
              <w:rPr>
                <w:sz w:val="15"/>
              </w:rPr>
              <w:t>111</w:t>
            </w:r>
          </w:p>
        </w:tc>
        <w:tc>
          <w:tcPr>
            <w:tcW w:type="dxa" w:w="864"/>
          </w:tcPr>
          <w:p>
            <w:pPr>
              <w:spacing w:after="0"/>
            </w:pPr>
            <w:r/>
            <w:r>
              <w:rPr>
                <w:sz w:val="15"/>
              </w:rPr>
              <w:t>0</w:t>
            </w:r>
          </w:p>
        </w:tc>
        <w:tc>
          <w:tcPr>
            <w:tcW w:type="dxa" w:w="864"/>
          </w:tcPr>
          <w:p>
            <w:pPr>
              <w:spacing w:after="0"/>
            </w:pPr>
            <w:r/>
            <w:r>
              <w:rPr>
                <w:sz w:val="15"/>
              </w:rPr>
              <w:t>0</w:t>
            </w:r>
          </w:p>
        </w:tc>
        <w:tc>
          <w:tcPr>
            <w:tcW w:type="dxa" w:w="3312"/>
          </w:tcPr>
          <w:p>
            <w:pPr>
              <w:spacing w:after="0"/>
            </w:pPr>
            <w:r/>
            <w:r>
              <w:rPr>
                <w:sz w:val="15"/>
              </w:rPr>
              <w:t>—</w:t>
            </w:r>
          </w:p>
        </w:tc>
      </w:tr>
      <w:tr>
        <w:trPr>
          <w:cantSplit/>
        </w:trPr>
        <w:tc>
          <w:tcPr>
            <w:tcW w:type="dxa" w:w="2304"/>
          </w:tcPr>
          <w:p>
            <w:pPr>
              <w:spacing w:after="0"/>
            </w:pPr>
            <w:r/>
            <w:r>
              <w:rPr>
                <w:sz w:val="15"/>
              </w:rPr>
              <w:t>B2B</w:t>
            </w:r>
          </w:p>
        </w:tc>
        <w:tc>
          <w:tcPr>
            <w:tcW w:type="dxa" w:w="1008"/>
          </w:tcPr>
          <w:p>
            <w:pPr>
              <w:spacing w:after="0"/>
            </w:pPr>
            <w:r/>
            <w:r>
              <w:rPr>
                <w:sz w:val="15"/>
              </w:rPr>
              <w:t>20</w:t>
            </w:r>
          </w:p>
        </w:tc>
        <w:tc>
          <w:tcPr>
            <w:tcW w:type="dxa" w:w="1008"/>
          </w:tcPr>
          <w:p>
            <w:pPr>
              <w:spacing w:after="0"/>
            </w:pPr>
            <w:r/>
            <w:r>
              <w:rPr>
                <w:sz w:val="15"/>
              </w:rPr>
              <w:t>170</w:t>
            </w:r>
          </w:p>
        </w:tc>
        <w:tc>
          <w:tcPr>
            <w:tcW w:type="dxa" w:w="864"/>
          </w:tcPr>
          <w:p>
            <w:pPr>
              <w:spacing w:after="0"/>
            </w:pPr>
            <w:r/>
            <w:r>
              <w:rPr>
                <w:sz w:val="15"/>
              </w:rPr>
              <w:t>0</w:t>
            </w:r>
          </w:p>
        </w:tc>
        <w:tc>
          <w:tcPr>
            <w:tcW w:type="dxa" w:w="864"/>
          </w:tcPr>
          <w:p>
            <w:pPr>
              <w:spacing w:after="0"/>
            </w:pPr>
            <w:r/>
            <w:r>
              <w:rPr>
                <w:sz w:val="15"/>
              </w:rPr>
              <w:t>0</w:t>
            </w:r>
          </w:p>
        </w:tc>
        <w:tc>
          <w:tcPr>
            <w:tcW w:type="dxa" w:w="3312"/>
          </w:tcPr>
          <w:p>
            <w:pPr>
              <w:spacing w:after="0"/>
            </w:pPr>
            <w:r/>
            <w:r>
              <w:rPr>
                <w:sz w:val="15"/>
              </w:rPr>
              <w:t>—</w:t>
            </w:r>
          </w:p>
        </w:tc>
      </w:tr>
      <w:tr>
        <w:trPr>
          <w:cantSplit/>
        </w:trPr>
        <w:tc>
          <w:tcPr>
            <w:tcW w:type="dxa" w:w="2304"/>
          </w:tcPr>
          <w:p>
            <w:pPr>
              <w:spacing w:after="0"/>
            </w:pPr>
            <w:r/>
            <w:r>
              <w:rPr>
                <w:sz w:val="15"/>
              </w:rPr>
              <w:t>Packages</w:t>
            </w:r>
          </w:p>
        </w:tc>
        <w:tc>
          <w:tcPr>
            <w:tcW w:type="dxa" w:w="1008"/>
          </w:tcPr>
          <w:p>
            <w:pPr>
              <w:spacing w:after="0"/>
            </w:pPr>
            <w:r/>
            <w:r>
              <w:rPr>
                <w:sz w:val="15"/>
              </w:rPr>
              <w:t>5</w:t>
            </w:r>
          </w:p>
        </w:tc>
        <w:tc>
          <w:tcPr>
            <w:tcW w:type="dxa" w:w="1008"/>
          </w:tcPr>
          <w:p>
            <w:pPr>
              <w:spacing w:after="0"/>
            </w:pPr>
            <w:r/>
            <w:r>
              <w:rPr>
                <w:sz w:val="15"/>
              </w:rPr>
              <w:t>28</w:t>
            </w:r>
          </w:p>
        </w:tc>
        <w:tc>
          <w:tcPr>
            <w:tcW w:type="dxa" w:w="864"/>
          </w:tcPr>
          <w:p>
            <w:pPr>
              <w:spacing w:after="0"/>
            </w:pPr>
            <w:r/>
            <w:r>
              <w:rPr>
                <w:sz w:val="15"/>
              </w:rPr>
              <w:t>0</w:t>
            </w:r>
          </w:p>
        </w:tc>
        <w:tc>
          <w:tcPr>
            <w:tcW w:type="dxa" w:w="864"/>
          </w:tcPr>
          <w:p>
            <w:pPr>
              <w:spacing w:after="0"/>
            </w:pPr>
            <w:r/>
            <w:r>
              <w:rPr>
                <w:sz w:val="15"/>
              </w:rPr>
              <w:t>0</w:t>
            </w:r>
          </w:p>
        </w:tc>
        <w:tc>
          <w:tcPr>
            <w:tcW w:type="dxa" w:w="3312"/>
          </w:tcPr>
          <w:p>
            <w:pPr>
              <w:spacing w:after="0"/>
            </w:pPr>
            <w:r/>
            <w:r>
              <w:rPr>
                <w:sz w:val="15"/>
              </w:rPr>
              <w:t>api-client 3, contracts 4, permissions 5, ui 10, utils 6</w:t>
            </w:r>
          </w:p>
        </w:tc>
      </w:tr>
    </w:tbl>
    <w:p>
      <w:pPr>
        <w:spacing w:after="200"/>
      </w:pPr>
      <w:r>
        <w:rPr>
          <w:i/>
          <w:color w:val="555F6D"/>
          <w:sz w:val="17"/>
        </w:rPr>
        <w:t>Table 104. Executed test results (this audit run)</w:t>
      </w:r>
    </w:p>
    <w:p>
      <w:pPr>
        <w:spacing w:after="160"/>
        <w:ind w:left="216"/>
        <w:pBdr>
          <w:left w:val="single" w:sz="18" w:space="6" w:color="1F4E79"/>
        </w:pBdr>
      </w:pPr>
      <w:r>
        <w:rPr>
          <w:b/>
          <w:color w:val="1F4E79"/>
          <w:sz w:val="19"/>
        </w:rPr>
        <w:t xml:space="preserve">A note on the first run: </w:t>
      </w:r>
      <w:r>
        <w:rPr>
          <w:sz w:val="19"/>
        </w:rPr>
        <w:t>The first full Go run failed 13 tests in internal/sales because the audit database container had stopped between runs. After restarting the container, the same command passed. The failure was environmental, not a code defect, and is recorded here so the evidence trail is honest.</w:t>
      </w:r>
    </w:p>
    <w:p>
      <w:bookmarkStart w:id="1334" w:name="_Toc1334"/>
      <w:pPr>
        <w:pStyle w:val="Heading2"/>
      </w:pPr>
      <w:r>
        <w:t>37.2 Gaps</w:t>
      </w:r>
      <w:bookmarkEnd w:id="1334"/>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448"/>
            <w:shd w:val="clear" w:color="auto" w:fill="1F3A5F"/>
          </w:tcPr>
          <w:p>
            <w:pPr>
              <w:spacing w:after="0"/>
            </w:pPr>
            <w:r/>
            <w:r>
              <w:rPr>
                <w:b/>
                <w:color w:val="FFFFFF"/>
                <w:sz w:val="16"/>
              </w:rPr>
              <w:t>Gap</w:t>
            </w:r>
          </w:p>
        </w:tc>
        <w:tc>
          <w:tcPr>
            <w:tcW w:type="dxa" w:w="3168"/>
            <w:shd w:val="clear" w:color="auto" w:fill="1F3A5F"/>
          </w:tcPr>
          <w:p>
            <w:pPr>
              <w:spacing w:after="0"/>
            </w:pPr>
            <w:r/>
            <w:r>
              <w:rPr>
                <w:b/>
                <w:color w:val="FFFFFF"/>
                <w:sz w:val="16"/>
              </w:rPr>
              <w:t>Impact</w:t>
            </w:r>
          </w:p>
        </w:tc>
        <w:tc>
          <w:tcPr>
            <w:tcW w:type="dxa" w:w="3744"/>
            <w:shd w:val="clear" w:color="auto" w:fill="1F3A5F"/>
          </w:tcPr>
          <w:p>
            <w:pPr>
              <w:spacing w:after="0"/>
            </w:pPr>
            <w:r/>
            <w:r>
              <w:rPr>
                <w:b/>
                <w:color w:val="FFFFFF"/>
                <w:sz w:val="16"/>
              </w:rPr>
              <w:t>Recommendation</w:t>
            </w:r>
          </w:p>
        </w:tc>
      </w:tr>
      <w:tr>
        <w:trPr>
          <w:cantSplit/>
        </w:trPr>
        <w:tc>
          <w:tcPr>
            <w:tcW w:type="dxa" w:w="2448"/>
          </w:tcPr>
          <w:p>
            <w:pPr>
              <w:spacing w:after="0"/>
            </w:pPr>
            <w:r/>
            <w:r>
              <w:rPr>
                <w:sz w:val="16"/>
              </w:rPr>
              <w:t>No browser/E2E tests</w:t>
            </w:r>
          </w:p>
        </w:tc>
        <w:tc>
          <w:tcPr>
            <w:tcW w:type="dxa" w:w="3168"/>
          </w:tcPr>
          <w:p>
            <w:pPr>
              <w:spacing w:after="0"/>
            </w:pPr>
            <w:r/>
            <w:r>
              <w:rPr>
                <w:sz w:val="16"/>
              </w:rPr>
              <w:t>A broken click path is caught only manually</w:t>
            </w:r>
          </w:p>
        </w:tc>
        <w:tc>
          <w:tcPr>
            <w:tcW w:type="dxa" w:w="3744"/>
          </w:tcPr>
          <w:p>
            <w:pPr>
              <w:spacing w:after="0"/>
            </w:pPr>
            <w:r/>
            <w:r>
              <w:rPr>
                <w:sz w:val="16"/>
              </w:rPr>
              <w:t>Add a small Playwright smoke suite (login, POS sale, report render)</w:t>
            </w:r>
          </w:p>
        </w:tc>
      </w:tr>
      <w:tr>
        <w:trPr>
          <w:cantSplit/>
        </w:trPr>
        <w:tc>
          <w:tcPr>
            <w:tcW w:type="dxa" w:w="2448"/>
          </w:tcPr>
          <w:p>
            <w:pPr>
              <w:spacing w:after="0"/>
            </w:pPr>
            <w:r/>
            <w:r>
              <w:rPr>
                <w:sz w:val="16"/>
              </w:rPr>
              <w:t>No coverage report</w:t>
            </w:r>
          </w:p>
        </w:tc>
        <w:tc>
          <w:tcPr>
            <w:tcW w:type="dxa" w:w="3168"/>
          </w:tcPr>
          <w:p>
            <w:pPr>
              <w:spacing w:after="0"/>
            </w:pPr>
            <w:r/>
            <w:r>
              <w:rPr>
                <w:sz w:val="16"/>
              </w:rPr>
              <w:t>Coverage cannot be tracked over time</w:t>
            </w:r>
          </w:p>
        </w:tc>
        <w:tc>
          <w:tcPr>
            <w:tcW w:type="dxa" w:w="3744"/>
          </w:tcPr>
          <w:p>
            <w:pPr>
              <w:spacing w:after="0"/>
            </w:pPr>
            <w:r/>
            <w:r>
              <w:rPr>
                <w:sz w:val="16"/>
              </w:rPr>
              <w:t>Emit coverprofile + vitest coverage and publish as an artefact</w:t>
            </w:r>
          </w:p>
        </w:tc>
      </w:tr>
      <w:tr>
        <w:trPr>
          <w:cantSplit/>
        </w:trPr>
        <w:tc>
          <w:tcPr>
            <w:tcW w:type="dxa" w:w="2448"/>
          </w:tcPr>
          <w:p>
            <w:pPr>
              <w:spacing w:after="0"/>
            </w:pPr>
            <w:r/>
            <w:r>
              <w:rPr>
                <w:sz w:val="16"/>
              </w:rPr>
              <w:t>CI has no database</w:t>
            </w:r>
          </w:p>
        </w:tc>
        <w:tc>
          <w:tcPr>
            <w:tcW w:type="dxa" w:w="3168"/>
          </w:tcPr>
          <w:p>
            <w:pPr>
              <w:spacing w:after="0"/>
            </w:pPr>
            <w:r/>
            <w:r>
              <w:rPr>
                <w:sz w:val="16"/>
              </w:rPr>
              <w:t>Integration tests never run in CI</w:t>
            </w:r>
          </w:p>
        </w:tc>
        <w:tc>
          <w:tcPr>
            <w:tcW w:type="dxa" w:w="3744"/>
          </w:tcPr>
          <w:p>
            <w:pPr>
              <w:spacing w:after="0"/>
            </w:pPr>
            <w:r/>
            <w:r>
              <w:rPr>
                <w:sz w:val="16"/>
              </w:rPr>
              <w:t>Add a postgres service and set KG_ALLOW_DESTRUCTIVE_DB_TESTS=1</w:t>
            </w:r>
          </w:p>
        </w:tc>
      </w:tr>
      <w:tr>
        <w:trPr>
          <w:cantSplit/>
        </w:trPr>
        <w:tc>
          <w:tcPr>
            <w:tcW w:type="dxa" w:w="2448"/>
          </w:tcPr>
          <w:p>
            <w:pPr>
              <w:spacing w:after="0"/>
            </w:pPr>
            <w:r/>
            <w:r>
              <w:rPr>
                <w:sz w:val="16"/>
              </w:rPr>
              <w:t>No migration replay test</w:t>
            </w:r>
          </w:p>
        </w:tc>
        <w:tc>
          <w:tcPr>
            <w:tcW w:type="dxa" w:w="3168"/>
          </w:tcPr>
          <w:p>
            <w:pPr>
              <w:spacing w:after="0"/>
            </w:pPr>
            <w:r/>
            <w:r>
              <w:rPr>
                <w:sz w:val="16"/>
              </w:rPr>
              <w:t>A migration that only works in one transaction would not be caught</w:t>
            </w:r>
          </w:p>
        </w:tc>
        <w:tc>
          <w:tcPr>
            <w:tcW w:type="dxa" w:w="3744"/>
          </w:tcPr>
          <w:p>
            <w:pPr>
              <w:spacing w:after="0"/>
            </w:pPr>
            <w:r/>
            <w:r>
              <w:rPr>
                <w:sz w:val="16"/>
              </w:rPr>
              <w:t>Replay all migrations on a fresh DB in CI</w:t>
            </w:r>
          </w:p>
        </w:tc>
      </w:tr>
      <w:tr>
        <w:trPr>
          <w:cantSplit/>
        </w:trPr>
        <w:tc>
          <w:tcPr>
            <w:tcW w:type="dxa" w:w="2448"/>
          </w:tcPr>
          <w:p>
            <w:pPr>
              <w:spacing w:after="0"/>
            </w:pPr>
            <w:r/>
            <w:r>
              <w:rPr>
                <w:sz w:val="16"/>
              </w:rPr>
              <w:t>No restore drill</w:t>
            </w:r>
          </w:p>
        </w:tc>
        <w:tc>
          <w:tcPr>
            <w:tcW w:type="dxa" w:w="3168"/>
          </w:tcPr>
          <w:p>
            <w:pPr>
              <w:spacing w:after="0"/>
            </w:pPr>
            <w:r/>
            <w:r>
              <w:rPr>
                <w:sz w:val="16"/>
              </w:rPr>
              <w:t>Backups are unproven</w:t>
            </w:r>
          </w:p>
        </w:tc>
        <w:tc>
          <w:tcPr>
            <w:tcW w:type="dxa" w:w="3744"/>
          </w:tcPr>
          <w:p>
            <w:pPr>
              <w:spacing w:after="0"/>
            </w:pPr>
            <w:r/>
            <w:r>
              <w:rPr>
                <w:sz w:val="16"/>
              </w:rPr>
              <w:t>Quarterly restore into a scratch database</w:t>
            </w:r>
          </w:p>
        </w:tc>
      </w:tr>
    </w:tbl>
    <w:p>
      <w:pPr>
        <w:spacing w:after="200"/>
      </w:pPr>
      <w:r>
        <w:rPr>
          <w:i/>
          <w:color w:val="555F6D"/>
          <w:sz w:val="17"/>
        </w:rPr>
        <w:t>Table 105. Test-strategy gaps</w:t>
      </w:r>
    </w:p>
    <w:p>
      <w:bookmarkStart w:id="1335" w:name="_Toc1335"/>
      <w:pPr>
        <w:pStyle w:val="Heading1"/>
        <w:pageBreakBefore/>
      </w:pPr>
      <w:r>
        <w:t>38. Audit findings and known limitations</w:t>
      </w:r>
      <w:bookmarkEnd w:id="1335"/>
    </w:p>
    <w:p>
      <w:r>
        <w:rPr>
          <w:i w:val="0"/>
        </w:rPr>
        <w:t>Severity reflects the combination of blast radius and likelihood, not effort to fix.</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1584"/>
            <w:shd w:val="clear" w:color="auto" w:fill="1F3A5F"/>
          </w:tcPr>
          <w:p>
            <w:pPr>
              <w:spacing w:after="0"/>
            </w:pPr>
            <w:r/>
            <w:r>
              <w:rPr>
                <w:b/>
                <w:color w:val="FFFFFF"/>
                <w:sz w:val="16"/>
              </w:rPr>
              <w:t>Severity</w:t>
            </w:r>
          </w:p>
        </w:tc>
        <w:tc>
          <w:tcPr>
            <w:tcW w:type="dxa" w:w="7776"/>
            <w:shd w:val="clear" w:color="auto" w:fill="1F3A5F"/>
          </w:tcPr>
          <w:p>
            <w:pPr>
              <w:spacing w:after="0"/>
            </w:pPr>
            <w:r/>
            <w:r>
              <w:rPr>
                <w:b/>
                <w:color w:val="FFFFFF"/>
                <w:sz w:val="16"/>
              </w:rPr>
              <w:t>Criterion</w:t>
            </w:r>
          </w:p>
        </w:tc>
      </w:tr>
      <w:tr>
        <w:trPr>
          <w:cantSplit/>
        </w:trPr>
        <w:tc>
          <w:tcPr>
            <w:tcW w:type="dxa" w:w="1584"/>
          </w:tcPr>
          <w:p>
            <w:pPr>
              <w:spacing w:after="0"/>
            </w:pPr>
            <w:r/>
            <w:r>
              <w:rPr>
                <w:sz w:val="16"/>
              </w:rPr>
              <w:t>Critical</w:t>
            </w:r>
          </w:p>
        </w:tc>
        <w:tc>
          <w:tcPr>
            <w:tcW w:type="dxa" w:w="7776"/>
          </w:tcPr>
          <w:p>
            <w:pPr>
              <w:spacing w:after="0"/>
            </w:pPr>
            <w:r/>
            <w:r>
              <w:rPr>
                <w:sz w:val="16"/>
              </w:rPr>
              <w:t>Data loss, financial corruption or full authorisation bypass in normal operation.</w:t>
            </w:r>
          </w:p>
        </w:tc>
      </w:tr>
      <w:tr>
        <w:trPr>
          <w:cantSplit/>
        </w:trPr>
        <w:tc>
          <w:tcPr>
            <w:tcW w:type="dxa" w:w="1584"/>
          </w:tcPr>
          <w:p>
            <w:pPr>
              <w:spacing w:after="0"/>
            </w:pPr>
            <w:r/>
            <w:r>
              <w:rPr>
                <w:sz w:val="16"/>
              </w:rPr>
              <w:t>High</w:t>
            </w:r>
          </w:p>
        </w:tc>
        <w:tc>
          <w:tcPr>
            <w:tcW w:type="dxa" w:w="7776"/>
          </w:tcPr>
          <w:p>
            <w:pPr>
              <w:spacing w:after="0"/>
            </w:pPr>
            <w:r/>
            <w:r>
              <w:rPr>
                <w:sz w:val="16"/>
              </w:rPr>
              <w:t>Breaks a quality gate or destroys data under a plausible mistake; or a security control that is absent where it is needed.</w:t>
            </w:r>
          </w:p>
        </w:tc>
      </w:tr>
      <w:tr>
        <w:trPr>
          <w:cantSplit/>
        </w:trPr>
        <w:tc>
          <w:tcPr>
            <w:tcW w:type="dxa" w:w="1584"/>
          </w:tcPr>
          <w:p>
            <w:pPr>
              <w:spacing w:after="0"/>
            </w:pPr>
            <w:r/>
            <w:r>
              <w:rPr>
                <w:sz w:val="16"/>
              </w:rPr>
              <w:t>Medium</w:t>
            </w:r>
          </w:p>
        </w:tc>
        <w:tc>
          <w:tcPr>
            <w:tcW w:type="dxa" w:w="7776"/>
          </w:tcPr>
          <w:p>
            <w:pPr>
              <w:spacing w:after="0"/>
            </w:pPr>
            <w:r/>
            <w:r>
              <w:rPr>
                <w:sz w:val="16"/>
              </w:rPr>
              <w:t>Wrong behaviour or documentation in a path real users follow, with a workaround.</w:t>
            </w:r>
          </w:p>
        </w:tc>
      </w:tr>
      <w:tr>
        <w:trPr>
          <w:cantSplit/>
        </w:trPr>
        <w:tc>
          <w:tcPr>
            <w:tcW w:type="dxa" w:w="1584"/>
          </w:tcPr>
          <w:p>
            <w:pPr>
              <w:spacing w:after="0"/>
            </w:pPr>
            <w:r/>
            <w:r>
              <w:rPr>
                <w:sz w:val="16"/>
              </w:rPr>
              <w:t>Low</w:t>
            </w:r>
          </w:p>
        </w:tc>
        <w:tc>
          <w:tcPr>
            <w:tcW w:type="dxa" w:w="7776"/>
          </w:tcPr>
          <w:p>
            <w:pPr>
              <w:spacing w:after="0"/>
            </w:pPr>
            <w:r/>
            <w:r>
              <w:rPr>
                <w:sz w:val="16"/>
              </w:rPr>
              <w:t>Hygiene, drift or a latent trap that does not affect today's operation.</w:t>
            </w:r>
          </w:p>
        </w:tc>
      </w:tr>
      <w:tr>
        <w:trPr>
          <w:cantSplit/>
        </w:trPr>
        <w:tc>
          <w:tcPr>
            <w:tcW w:type="dxa" w:w="1584"/>
          </w:tcPr>
          <w:p>
            <w:pPr>
              <w:spacing w:after="0"/>
            </w:pPr>
            <w:r/>
            <w:r>
              <w:rPr>
                <w:sz w:val="16"/>
              </w:rPr>
              <w:t>Informational</w:t>
            </w:r>
          </w:p>
        </w:tc>
        <w:tc>
          <w:tcPr>
            <w:tcW w:type="dxa" w:w="7776"/>
          </w:tcPr>
          <w:p>
            <w:pPr>
              <w:spacing w:after="0"/>
            </w:pPr>
            <w:r/>
            <w:r>
              <w:rPr>
                <w:sz w:val="16"/>
              </w:rPr>
              <w:t>Observation worth recording; no action required now.</w:t>
            </w:r>
          </w:p>
        </w:tc>
      </w:tr>
    </w:tbl>
    <w:p>
      <w:pPr>
        <w:spacing w:after="200"/>
      </w:pPr>
      <w:r>
        <w:rPr>
          <w:i/>
          <w:color w:val="555F6D"/>
          <w:sz w:val="17"/>
        </w:rPr>
        <w:t>Table 106. Severity criteria</w:t>
      </w:r>
    </w:p>
    <w:p>
      <w:pPr>
        <w:sectPr>
          <w:pgSz w:w="12240" w:h="15840"/>
          <w:pgMar w:top="1224" w:right="1296" w:bottom="1152" w:left="1296" w:header="720" w:footer="720" w:gutter="0"/>
          <w:cols w:space="720"/>
          <w:docGrid w:linePitch="360"/>
        </w:sectPr>
      </w:pP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2016"/>
        <w:gridCol w:w="2016"/>
        <w:gridCol w:w="2016"/>
        <w:gridCol w:w="2016"/>
        <w:gridCol w:w="2016"/>
        <w:gridCol w:w="2016"/>
        <w:gridCol w:w="2016"/>
      </w:tblGrid>
      <w:tr>
        <w:trPr>
          <w:tblHeader w:val="true"/>
        </w:trPr>
        <w:tc>
          <w:tcPr>
            <w:tcW w:type="dxa" w:w="648"/>
            <w:shd w:val="clear" w:color="auto" w:fill="1F3A5F"/>
          </w:tcPr>
          <w:p>
            <w:pPr>
              <w:spacing w:after="0"/>
            </w:pPr>
            <w:r/>
            <w:r>
              <w:rPr>
                <w:b/>
                <w:color w:val="FFFFFF"/>
                <w:sz w:val="13"/>
              </w:rPr>
              <w:t>ID</w:t>
            </w:r>
          </w:p>
        </w:tc>
        <w:tc>
          <w:tcPr>
            <w:tcW w:type="dxa" w:w="1080"/>
            <w:shd w:val="clear" w:color="auto" w:fill="1F3A5F"/>
          </w:tcPr>
          <w:p>
            <w:pPr>
              <w:spacing w:after="0"/>
            </w:pPr>
            <w:r/>
            <w:r>
              <w:rPr>
                <w:b/>
                <w:color w:val="FFFFFF"/>
                <w:sz w:val="13"/>
              </w:rPr>
              <w:t>Severity</w:t>
            </w:r>
          </w:p>
        </w:tc>
        <w:tc>
          <w:tcPr>
            <w:tcW w:type="dxa" w:w="1296"/>
            <w:shd w:val="clear" w:color="auto" w:fill="1F3A5F"/>
          </w:tcPr>
          <w:p>
            <w:pPr>
              <w:spacing w:after="0"/>
            </w:pPr>
            <w:r/>
            <w:r>
              <w:rPr>
                <w:b/>
                <w:color w:val="FFFFFF"/>
                <w:sz w:val="13"/>
              </w:rPr>
              <w:t>Area</w:t>
            </w:r>
          </w:p>
        </w:tc>
        <w:tc>
          <w:tcPr>
            <w:tcW w:type="dxa" w:w="2520"/>
            <w:shd w:val="clear" w:color="auto" w:fill="1F3A5F"/>
          </w:tcPr>
          <w:p>
            <w:pPr>
              <w:spacing w:after="0"/>
            </w:pPr>
            <w:r/>
            <w:r>
              <w:rPr>
                <w:b/>
                <w:color w:val="FFFFFF"/>
                <w:sz w:val="13"/>
              </w:rPr>
              <w:t>Title</w:t>
            </w:r>
          </w:p>
        </w:tc>
        <w:tc>
          <w:tcPr>
            <w:tcW w:type="dxa" w:w="3744"/>
            <w:shd w:val="clear" w:color="auto" w:fill="1F3A5F"/>
          </w:tcPr>
          <w:p>
            <w:pPr>
              <w:spacing w:after="0"/>
            </w:pPr>
            <w:r/>
            <w:r>
              <w:rPr>
                <w:b/>
                <w:color w:val="FFFFFF"/>
                <w:sz w:val="13"/>
              </w:rPr>
              <w:t>Evidence</w:t>
            </w:r>
          </w:p>
        </w:tc>
        <w:tc>
          <w:tcPr>
            <w:tcW w:type="dxa" w:w="2880"/>
            <w:shd w:val="clear" w:color="auto" w:fill="1F3A5F"/>
          </w:tcPr>
          <w:p>
            <w:pPr>
              <w:spacing w:after="0"/>
            </w:pPr>
            <w:r/>
            <w:r>
              <w:rPr>
                <w:b/>
                <w:color w:val="FFFFFF"/>
                <w:sz w:val="13"/>
              </w:rPr>
              <w:t>Impact</w:t>
            </w:r>
          </w:p>
        </w:tc>
        <w:tc>
          <w:tcPr>
            <w:tcW w:type="dxa" w:w="1944"/>
            <w:shd w:val="clear" w:color="auto" w:fill="1F3A5F"/>
          </w:tcPr>
          <w:p>
            <w:pPr>
              <w:spacing w:after="0"/>
            </w:pPr>
            <w:r/>
            <w:r>
              <w:rPr>
                <w:b/>
                <w:color w:val="FFFFFF"/>
                <w:sz w:val="13"/>
              </w:rPr>
              <w:t>Recommendation</w:t>
            </w:r>
          </w:p>
        </w:tc>
      </w:tr>
      <w:tr>
        <w:trPr>
          <w:cantSplit/>
        </w:trPr>
        <w:tc>
          <w:tcPr>
            <w:tcW w:type="dxa" w:w="648"/>
          </w:tcPr>
          <w:p>
            <w:pPr>
              <w:spacing w:after="0"/>
            </w:pPr>
            <w:r/>
            <w:r>
              <w:rPr>
                <w:sz w:val="13"/>
              </w:rPr>
              <w:t>F-01</w:t>
            </w:r>
          </w:p>
        </w:tc>
        <w:tc>
          <w:tcPr>
            <w:tcW w:type="dxa" w:w="1080"/>
          </w:tcPr>
          <w:p>
            <w:pPr>
              <w:spacing w:after="0"/>
            </w:pPr>
            <w:r/>
            <w:r>
              <w:rPr>
                <w:sz w:val="13"/>
              </w:rPr>
              <w:t>Low</w:t>
            </w:r>
          </w:p>
        </w:tc>
        <w:tc>
          <w:tcPr>
            <w:tcW w:type="dxa" w:w="1296"/>
          </w:tcPr>
          <w:p>
            <w:pPr>
              <w:spacing w:after="0"/>
            </w:pPr>
            <w:r/>
            <w:r>
              <w:rPr>
                <w:sz w:val="13"/>
              </w:rPr>
              <w:t>Database</w:t>
            </w:r>
          </w:p>
        </w:tc>
        <w:tc>
          <w:tcPr>
            <w:tcW w:type="dxa" w:w="2520"/>
          </w:tcPr>
          <w:p>
            <w:pPr>
              <w:spacing w:after="0"/>
            </w:pPr>
            <w:r/>
            <w:r>
              <w:rPr>
                <w:sz w:val="13"/>
              </w:rPr>
              <w:t>Legacy Laravel framework tables ship in the schema and are never used</w:t>
            </w:r>
          </w:p>
        </w:tc>
        <w:tc>
          <w:tcPr>
            <w:tcW w:type="dxa" w:w="3744"/>
          </w:tcPr>
          <w:p>
            <w:pPr>
              <w:spacing w:after="0"/>
            </w:pPr>
            <w:r/>
            <w:r>
              <w:rPr>
                <w:sz w:val="13"/>
              </w:rPr>
              <w:t>apps/backend/migrations/000001_init_schema.sql creates cache, cache_locks, jobs, job_batches, failed_jobs, sessions and migrations; the Go backend replaces all of them with Redis or bearer tokens (pkg/redis, internal/auth/token.go).</w:t>
            </w:r>
          </w:p>
        </w:tc>
        <w:tc>
          <w:tcPr>
            <w:tcW w:type="dxa" w:w="2880"/>
          </w:tcPr>
          <w:p>
            <w:pPr>
              <w:spacing w:after="0"/>
            </w:pPr>
            <w:r/>
            <w:r>
              <w:rPr>
                <w:sz w:val="13"/>
              </w:rPr>
              <w:t>Dead objects consume ~24 kB per database and invite confusion during incident response (someone will look for queued jobs that never exist).</w:t>
            </w:r>
          </w:p>
        </w:tc>
        <w:tc>
          <w:tcPr>
            <w:tcW w:type="dxa" w:w="1944"/>
          </w:tcPr>
          <w:p>
            <w:pPr>
              <w:spacing w:after="0"/>
            </w:pPr>
            <w:r/>
            <w:r>
              <w:rPr>
                <w:sz w:val="13"/>
              </w:rPr>
              <w:t>Drop them in a dedicated migration after confirming no external tool reads them.</w:t>
            </w:r>
          </w:p>
        </w:tc>
      </w:tr>
      <w:tr>
        <w:trPr>
          <w:cantSplit/>
        </w:trPr>
        <w:tc>
          <w:tcPr>
            <w:tcW w:type="dxa" w:w="648"/>
          </w:tcPr>
          <w:p>
            <w:pPr>
              <w:spacing w:after="0"/>
            </w:pPr>
            <w:r/>
            <w:r>
              <w:rPr>
                <w:sz w:val="13"/>
              </w:rPr>
              <w:t>F-02</w:t>
            </w:r>
          </w:p>
        </w:tc>
        <w:tc>
          <w:tcPr>
            <w:tcW w:type="dxa" w:w="1080"/>
          </w:tcPr>
          <w:p>
            <w:pPr>
              <w:spacing w:after="0"/>
            </w:pPr>
            <w:r/>
            <w:r>
              <w:rPr>
                <w:sz w:val="13"/>
              </w:rPr>
              <w:t>Medium</w:t>
            </w:r>
          </w:p>
        </w:tc>
        <w:tc>
          <w:tcPr>
            <w:tcW w:type="dxa" w:w="1296"/>
          </w:tcPr>
          <w:p>
            <w:pPr>
              <w:spacing w:after="0"/>
            </w:pPr>
            <w:r/>
            <w:r>
              <w:rPr>
                <w:sz w:val="13"/>
              </w:rPr>
              <w:t>Documentation</w:t>
            </w:r>
          </w:p>
        </w:tc>
        <w:tc>
          <w:tcPr>
            <w:tcW w:type="dxa" w:w="2520"/>
          </w:tcPr>
          <w:p>
            <w:pPr>
              <w:spacing w:after="0"/>
            </w:pPr>
            <w:r/>
            <w:r>
              <w:rPr>
                <w:sz w:val="13"/>
              </w:rPr>
              <w:t>Documentation points at module paths that do not exist</w:t>
            </w:r>
          </w:p>
        </w:tc>
        <w:tc>
          <w:tcPr>
            <w:tcW w:type="dxa" w:w="3744"/>
          </w:tcPr>
          <w:p>
            <w:pPr>
              <w:spacing w:after="0"/>
            </w:pPr>
            <w:r/>
            <w:r>
              <w:rPr>
                <w:sz w:val="13"/>
              </w:rPr>
              <w:t>AGENTS.md:20-21 and :72 cite internal/database/migrations and internal/modules/rbac/catalog.go; the real paths are apps/backend/migrations and apps/backend/internal/auth/catalog.go. docs/architecture/overview.md repeats both.</w:t>
            </w:r>
          </w:p>
        </w:tc>
        <w:tc>
          <w:tcPr>
            <w:tcW w:type="dxa" w:w="2880"/>
          </w:tcPr>
          <w:p>
            <w:pPr>
              <w:spacing w:after="0"/>
            </w:pPr>
            <w:r/>
            <w:r>
              <w:rPr>
                <w:sz w:val="13"/>
              </w:rPr>
              <w:t>A new contributor (human or agent) following the canonical instruction file lands on nonexistent directories and may create a second convention.</w:t>
            </w:r>
          </w:p>
        </w:tc>
        <w:tc>
          <w:tcPr>
            <w:tcW w:type="dxa" w:w="1944"/>
          </w:tcPr>
          <w:p>
            <w:pPr>
              <w:spacing w:after="0"/>
            </w:pPr>
            <w:r/>
            <w:r>
              <w:rPr>
                <w:sz w:val="13"/>
              </w:rPr>
              <w:t>Correct the paths in AGENTS.md, docs/architecture/overview.md and apps/backend/AGENTS.md.</w:t>
            </w:r>
          </w:p>
        </w:tc>
      </w:tr>
      <w:tr>
        <w:trPr>
          <w:cantSplit/>
        </w:trPr>
        <w:tc>
          <w:tcPr>
            <w:tcW w:type="dxa" w:w="648"/>
          </w:tcPr>
          <w:p>
            <w:pPr>
              <w:spacing w:after="0"/>
            </w:pPr>
            <w:r/>
            <w:r>
              <w:rPr>
                <w:sz w:val="13"/>
              </w:rPr>
              <w:t>F-03</w:t>
            </w:r>
          </w:p>
        </w:tc>
        <w:tc>
          <w:tcPr>
            <w:tcW w:type="dxa" w:w="1080"/>
          </w:tcPr>
          <w:p>
            <w:pPr>
              <w:spacing w:after="0"/>
            </w:pPr>
            <w:r/>
            <w:r>
              <w:rPr>
                <w:sz w:val="13"/>
              </w:rPr>
              <w:t>High</w:t>
            </w:r>
          </w:p>
        </w:tc>
        <w:tc>
          <w:tcPr>
            <w:tcW w:type="dxa" w:w="1296"/>
          </w:tcPr>
          <w:p>
            <w:pPr>
              <w:spacing w:after="0"/>
            </w:pPr>
            <w:r/>
            <w:r>
              <w:rPr>
                <w:sz w:val="13"/>
              </w:rPr>
              <w:t>CI/CD</w:t>
            </w:r>
          </w:p>
        </w:tc>
        <w:tc>
          <w:tcPr>
            <w:tcW w:type="dxa" w:w="2520"/>
          </w:tcPr>
          <w:p>
            <w:pPr>
              <w:spacing w:after="0"/>
            </w:pPr>
            <w:r/>
            <w:r>
              <w:rPr>
                <w:sz w:val="13"/>
              </w:rPr>
              <w:t>CI pins Go 1.24 while go.mod requires 1.26.5</w:t>
            </w:r>
          </w:p>
        </w:tc>
        <w:tc>
          <w:tcPr>
            <w:tcW w:type="dxa" w:w="3744"/>
          </w:tcPr>
          <w:p>
            <w:pPr>
              <w:spacing w:after="0"/>
            </w:pPr>
            <w:r/>
            <w:r>
              <w:rPr>
                <w:sz w:val="13"/>
              </w:rPr>
              <w:t>.github/workflows/ci.yml:41 sets go-version 1.24; apps/backend/go.mod:3 declares go 1.26.5.</w:t>
            </w:r>
          </w:p>
        </w:tc>
        <w:tc>
          <w:tcPr>
            <w:tcW w:type="dxa" w:w="2880"/>
          </w:tcPr>
          <w:p>
            <w:pPr>
              <w:spacing w:after="0"/>
            </w:pPr>
            <w:r/>
            <w:r>
              <w:rPr>
                <w:sz w:val="13"/>
              </w:rPr>
              <w:t>The backend job cannot build a module that requires a newer toolchain; the quality gate fails before any test runs.</w:t>
            </w:r>
          </w:p>
        </w:tc>
        <w:tc>
          <w:tcPr>
            <w:tcW w:type="dxa" w:w="1944"/>
          </w:tcPr>
          <w:p>
            <w:pPr>
              <w:spacing w:after="0"/>
            </w:pPr>
            <w:r/>
            <w:r>
              <w:rPr>
                <w:sz w:val="13"/>
              </w:rPr>
              <w:t>Set go-version-file: apps/backend/go.mod (or '1.26.x') in both CI jobs.</w:t>
            </w:r>
          </w:p>
        </w:tc>
      </w:tr>
      <w:tr>
        <w:trPr>
          <w:cantSplit/>
        </w:trPr>
        <w:tc>
          <w:tcPr>
            <w:tcW w:type="dxa" w:w="648"/>
          </w:tcPr>
          <w:p>
            <w:pPr>
              <w:spacing w:after="0"/>
            </w:pPr>
            <w:r/>
            <w:r>
              <w:rPr>
                <w:sz w:val="13"/>
              </w:rPr>
              <w:t>F-04</w:t>
            </w:r>
          </w:p>
        </w:tc>
        <w:tc>
          <w:tcPr>
            <w:tcW w:type="dxa" w:w="1080"/>
          </w:tcPr>
          <w:p>
            <w:pPr>
              <w:spacing w:after="0"/>
            </w:pPr>
            <w:r/>
            <w:r>
              <w:rPr>
                <w:sz w:val="13"/>
              </w:rPr>
              <w:t>Medium</w:t>
            </w:r>
          </w:p>
        </w:tc>
        <w:tc>
          <w:tcPr>
            <w:tcW w:type="dxa" w:w="1296"/>
          </w:tcPr>
          <w:p>
            <w:pPr>
              <w:spacing w:after="0"/>
            </w:pPr>
            <w:r/>
            <w:r>
              <w:rPr>
                <w:sz w:val="13"/>
              </w:rPr>
              <w:t>Tooling</w:t>
            </w:r>
          </w:p>
        </w:tc>
        <w:tc>
          <w:tcPr>
            <w:tcW w:type="dxa" w:w="2520"/>
          </w:tcPr>
          <w:p>
            <w:pPr>
              <w:spacing w:after="0"/>
            </w:pPr>
            <w:r/>
            <w:r>
              <w:rPr>
                <w:sz w:val="13"/>
              </w:rPr>
              <w:t>Repository-wide test command in the root manifest mixes incompatible runners</w:t>
            </w:r>
          </w:p>
        </w:tc>
        <w:tc>
          <w:tcPr>
            <w:tcW w:type="dxa" w:w="3744"/>
          </w:tcPr>
          <w:p>
            <w:pPr>
              <w:spacing w:after="0"/>
            </w:pPr>
            <w:r/>
            <w:r>
              <w:rPr>
                <w:sz w:val="13"/>
              </w:rPr>
              <w:t>package.json test script is 'turbo run test &amp;&amp; pnpm test:backend'; turbo runs the JS suites, then Go tests run from the root without a database, so internal/integration skips and the remaining Go packages rely on DATABASE_URL being unset.</w:t>
            </w:r>
          </w:p>
        </w:tc>
        <w:tc>
          <w:tcPr>
            <w:tcW w:type="dxa" w:w="2880"/>
          </w:tcPr>
          <w:p>
            <w:pPr>
              <w:spacing w:after="0"/>
            </w:pPr>
            <w:r/>
            <w:r>
              <w:rPr>
                <w:sz w:val="13"/>
              </w:rPr>
              <w:t>A single `pnpm test` gives a false sense of full coverage: the integration suite silently skips instead of running.</w:t>
            </w:r>
          </w:p>
        </w:tc>
        <w:tc>
          <w:tcPr>
            <w:tcW w:type="dxa" w:w="1944"/>
          </w:tcPr>
          <w:p>
            <w:pPr>
              <w:spacing w:after="0"/>
            </w:pPr>
            <w:r/>
            <w:r>
              <w:rPr>
                <w:sz w:val="13"/>
              </w:rPr>
              <w:t>Document the two-phase requirement (DB up + KG_ALLOW_DESTRUCTIVE_DB_TESTS=1) in CONTRIBUTING.md, or split into test:unit and test:integration.</w:t>
            </w:r>
          </w:p>
        </w:tc>
      </w:tr>
      <w:tr>
        <w:trPr>
          <w:cantSplit/>
        </w:trPr>
        <w:tc>
          <w:tcPr>
            <w:tcW w:type="dxa" w:w="648"/>
          </w:tcPr>
          <w:p>
            <w:pPr>
              <w:spacing w:after="0"/>
            </w:pPr>
            <w:r/>
            <w:r>
              <w:rPr>
                <w:sz w:val="13"/>
              </w:rPr>
              <w:t>F-05</w:t>
            </w:r>
          </w:p>
        </w:tc>
        <w:tc>
          <w:tcPr>
            <w:tcW w:type="dxa" w:w="1080"/>
          </w:tcPr>
          <w:p>
            <w:pPr>
              <w:spacing w:after="0"/>
            </w:pPr>
            <w:r/>
            <w:r>
              <w:rPr>
                <w:sz w:val="13"/>
              </w:rPr>
              <w:t>High</w:t>
            </w:r>
          </w:p>
        </w:tc>
        <w:tc>
          <w:tcPr>
            <w:tcW w:type="dxa" w:w="1296"/>
          </w:tcPr>
          <w:p>
            <w:pPr>
              <w:spacing w:after="0"/>
            </w:pPr>
            <w:r/>
            <w:r>
              <w:rPr>
                <w:sz w:val="13"/>
              </w:rPr>
              <w:t>Testing</w:t>
            </w:r>
          </w:p>
        </w:tc>
        <w:tc>
          <w:tcPr>
            <w:tcW w:type="dxa" w:w="2520"/>
          </w:tcPr>
          <w:p>
            <w:pPr>
              <w:spacing w:after="0"/>
            </w:pPr>
            <w:r/>
            <w:r>
              <w:rPr>
                <w:sz w:val="13"/>
              </w:rPr>
              <w:t>The integration test package truncates 66 tables when given consent</w:t>
            </w:r>
          </w:p>
        </w:tc>
        <w:tc>
          <w:tcPr>
            <w:tcW w:type="dxa" w:w="3744"/>
          </w:tcPr>
          <w:p>
            <w:pPr>
              <w:spacing w:after="0"/>
            </w:pPr>
            <w:r/>
            <w:r>
              <w:rPr>
                <w:sz w:val="13"/>
              </w:rPr>
              <w:t>internal/integration/helpers_test.go:requireDestructiveConsent + setUp TRUNCATEs users, customers, products and sales_orders with CASCADE. Replaying every migration into a scratch database and running TRUNCATE users CASCADE produced 66 cascade notices, i.e. 67 tables emptied including users itself.</w:t>
            </w:r>
          </w:p>
        </w:tc>
        <w:tc>
          <w:tcPr>
            <w:tcW w:type="dxa" w:w="2880"/>
          </w:tcPr>
          <w:p>
            <w:pPr>
              <w:spacing w:after="0"/>
            </w:pPr>
            <w:r/>
            <w:r>
              <w:rPr>
                <w:sz w:val="13"/>
              </w:rPr>
              <w:t>One exported DATABASE_URL plus KG_ALLOW_DESTRUCTIVE_DB_TESTS=1 against a shared database destroys business data. The comment in the file records that this already happened once.</w:t>
            </w:r>
          </w:p>
        </w:tc>
        <w:tc>
          <w:tcPr>
            <w:tcW w:type="dxa" w:w="1944"/>
          </w:tcPr>
          <w:p>
            <w:pPr>
              <w:spacing w:after="0"/>
            </w:pPr>
            <w:r/>
            <w:r>
              <w:rPr>
                <w:sz w:val="13"/>
              </w:rPr>
              <w:t>Keep the two-variable consent, and additionally refuse to run when the target database name does not match a throwaway pattern (e.g. *_test).</w:t>
            </w:r>
          </w:p>
        </w:tc>
      </w:tr>
      <w:tr>
        <w:trPr>
          <w:cantSplit/>
        </w:trPr>
        <w:tc>
          <w:tcPr>
            <w:tcW w:type="dxa" w:w="648"/>
          </w:tcPr>
          <w:p>
            <w:pPr>
              <w:spacing w:after="0"/>
            </w:pPr>
            <w:r/>
            <w:r>
              <w:rPr>
                <w:sz w:val="13"/>
              </w:rPr>
              <w:t>F-06</w:t>
            </w:r>
          </w:p>
        </w:tc>
        <w:tc>
          <w:tcPr>
            <w:tcW w:type="dxa" w:w="1080"/>
          </w:tcPr>
          <w:p>
            <w:pPr>
              <w:spacing w:after="0"/>
            </w:pPr>
            <w:r/>
            <w:r>
              <w:rPr>
                <w:sz w:val="13"/>
              </w:rPr>
              <w:t>Low</w:t>
            </w:r>
          </w:p>
        </w:tc>
        <w:tc>
          <w:tcPr>
            <w:tcW w:type="dxa" w:w="1296"/>
          </w:tcPr>
          <w:p>
            <w:pPr>
              <w:spacing w:after="0"/>
            </w:pPr>
            <w:r/>
            <w:r>
              <w:rPr>
                <w:sz w:val="13"/>
              </w:rPr>
              <w:t>Auth</w:t>
            </w:r>
          </w:p>
        </w:tc>
        <w:tc>
          <w:tcPr>
            <w:tcW w:type="dxa" w:w="2520"/>
          </w:tcPr>
          <w:p>
            <w:pPr>
              <w:spacing w:after="0"/>
            </w:pPr>
            <w:r/>
            <w:r>
              <w:rPr>
                <w:sz w:val="13"/>
              </w:rPr>
              <w:t>Post-login permission map for admin/owner serialises as a wildcard only</w:t>
            </w:r>
          </w:p>
        </w:tc>
        <w:tc>
          <w:tcPr>
            <w:tcW w:type="dxa" w:w="3744"/>
          </w:tcPr>
          <w:p>
            <w:pPr>
              <w:spacing w:after="0"/>
            </w:pPr>
            <w:r/>
            <w:r>
              <w:rPr>
                <w:sz w:val="13"/>
              </w:rPr>
              <w:t>GET /api/v1/auth/me returned permissions {"*":true, "sales.lhpp.merge":true, "sales.lhpp.view":true} for the seeded admin; EffectivePermissions publishes '*' for admin/owner (internal/auth/model.go).</w:t>
            </w:r>
          </w:p>
        </w:tc>
        <w:tc>
          <w:tcPr>
            <w:tcW w:type="dxa" w:w="2880"/>
          </w:tcPr>
          <w:p>
            <w:pPr>
              <w:spacing w:after="0"/>
            </w:pPr>
            <w:r/>
            <w:r>
              <w:rPr>
                <w:sz w:val="13"/>
              </w:rPr>
              <w:t>Clients that test a concrete key rather than the wildcard see an empty grant set for admin. The ERP guard has an explicit fallback, POS has a special case; a new client would regress.</w:t>
            </w:r>
          </w:p>
        </w:tc>
        <w:tc>
          <w:tcPr>
            <w:tcW w:type="dxa" w:w="1944"/>
          </w:tcPr>
          <w:p>
            <w:pPr>
              <w:spacing w:after="0"/>
            </w:pPr>
            <w:r/>
            <w:r>
              <w:rPr>
                <w:sz w:val="13"/>
              </w:rPr>
              <w:t>Publish the fully expanded key set alongside the wildcard, or document the wildcard contract in packages/permissions.</w:t>
            </w:r>
          </w:p>
        </w:tc>
      </w:tr>
      <w:tr>
        <w:trPr>
          <w:cantSplit/>
        </w:trPr>
        <w:tc>
          <w:tcPr>
            <w:tcW w:type="dxa" w:w="648"/>
          </w:tcPr>
          <w:p>
            <w:pPr>
              <w:spacing w:after="0"/>
            </w:pPr>
            <w:r/>
            <w:r>
              <w:rPr>
                <w:sz w:val="13"/>
              </w:rPr>
              <w:t>F-07</w:t>
            </w:r>
          </w:p>
        </w:tc>
        <w:tc>
          <w:tcPr>
            <w:tcW w:type="dxa" w:w="1080"/>
          </w:tcPr>
          <w:p>
            <w:pPr>
              <w:spacing w:after="0"/>
            </w:pPr>
            <w:r/>
            <w:r>
              <w:rPr>
                <w:sz w:val="13"/>
              </w:rPr>
              <w:t>Medium</w:t>
            </w:r>
          </w:p>
        </w:tc>
        <w:tc>
          <w:tcPr>
            <w:tcW w:type="dxa" w:w="1296"/>
          </w:tcPr>
          <w:p>
            <w:pPr>
              <w:spacing w:after="0"/>
            </w:pPr>
            <w:r/>
            <w:r>
              <w:rPr>
                <w:sz w:val="13"/>
              </w:rPr>
              <w:t>Configuration</w:t>
            </w:r>
          </w:p>
        </w:tc>
        <w:tc>
          <w:tcPr>
            <w:tcW w:type="dxa" w:w="2520"/>
          </w:tcPr>
          <w:p>
            <w:pPr>
              <w:spacing w:after="0"/>
            </w:pPr>
            <w:r/>
            <w:r>
              <w:rPr>
                <w:sz w:val="13"/>
              </w:rPr>
              <w:t>SMTP_FROM is documented but never read</w:t>
            </w:r>
          </w:p>
        </w:tc>
        <w:tc>
          <w:tcPr>
            <w:tcW w:type="dxa" w:w="3744"/>
          </w:tcPr>
          <w:p>
            <w:pPr>
              <w:spacing w:after="0"/>
            </w:pPr>
            <w:r/>
            <w:r>
              <w:rPr>
                <w:sz w:val="13"/>
              </w:rPr>
              <w:t>.env.example:SMTP_FROM and pkg/config.Config.SMTPFrom exist; pkg/config/config.go Load() never calls getEnv("SMTP_FROM"), so From is always empty and mailer.SMTPMailer sends an empty From header.</w:t>
            </w:r>
          </w:p>
        </w:tc>
        <w:tc>
          <w:tcPr>
            <w:tcW w:type="dxa" w:w="2880"/>
          </w:tcPr>
          <w:p>
            <w:pPr>
              <w:spacing w:after="0"/>
            </w:pPr>
            <w:r/>
            <w:r>
              <w:rPr>
                <w:sz w:val="13"/>
              </w:rPr>
              <w:t>Password-reset mail from a real SMTP relay is rejected or spam-filed, breaking account recovery.</w:t>
            </w:r>
          </w:p>
        </w:tc>
        <w:tc>
          <w:tcPr>
            <w:tcW w:type="dxa" w:w="1944"/>
          </w:tcPr>
          <w:p>
            <w:pPr>
              <w:spacing w:after="0"/>
            </w:pPr>
            <w:r/>
            <w:r>
              <w:rPr>
                <w:sz w:val="13"/>
              </w:rPr>
              <w:t>Add SMTPFrom: getEnv("SMTP_FROM", "no-reply@keluargamart.local") to Load().</w:t>
            </w:r>
          </w:p>
        </w:tc>
      </w:tr>
      <w:tr>
        <w:trPr>
          <w:cantSplit/>
        </w:trPr>
        <w:tc>
          <w:tcPr>
            <w:tcW w:type="dxa" w:w="648"/>
          </w:tcPr>
          <w:p>
            <w:pPr>
              <w:spacing w:after="0"/>
            </w:pPr>
            <w:r/>
            <w:r>
              <w:rPr>
                <w:sz w:val="13"/>
              </w:rPr>
              <w:t>F-08</w:t>
            </w:r>
          </w:p>
        </w:tc>
        <w:tc>
          <w:tcPr>
            <w:tcW w:type="dxa" w:w="1080"/>
          </w:tcPr>
          <w:p>
            <w:pPr>
              <w:spacing w:after="0"/>
            </w:pPr>
            <w:r/>
            <w:r>
              <w:rPr>
                <w:sz w:val="13"/>
              </w:rPr>
              <w:t>Medium</w:t>
            </w:r>
          </w:p>
        </w:tc>
        <w:tc>
          <w:tcPr>
            <w:tcW w:type="dxa" w:w="1296"/>
          </w:tcPr>
          <w:p>
            <w:pPr>
              <w:spacing w:after="0"/>
            </w:pPr>
            <w:r/>
            <w:r>
              <w:rPr>
                <w:sz w:val="13"/>
              </w:rPr>
              <w:t>Auth</w:t>
            </w:r>
          </w:p>
        </w:tc>
        <w:tc>
          <w:tcPr>
            <w:tcW w:type="dxa" w:w="2520"/>
          </w:tcPr>
          <w:p>
            <w:pPr>
              <w:spacing w:after="0"/>
            </w:pPr>
            <w:r/>
            <w:r>
              <w:rPr>
                <w:sz w:val="13"/>
              </w:rPr>
              <w:t>Permission catalog and role list drift in the generated client package</w:t>
            </w:r>
          </w:p>
        </w:tc>
        <w:tc>
          <w:tcPr>
            <w:tcW w:type="dxa" w:w="3744"/>
          </w:tcPr>
          <w:p>
            <w:pPr>
              <w:spacing w:after="0"/>
            </w:pPr>
            <w:r/>
            <w:r>
              <w:rPr>
                <w:sz w:val="13"/>
              </w:rPr>
              <w:t>packages/permissions/src/index.js ROLES lists admin, owner, finance, warehouse, cashier, customer, store_manager, system (8), while internal/auth/model.go AllRoles and migration 000057 seed 16 roles (gm, bm, spv, sales, buyer, finance_head, hr_manager, hr_staff, employee, ...). 'customer' is not a backend role.</w:t>
            </w:r>
          </w:p>
        </w:tc>
        <w:tc>
          <w:tcPr>
            <w:tcW w:type="dxa" w:w="2880"/>
          </w:tcPr>
          <w:p>
            <w:pPr>
              <w:spacing w:after="0"/>
            </w:pPr>
            <w:r/>
            <w:r>
              <w:rPr>
                <w:sz w:val="13"/>
              </w:rPr>
              <w:t>Any client-side role check against ROLES is wrong for 9 real roles and offers a nonexistent one.</w:t>
            </w:r>
          </w:p>
        </w:tc>
        <w:tc>
          <w:tcPr>
            <w:tcW w:type="dxa" w:w="1944"/>
          </w:tcPr>
          <w:p>
            <w:pPr>
              <w:spacing w:after="0"/>
            </w:pPr>
            <w:r/>
            <w:r>
              <w:rPr>
                <w:sz w:val="13"/>
              </w:rPr>
              <w:t>Generate ROLES from AllRoles in scripts/gen-permissions.py instead of hard-coding the list.</w:t>
            </w:r>
          </w:p>
        </w:tc>
      </w:tr>
      <w:tr>
        <w:trPr>
          <w:cantSplit/>
        </w:trPr>
        <w:tc>
          <w:tcPr>
            <w:tcW w:type="dxa" w:w="648"/>
          </w:tcPr>
          <w:p>
            <w:pPr>
              <w:spacing w:after="0"/>
            </w:pPr>
            <w:r/>
            <w:r>
              <w:rPr>
                <w:sz w:val="13"/>
              </w:rPr>
              <w:t>F-09</w:t>
            </w:r>
          </w:p>
        </w:tc>
        <w:tc>
          <w:tcPr>
            <w:tcW w:type="dxa" w:w="1080"/>
          </w:tcPr>
          <w:p>
            <w:pPr>
              <w:spacing w:after="0"/>
            </w:pPr>
            <w:r/>
            <w:r>
              <w:rPr>
                <w:sz w:val="13"/>
              </w:rPr>
              <w:t>Low</w:t>
            </w:r>
          </w:p>
        </w:tc>
        <w:tc>
          <w:tcPr>
            <w:tcW w:type="dxa" w:w="1296"/>
          </w:tcPr>
          <w:p>
            <w:pPr>
              <w:spacing w:after="0"/>
            </w:pPr>
            <w:r/>
            <w:r>
              <w:rPr>
                <w:sz w:val="13"/>
              </w:rPr>
              <w:t>Database</w:t>
            </w:r>
          </w:p>
        </w:tc>
        <w:tc>
          <w:tcPr>
            <w:tcW w:type="dxa" w:w="2520"/>
          </w:tcPr>
          <w:p>
            <w:pPr>
              <w:spacing w:after="0"/>
            </w:pPr>
            <w:r/>
            <w:r>
              <w:rPr>
                <w:sz w:val="13"/>
              </w:rPr>
              <w:t>Migration 000058 only applies inside a single transaction</w:t>
            </w:r>
          </w:p>
        </w:tc>
        <w:tc>
          <w:tcPr>
            <w:tcW w:type="dxa" w:w="3744"/>
          </w:tcPr>
          <w:p>
            <w:pPr>
              <w:spacing w:after="0"/>
            </w:pPr>
            <w:r/>
            <w:r>
              <w:rPr>
                <w:sz w:val="13"/>
              </w:rPr>
              <w:t>000058_expand_role_permissions_wildcards.sql creates a TEMP TABLE ... ON COMMIT DROP. Applied statement-by-statement (psql without --single-transaction, or any tool that autocommits), the temp table is dropped before the INSERT and the migration fails with 'relation catalog_spec does not exist' (reproduced).</w:t>
            </w:r>
          </w:p>
        </w:tc>
        <w:tc>
          <w:tcPr>
            <w:tcW w:type="dxa" w:w="2880"/>
          </w:tcPr>
          <w:p>
            <w:pPr>
              <w:spacing w:after="0"/>
            </w:pPr>
            <w:r/>
            <w:r>
              <w:rPr>
                <w:sz w:val="13"/>
              </w:rPr>
              <w:t>Out-of-band migration runs (psql -f, GUI clients) fail on this file and leave the schema half-migrated.</w:t>
            </w:r>
          </w:p>
        </w:tc>
        <w:tc>
          <w:tcPr>
            <w:tcW w:type="dxa" w:w="1944"/>
          </w:tcPr>
          <w:p>
            <w:pPr>
              <w:spacing w:after="0"/>
            </w:pPr>
            <w:r/>
            <w:r>
              <w:rPr>
                <w:sz w:val="13"/>
              </w:rPr>
              <w:t>Replace the temp table with a CTE/VALUES list, or document --single-transaction as mandatory for manual application.</w:t>
            </w:r>
          </w:p>
        </w:tc>
      </w:tr>
      <w:tr>
        <w:trPr>
          <w:cantSplit/>
        </w:trPr>
        <w:tc>
          <w:tcPr>
            <w:tcW w:type="dxa" w:w="648"/>
          </w:tcPr>
          <w:p>
            <w:pPr>
              <w:spacing w:after="0"/>
            </w:pPr>
            <w:r/>
            <w:r>
              <w:rPr>
                <w:sz w:val="13"/>
              </w:rPr>
              <w:t>F-10</w:t>
            </w:r>
          </w:p>
        </w:tc>
        <w:tc>
          <w:tcPr>
            <w:tcW w:type="dxa" w:w="1080"/>
          </w:tcPr>
          <w:p>
            <w:pPr>
              <w:spacing w:after="0"/>
            </w:pPr>
            <w:r/>
            <w:r>
              <w:rPr>
                <w:sz w:val="13"/>
              </w:rPr>
              <w:t>Medium</w:t>
            </w:r>
          </w:p>
        </w:tc>
        <w:tc>
          <w:tcPr>
            <w:tcW w:type="dxa" w:w="1296"/>
          </w:tcPr>
          <w:p>
            <w:pPr>
              <w:spacing w:after="0"/>
            </w:pPr>
            <w:r/>
            <w:r>
              <w:rPr>
                <w:sz w:val="13"/>
              </w:rPr>
              <w:t>Deployment</w:t>
            </w:r>
          </w:p>
        </w:tc>
        <w:tc>
          <w:tcPr>
            <w:tcW w:type="dxa" w:w="2520"/>
          </w:tcPr>
          <w:p>
            <w:pPr>
              <w:spacing w:after="0"/>
            </w:pPr>
            <w:r/>
            <w:r>
              <w:rPr>
                <w:sz w:val="13"/>
              </w:rPr>
              <w:t>Two compose stacks and two seed paths disagree on PostgreSQL version and ports</w:t>
            </w:r>
          </w:p>
        </w:tc>
        <w:tc>
          <w:tcPr>
            <w:tcW w:type="dxa" w:w="3744"/>
          </w:tcPr>
          <w:p>
            <w:pPr>
              <w:spacing w:after="0"/>
            </w:pPr>
            <w:r/>
            <w:r>
              <w:rPr>
                <w:sz w:val="13"/>
              </w:rPr>
              <w:t>infra/containers/compose.prod.yml uses postgres:16-alpine; apps/backend/docker-compose.yml uses postgres:17-alpine. deploy/.env.prod.example maps ERP_PORT=3003/POS_PORT=3005 while compose.prod.yml defaults 3001/3003 and the Cloudflare doc fixes 3001/3002/3003/3004.</w:t>
            </w:r>
          </w:p>
        </w:tc>
        <w:tc>
          <w:tcPr>
            <w:tcW w:type="dxa" w:w="2880"/>
          </w:tcPr>
          <w:p>
            <w:pPr>
              <w:spacing w:after="0"/>
            </w:pPr>
            <w:r/>
            <w:r>
              <w:rPr>
                <w:sz w:val="13"/>
              </w:rPr>
              <w:t>Following the wrong runbook yields a stack whose ports do not match the tunnel ingress, and a database major version that differs from production.</w:t>
            </w:r>
          </w:p>
        </w:tc>
        <w:tc>
          <w:tcPr>
            <w:tcW w:type="dxa" w:w="1944"/>
          </w:tcPr>
          <w:p>
            <w:pPr>
              <w:spacing w:after="0"/>
            </w:pPr>
            <w:r/>
            <w:r>
              <w:rPr>
                <w:sz w:val="13"/>
              </w:rPr>
              <w:t>Make infra/containers/compose.prod.yml the only deployment stack; retire or clearly mark the legacy compose files.</w:t>
            </w:r>
          </w:p>
        </w:tc>
      </w:tr>
      <w:tr>
        <w:trPr>
          <w:cantSplit/>
        </w:trPr>
        <w:tc>
          <w:tcPr>
            <w:tcW w:type="dxa" w:w="648"/>
          </w:tcPr>
          <w:p>
            <w:pPr>
              <w:spacing w:after="0"/>
            </w:pPr>
            <w:r/>
            <w:r>
              <w:rPr>
                <w:sz w:val="13"/>
              </w:rPr>
              <w:t>F-11</w:t>
            </w:r>
          </w:p>
        </w:tc>
        <w:tc>
          <w:tcPr>
            <w:tcW w:type="dxa" w:w="1080"/>
          </w:tcPr>
          <w:p>
            <w:pPr>
              <w:spacing w:after="0"/>
            </w:pPr>
            <w:r/>
            <w:r>
              <w:rPr>
                <w:sz w:val="13"/>
              </w:rPr>
              <w:t>Low</w:t>
            </w:r>
          </w:p>
        </w:tc>
        <w:tc>
          <w:tcPr>
            <w:tcW w:type="dxa" w:w="1296"/>
          </w:tcPr>
          <w:p>
            <w:pPr>
              <w:spacing w:after="0"/>
            </w:pPr>
            <w:r/>
            <w:r>
              <w:rPr>
                <w:sz w:val="13"/>
              </w:rPr>
              <w:t>Deployment</w:t>
            </w:r>
          </w:p>
        </w:tc>
        <w:tc>
          <w:tcPr>
            <w:tcW w:type="dxa" w:w="2520"/>
          </w:tcPr>
          <w:p>
            <w:pPr>
              <w:spacing w:after="0"/>
            </w:pPr>
            <w:r/>
            <w:r>
              <w:rPr>
                <w:sz w:val="13"/>
              </w:rPr>
              <w:t>Frontend nginx proxy resolves the backend per request but only when the DNS resolver is reachable at start-up</w:t>
            </w:r>
          </w:p>
        </w:tc>
        <w:tc>
          <w:tcPr>
            <w:tcW w:type="dxa" w:w="3744"/>
          </w:tcPr>
          <w:p>
            <w:pPr>
              <w:spacing w:after="0"/>
            </w:pPr>
            <w:r/>
            <w:r>
              <w:rPr>
                <w:sz w:val="13"/>
              </w:rPr>
              <w:t>apps/erp/deploy/nginx-entrypoint.sh reads the first nameserver from /etc/resolv.conf and exits non-zero if it is absent; the config is generated at container start.</w:t>
            </w:r>
          </w:p>
        </w:tc>
        <w:tc>
          <w:tcPr>
            <w:tcW w:type="dxa" w:w="2880"/>
          </w:tcPr>
          <w:p>
            <w:pPr>
              <w:spacing w:after="0"/>
            </w:pPr>
            <w:r/>
            <w:r>
              <w:rPr>
                <w:sz w:val="13"/>
              </w:rPr>
              <w:t>In a runtime whose resolv.conf is generated after the entrypoint (or absent), the container exits instead of degrading.</w:t>
            </w:r>
          </w:p>
        </w:tc>
        <w:tc>
          <w:tcPr>
            <w:tcW w:type="dxa" w:w="1944"/>
          </w:tcPr>
          <w:p>
            <w:pPr>
              <w:spacing w:after="0"/>
            </w:pPr>
            <w:r/>
            <w:r>
              <w:rPr>
                <w:sz w:val="13"/>
              </w:rPr>
              <w:t>Document the dependency, or fall back to a literal upstream with a reload-on-change watcher.</w:t>
            </w:r>
          </w:p>
        </w:tc>
      </w:tr>
      <w:tr>
        <w:trPr>
          <w:cantSplit/>
        </w:trPr>
        <w:tc>
          <w:tcPr>
            <w:tcW w:type="dxa" w:w="648"/>
          </w:tcPr>
          <w:p>
            <w:pPr>
              <w:spacing w:after="0"/>
            </w:pPr>
            <w:r/>
            <w:r>
              <w:rPr>
                <w:sz w:val="13"/>
              </w:rPr>
              <w:t>F-12</w:t>
            </w:r>
          </w:p>
        </w:tc>
        <w:tc>
          <w:tcPr>
            <w:tcW w:type="dxa" w:w="1080"/>
          </w:tcPr>
          <w:p>
            <w:pPr>
              <w:spacing w:after="0"/>
            </w:pPr>
            <w:r/>
            <w:r>
              <w:rPr>
                <w:sz w:val="13"/>
              </w:rPr>
              <w:t>Medium</w:t>
            </w:r>
          </w:p>
        </w:tc>
        <w:tc>
          <w:tcPr>
            <w:tcW w:type="dxa" w:w="1296"/>
          </w:tcPr>
          <w:p>
            <w:pPr>
              <w:spacing w:after="0"/>
            </w:pPr>
            <w:r/>
            <w:r>
              <w:rPr>
                <w:sz w:val="13"/>
              </w:rPr>
              <w:t>Security</w:t>
            </w:r>
          </w:p>
        </w:tc>
        <w:tc>
          <w:tcPr>
            <w:tcW w:type="dxa" w:w="2520"/>
          </w:tcPr>
          <w:p>
            <w:pPr>
              <w:spacing w:after="0"/>
            </w:pPr>
            <w:r/>
            <w:r>
              <w:rPr>
                <w:sz w:val="13"/>
              </w:rPr>
              <w:t>The B2B proxy forwards the auth cookie but the API also accepts a bearer token from any origin</w:t>
            </w:r>
          </w:p>
        </w:tc>
        <w:tc>
          <w:tcPr>
            <w:tcW w:type="dxa" w:w="3744"/>
          </w:tcPr>
          <w:p>
            <w:pPr>
              <w:spacing w:after="0"/>
            </w:pPr>
            <w:r/>
            <w:r>
              <w:rPr>
                <w:sz w:val="13"/>
              </w:rPr>
              <w:t>apps/b2b/server/api/v1/[...path].ts copies the km_auth_token cookie into an Authorization header; the backend's CORS default is '*' (pkg/config), which allows any site to call the API with a token it already holds.</w:t>
            </w:r>
          </w:p>
        </w:tc>
        <w:tc>
          <w:tcPr>
            <w:tcW w:type="dxa" w:w="2880"/>
          </w:tcPr>
          <w:p>
            <w:pPr>
              <w:spacing w:after="0"/>
            </w:pPr>
            <w:r/>
            <w:r>
              <w:rPr>
                <w:sz w:val="13"/>
              </w:rPr>
              <w:t>Not a direct compromise (the attacker still needs a token), but it removes the origin boundary that would otherwise limit token replay from a compromised page.</w:t>
            </w:r>
          </w:p>
        </w:tc>
        <w:tc>
          <w:tcPr>
            <w:tcW w:type="dxa" w:w="1944"/>
          </w:tcPr>
          <w:p>
            <w:pPr>
              <w:spacing w:after="0"/>
            </w:pPr>
            <w:r/>
            <w:r>
              <w:rPr>
                <w:sz w:val="13"/>
              </w:rPr>
              <w:t>Set CORS_ORIGINS explicitly in production to the four public hostnames.</w:t>
            </w:r>
          </w:p>
        </w:tc>
      </w:tr>
      <w:tr>
        <w:trPr>
          <w:cantSplit/>
        </w:trPr>
        <w:tc>
          <w:tcPr>
            <w:tcW w:type="dxa" w:w="648"/>
          </w:tcPr>
          <w:p>
            <w:pPr>
              <w:spacing w:after="0"/>
            </w:pPr>
            <w:r/>
            <w:r>
              <w:rPr>
                <w:sz w:val="13"/>
              </w:rPr>
              <w:t>F-13</w:t>
            </w:r>
          </w:p>
        </w:tc>
        <w:tc>
          <w:tcPr>
            <w:tcW w:type="dxa" w:w="1080"/>
          </w:tcPr>
          <w:p>
            <w:pPr>
              <w:spacing w:after="0"/>
            </w:pPr>
            <w:r/>
            <w:r>
              <w:rPr>
                <w:sz w:val="13"/>
              </w:rPr>
              <w:t>Informational</w:t>
            </w:r>
          </w:p>
        </w:tc>
        <w:tc>
          <w:tcPr>
            <w:tcW w:type="dxa" w:w="1296"/>
          </w:tcPr>
          <w:p>
            <w:pPr>
              <w:spacing w:after="0"/>
            </w:pPr>
            <w:r/>
            <w:r>
              <w:rPr>
                <w:sz w:val="13"/>
              </w:rPr>
              <w:t>Observability</w:t>
            </w:r>
          </w:p>
        </w:tc>
        <w:tc>
          <w:tcPr>
            <w:tcW w:type="dxa" w:w="2520"/>
          </w:tcPr>
          <w:p>
            <w:pPr>
              <w:spacing w:after="0"/>
            </w:pPr>
            <w:r/>
            <w:r>
              <w:rPr>
                <w:sz w:val="13"/>
              </w:rPr>
              <w:t>Unknown X-Request-Id values are silently replaced instead of rejected</w:t>
            </w:r>
          </w:p>
        </w:tc>
        <w:tc>
          <w:tcPr>
            <w:tcW w:type="dxa" w:w="3744"/>
          </w:tcPr>
          <w:p>
            <w:pPr>
              <w:spacing w:after="0"/>
            </w:pPr>
            <w:r/>
            <w:r>
              <w:rPr>
                <w:sz w:val="13"/>
              </w:rPr>
              <w:t>pkg/middleware/requestid.go:isValidRequestID replaces a client-supplied ID that fails the allowlist.</w:t>
            </w:r>
          </w:p>
        </w:tc>
        <w:tc>
          <w:tcPr>
            <w:tcW w:type="dxa" w:w="2880"/>
          </w:tcPr>
          <w:p>
            <w:pPr>
              <w:spacing w:after="0"/>
            </w:pPr>
            <w:r/>
            <w:r>
              <w:rPr>
                <w:sz w:val="13"/>
              </w:rPr>
              <w:t>Client-side correlation IDs disappear without a signal, making cross-system tracing harder during an incident.</w:t>
            </w:r>
          </w:p>
        </w:tc>
        <w:tc>
          <w:tcPr>
            <w:tcW w:type="dxa" w:w="1944"/>
          </w:tcPr>
          <w:p>
            <w:pPr>
              <w:spacing w:after="0"/>
            </w:pPr>
            <w:r/>
            <w:r>
              <w:rPr>
                <w:sz w:val="13"/>
              </w:rPr>
              <w:t>Log a debug line when a supplied ID is discarded.</w:t>
            </w:r>
          </w:p>
        </w:tc>
      </w:tr>
      <w:tr>
        <w:trPr>
          <w:cantSplit/>
        </w:trPr>
        <w:tc>
          <w:tcPr>
            <w:tcW w:type="dxa" w:w="648"/>
          </w:tcPr>
          <w:p>
            <w:pPr>
              <w:spacing w:after="0"/>
            </w:pPr>
            <w:r/>
            <w:r>
              <w:rPr>
                <w:sz w:val="13"/>
              </w:rPr>
              <w:t>F-14</w:t>
            </w:r>
          </w:p>
        </w:tc>
        <w:tc>
          <w:tcPr>
            <w:tcW w:type="dxa" w:w="1080"/>
          </w:tcPr>
          <w:p>
            <w:pPr>
              <w:spacing w:after="0"/>
            </w:pPr>
            <w:r/>
            <w:r>
              <w:rPr>
                <w:sz w:val="13"/>
              </w:rPr>
              <w:t>Medium</w:t>
            </w:r>
          </w:p>
        </w:tc>
        <w:tc>
          <w:tcPr>
            <w:tcW w:type="dxa" w:w="1296"/>
          </w:tcPr>
          <w:p>
            <w:pPr>
              <w:spacing w:after="0"/>
            </w:pPr>
            <w:r/>
            <w:r>
              <w:rPr>
                <w:sz w:val="13"/>
              </w:rPr>
              <w:t>Financial correctness</w:t>
            </w:r>
          </w:p>
        </w:tc>
        <w:tc>
          <w:tcPr>
            <w:tcW w:type="dxa" w:w="2520"/>
          </w:tcPr>
          <w:p>
            <w:pPr>
              <w:spacing w:after="0"/>
            </w:pPr>
            <w:r/>
            <w:r>
              <w:rPr>
                <w:sz w:val="13"/>
              </w:rPr>
              <w:t>Idempotency is mandatory on money endpoints but the ERP client mints a random key by default</w:t>
            </w:r>
          </w:p>
        </w:tc>
        <w:tc>
          <w:tcPr>
            <w:tcW w:type="dxa" w:w="3744"/>
          </w:tcPr>
          <w:p>
            <w:pPr>
              <w:spacing w:after="0"/>
            </w:pPr>
            <w:r/>
            <w:r>
              <w:rPr>
                <w:sz w:val="13"/>
              </w:rPr>
              <w:t>apps/erp/src/services/http.js injects `idem-fallback-&lt;ts&gt;-&lt;rand&gt;` on every POST/PUT/PATCH that carries no key, and its own comment says a key minted there is unique per request so the server's dedup branch can never fire. Money call sites that use services/idempotency.js (keyFor/settle, covered by 12 unit tests) are protected; the fallback exists for the ones that are not migrated yet and logs a development warning naming each.</w:t>
            </w:r>
          </w:p>
        </w:tc>
        <w:tc>
          <w:tcPr>
            <w:tcW w:type="dxa" w:w="2880"/>
          </w:tcPr>
          <w:p>
            <w:pPr>
              <w:spacing w:after="0"/>
            </w:pPr>
            <w:r/>
            <w:r>
              <w:rPr>
                <w:sz w:val="13"/>
              </w:rPr>
              <w:t>A double-clicked form on an unmigrated call site still posts twice, and the protection is invisible in production because the warning only prints in development.</w:t>
            </w:r>
          </w:p>
        </w:tc>
        <w:tc>
          <w:tcPr>
            <w:tcW w:type="dxa" w:w="1944"/>
          </w:tcPr>
          <w:p>
            <w:pPr>
              <w:spacing w:after="0"/>
            </w:pPr>
            <w:r/>
            <w:r>
              <w:rPr>
                <w:sz w:val="13"/>
              </w:rPr>
              <w:t>Make the fallback fail loudly in development (throw) and enumerate the unmigrated call sites as a checklist.</w:t>
            </w:r>
          </w:p>
        </w:tc>
      </w:tr>
      <w:tr>
        <w:trPr>
          <w:cantSplit/>
        </w:trPr>
        <w:tc>
          <w:tcPr>
            <w:tcW w:type="dxa" w:w="648"/>
          </w:tcPr>
          <w:p>
            <w:pPr>
              <w:spacing w:after="0"/>
            </w:pPr>
            <w:r/>
            <w:r>
              <w:rPr>
                <w:sz w:val="13"/>
              </w:rPr>
              <w:t>F-15</w:t>
            </w:r>
          </w:p>
        </w:tc>
        <w:tc>
          <w:tcPr>
            <w:tcW w:type="dxa" w:w="1080"/>
          </w:tcPr>
          <w:p>
            <w:pPr>
              <w:spacing w:after="0"/>
            </w:pPr>
            <w:r/>
            <w:r>
              <w:rPr>
                <w:sz w:val="13"/>
              </w:rPr>
              <w:t>Low</w:t>
            </w:r>
          </w:p>
        </w:tc>
        <w:tc>
          <w:tcPr>
            <w:tcW w:type="dxa" w:w="1296"/>
          </w:tcPr>
          <w:p>
            <w:pPr>
              <w:spacing w:after="0"/>
            </w:pPr>
            <w:r/>
            <w:r>
              <w:rPr>
                <w:sz w:val="13"/>
              </w:rPr>
              <w:t>Reports</w:t>
            </w:r>
          </w:p>
        </w:tc>
        <w:tc>
          <w:tcPr>
            <w:tcW w:type="dxa" w:w="2520"/>
          </w:tcPr>
          <w:p>
            <w:pPr>
              <w:spacing w:after="0"/>
            </w:pPr>
            <w:r/>
            <w:r>
              <w:rPr>
                <w:sz w:val="13"/>
              </w:rPr>
              <w:t>Report template table is empty on a schema that was created without running the seed migrations in one transaction</w:t>
            </w:r>
          </w:p>
        </w:tc>
        <w:tc>
          <w:tcPr>
            <w:tcW w:type="dxa" w:w="3744"/>
          </w:tcPr>
          <w:p>
            <w:pPr>
              <w:spacing w:after="0"/>
            </w:pPr>
            <w:r/>
            <w:r>
              <w:rPr>
                <w:sz w:val="13"/>
              </w:rPr>
              <w:t>report_templates rows are seeded by migrations 000064-000069/073/074/088. Any TRUNCATE ... CASCADE that reaches users also truncates report_templates (created_by FK), which was observed on the audit database; a fresh migrate-only database has 22 rows.</w:t>
            </w:r>
          </w:p>
        </w:tc>
        <w:tc>
          <w:tcPr>
            <w:tcW w:type="dxa" w:w="2880"/>
          </w:tcPr>
          <w:p>
            <w:pPr>
              <w:spacing w:after="0"/>
            </w:pPr>
            <w:r/>
            <w:r>
              <w:rPr>
                <w:sz w:val="13"/>
              </w:rPr>
              <w:t>PDF/HTML rendering returns 404 'Active template not found' with no hint that the cause is missing seed rows.</w:t>
            </w:r>
          </w:p>
        </w:tc>
        <w:tc>
          <w:tcPr>
            <w:tcW w:type="dxa" w:w="1944"/>
          </w:tcPr>
          <w:p>
            <w:pPr>
              <w:spacing w:after="0"/>
            </w:pPr>
            <w:r/>
            <w:r>
              <w:rPr>
                <w:sz w:val="13"/>
              </w:rPr>
              <w:t>Add a startup check (or a health detail) that reports the number of active templates per report code.</w:t>
            </w:r>
          </w:p>
        </w:tc>
      </w:tr>
      <w:tr>
        <w:trPr>
          <w:cantSplit/>
        </w:trPr>
        <w:tc>
          <w:tcPr>
            <w:tcW w:type="dxa" w:w="648"/>
          </w:tcPr>
          <w:p>
            <w:pPr>
              <w:spacing w:after="0"/>
            </w:pPr>
            <w:r/>
            <w:r>
              <w:rPr>
                <w:sz w:val="13"/>
              </w:rPr>
              <w:t>F-16</w:t>
            </w:r>
          </w:p>
        </w:tc>
        <w:tc>
          <w:tcPr>
            <w:tcW w:type="dxa" w:w="1080"/>
          </w:tcPr>
          <w:p>
            <w:pPr>
              <w:spacing w:after="0"/>
            </w:pPr>
            <w:r/>
            <w:r>
              <w:rPr>
                <w:sz w:val="13"/>
              </w:rPr>
              <w:t>Informational</w:t>
            </w:r>
          </w:p>
        </w:tc>
        <w:tc>
          <w:tcPr>
            <w:tcW w:type="dxa" w:w="1296"/>
          </w:tcPr>
          <w:p>
            <w:pPr>
              <w:spacing w:after="0"/>
            </w:pPr>
            <w:r/>
            <w:r>
              <w:rPr>
                <w:sz w:val="13"/>
              </w:rPr>
              <w:t>Deployment</w:t>
            </w:r>
          </w:p>
        </w:tc>
        <w:tc>
          <w:tcPr>
            <w:tcW w:type="dxa" w:w="2520"/>
          </w:tcPr>
          <w:p>
            <w:pPr>
              <w:spacing w:after="0"/>
            </w:pPr>
            <w:r/>
            <w:r>
              <w:rPr>
                <w:sz w:val="13"/>
              </w:rPr>
              <w:t>Cloudflare ingress and host ports are documented but not verifiable from the repository</w:t>
            </w:r>
          </w:p>
        </w:tc>
        <w:tc>
          <w:tcPr>
            <w:tcW w:type="dxa" w:w="3744"/>
          </w:tcPr>
          <w:p>
            <w:pPr>
              <w:spacing w:after="0"/>
            </w:pPr>
            <w:r/>
            <w:r>
              <w:rPr>
                <w:sz w:val="13"/>
              </w:rPr>
              <w:t>docs/deployment/cloudflare-tunnel.md fixes erp 3001, b2b 3002, pos 3003, api 3004. No cloudflared config.yml is committed (correctly, since it carries the tunnel UUID and credentials).</w:t>
            </w:r>
          </w:p>
        </w:tc>
        <w:tc>
          <w:tcPr>
            <w:tcW w:type="dxa" w:w="2880"/>
          </w:tcPr>
          <w:p>
            <w:pPr>
              <w:spacing w:after="0"/>
            </w:pPr>
            <w:r/>
            <w:r>
              <w:rPr>
                <w:sz w:val="13"/>
              </w:rPr>
              <w:t>A port change in compose silently breaks a hostname until someone reads the tunnel dashboard.</w:t>
            </w:r>
          </w:p>
        </w:tc>
        <w:tc>
          <w:tcPr>
            <w:tcW w:type="dxa" w:w="1944"/>
          </w:tcPr>
          <w:p>
            <w:pPr>
              <w:spacing w:after="0"/>
            </w:pPr>
            <w:r/>
            <w:r>
              <w:rPr>
                <w:sz w:val="13"/>
              </w:rPr>
              <w:t>Keep the mapping in one place (an env file consumed by compose and referenced by the runbook).</w:t>
            </w:r>
          </w:p>
        </w:tc>
      </w:tr>
      <w:tr>
        <w:trPr>
          <w:cantSplit/>
        </w:trPr>
        <w:tc>
          <w:tcPr>
            <w:tcW w:type="dxa" w:w="648"/>
          </w:tcPr>
          <w:p>
            <w:pPr>
              <w:spacing w:after="0"/>
            </w:pPr>
            <w:r/>
            <w:r>
              <w:rPr>
                <w:sz w:val="13"/>
              </w:rPr>
              <w:t>F-17</w:t>
            </w:r>
          </w:p>
        </w:tc>
        <w:tc>
          <w:tcPr>
            <w:tcW w:type="dxa" w:w="1080"/>
          </w:tcPr>
          <w:p>
            <w:pPr>
              <w:spacing w:after="0"/>
            </w:pPr>
            <w:r/>
            <w:r>
              <w:rPr>
                <w:sz w:val="13"/>
              </w:rPr>
              <w:t>Medium</w:t>
            </w:r>
          </w:p>
        </w:tc>
        <w:tc>
          <w:tcPr>
            <w:tcW w:type="dxa" w:w="1296"/>
          </w:tcPr>
          <w:p>
            <w:pPr>
              <w:spacing w:after="0"/>
            </w:pPr>
            <w:r/>
            <w:r>
              <w:rPr>
                <w:sz w:val="13"/>
              </w:rPr>
              <w:t>Documentation</w:t>
            </w:r>
          </w:p>
        </w:tc>
        <w:tc>
          <w:tcPr>
            <w:tcW w:type="dxa" w:w="2520"/>
          </w:tcPr>
          <w:p>
            <w:pPr>
              <w:spacing w:after="0"/>
            </w:pPr>
            <w:r/>
            <w:r>
              <w:rPr>
                <w:sz w:val="13"/>
              </w:rPr>
              <w:t>POS has no offline transaction queue despite 'offline-first' claims in the overview</w:t>
            </w:r>
          </w:p>
        </w:tc>
        <w:tc>
          <w:tcPr>
            <w:tcW w:type="dxa" w:w="3744"/>
          </w:tcPr>
          <w:p>
            <w:pPr>
              <w:spacing w:after="0"/>
            </w:pPr>
            <w:r/>
            <w:r>
              <w:rPr>
                <w:sz w:val="13"/>
              </w:rPr>
              <w:t>docs/architecture/overview.md and apps/pos/AGENTS.md describe an offline queue; no service worker, IndexedDB queue or pending-sync code exists under apps/pos/src (only localStorage caches for settings/session).</w:t>
            </w:r>
          </w:p>
        </w:tc>
        <w:tc>
          <w:tcPr>
            <w:tcW w:type="dxa" w:w="2880"/>
          </w:tcPr>
          <w:p>
            <w:pPr>
              <w:spacing w:after="0"/>
            </w:pPr>
            <w:r/>
            <w:r>
              <w:rPr>
                <w:sz w:val="13"/>
              </w:rPr>
              <w:t>Cashiers may assume sales survive a network drop; they do not. A dropped request is simply lost.</w:t>
            </w:r>
          </w:p>
        </w:tc>
        <w:tc>
          <w:tcPr>
            <w:tcW w:type="dxa" w:w="1944"/>
          </w:tcPr>
          <w:p>
            <w:pPr>
              <w:spacing w:after="0"/>
            </w:pPr>
            <w:r/>
            <w:r>
              <w:rPr>
                <w:sz w:val="13"/>
              </w:rPr>
              <w:t>Either implement the queue or correct the documentation to state that POS requires connectivity.</w:t>
            </w:r>
          </w:p>
        </w:tc>
      </w:tr>
      <w:tr>
        <w:trPr>
          <w:cantSplit/>
        </w:trPr>
        <w:tc>
          <w:tcPr>
            <w:tcW w:type="dxa" w:w="648"/>
          </w:tcPr>
          <w:p>
            <w:pPr>
              <w:spacing w:after="0"/>
            </w:pPr>
            <w:r/>
            <w:r>
              <w:rPr>
                <w:sz w:val="13"/>
              </w:rPr>
              <w:t>F-18</w:t>
            </w:r>
          </w:p>
        </w:tc>
        <w:tc>
          <w:tcPr>
            <w:tcW w:type="dxa" w:w="1080"/>
          </w:tcPr>
          <w:p>
            <w:pPr>
              <w:spacing w:after="0"/>
            </w:pPr>
            <w:r/>
            <w:r>
              <w:rPr>
                <w:sz w:val="13"/>
              </w:rPr>
              <w:t>Informational</w:t>
            </w:r>
          </w:p>
        </w:tc>
        <w:tc>
          <w:tcPr>
            <w:tcW w:type="dxa" w:w="1296"/>
          </w:tcPr>
          <w:p>
            <w:pPr>
              <w:spacing w:after="0"/>
            </w:pPr>
            <w:r/>
            <w:r>
              <w:rPr>
                <w:sz w:val="13"/>
              </w:rPr>
              <w:t>Build hygiene</w:t>
            </w:r>
          </w:p>
        </w:tc>
        <w:tc>
          <w:tcPr>
            <w:tcW w:type="dxa" w:w="2520"/>
          </w:tcPr>
          <w:p>
            <w:pPr>
              <w:spacing w:after="0"/>
            </w:pPr>
            <w:r/>
            <w:r>
              <w:rPr>
                <w:sz w:val="13"/>
              </w:rPr>
              <w:t>Frontend builds are shipped from the repo's local dist/.output directories</w:t>
            </w:r>
          </w:p>
        </w:tc>
        <w:tc>
          <w:tcPr>
            <w:tcW w:type="dxa" w:w="3744"/>
          </w:tcPr>
          <w:p>
            <w:pPr>
              <w:spacing w:after="0"/>
            </w:pPr>
            <w:r/>
            <w:r>
              <w:rPr>
                <w:sz w:val="13"/>
              </w:rPr>
              <w:t>apps/erp/dist, apps/pos/dist and apps/b2b/.output exist in the working tree (gitignored) and were used by the local test runs; the Dockerfiles rebuild from source.</w:t>
            </w:r>
          </w:p>
        </w:tc>
        <w:tc>
          <w:tcPr>
            <w:tcW w:type="dxa" w:w="2880"/>
          </w:tcPr>
          <w:p>
            <w:pPr>
              <w:spacing w:after="0"/>
            </w:pPr>
            <w:r/>
            <w:r>
              <w:rPr>
                <w:sz w:val="13"/>
              </w:rPr>
              <w:t>A stale local build can be mistaken for the deployed artifact during a demo.</w:t>
            </w:r>
          </w:p>
        </w:tc>
        <w:tc>
          <w:tcPr>
            <w:tcW w:type="dxa" w:w="1944"/>
          </w:tcPr>
          <w:p>
            <w:pPr>
              <w:spacing w:after="0"/>
            </w:pPr>
            <w:r/>
            <w:r>
              <w:rPr>
                <w:sz w:val="13"/>
              </w:rPr>
              <w:t>Keep using the GHCR images as the deployment source of truth; never copy dist/ to a server.</w:t>
            </w:r>
          </w:p>
        </w:tc>
      </w:tr>
      <w:tr>
        <w:trPr>
          <w:cantSplit/>
        </w:trPr>
        <w:tc>
          <w:tcPr>
            <w:tcW w:type="dxa" w:w="648"/>
          </w:tcPr>
          <w:p>
            <w:pPr>
              <w:spacing w:after="0"/>
            </w:pPr>
            <w:r/>
            <w:r>
              <w:rPr>
                <w:sz w:val="13"/>
              </w:rPr>
              <w:t>F-19</w:t>
            </w:r>
          </w:p>
        </w:tc>
        <w:tc>
          <w:tcPr>
            <w:tcW w:type="dxa" w:w="1080"/>
          </w:tcPr>
          <w:p>
            <w:pPr>
              <w:spacing w:after="0"/>
            </w:pPr>
            <w:r/>
            <w:r>
              <w:rPr>
                <w:sz w:val="13"/>
              </w:rPr>
              <w:t>Low</w:t>
            </w:r>
          </w:p>
        </w:tc>
        <w:tc>
          <w:tcPr>
            <w:tcW w:type="dxa" w:w="1296"/>
          </w:tcPr>
          <w:p>
            <w:pPr>
              <w:spacing w:after="0"/>
            </w:pPr>
            <w:r/>
            <w:r>
              <w:rPr>
                <w:sz w:val="13"/>
              </w:rPr>
              <w:t>Database tooling</w:t>
            </w:r>
          </w:p>
        </w:tc>
        <w:tc>
          <w:tcPr>
            <w:tcW w:type="dxa" w:w="2520"/>
          </w:tcPr>
          <w:p>
            <w:pPr>
              <w:spacing w:after="0"/>
            </w:pPr>
            <w:r/>
            <w:r>
              <w:rPr>
                <w:sz w:val="13"/>
              </w:rPr>
              <w:t>sqlc schema snapshot lags the migration set</w:t>
            </w:r>
          </w:p>
        </w:tc>
        <w:tc>
          <w:tcPr>
            <w:tcW w:type="dxa" w:w="3744"/>
          </w:tcPr>
          <w:p>
            <w:pPr>
              <w:spacing w:after="0"/>
            </w:pPr>
            <w:r/>
            <w:r>
              <w:rPr>
                <w:sz w:val="13"/>
              </w:rPr>
              <w:t>apps/backend/db/schema.sql declares 86 tables; the migrated schema has 92. report_templates, sales_targets, ticket_comments, tickets, warehouse_deposits and schema_migrations are missing, so those modules use hand-written SQL.</w:t>
            </w:r>
          </w:p>
        </w:tc>
        <w:tc>
          <w:tcPr>
            <w:tcW w:type="dxa" w:w="2880"/>
          </w:tcPr>
          <w:p>
            <w:pPr>
              <w:spacing w:after="0"/>
            </w:pPr>
            <w:r/>
            <w:r>
              <w:rPr>
                <w:sz w:val="13"/>
              </w:rPr>
              <w:t>Running `sqlc generate` cannot type-check queries against the newer tables, which pushes new code toward untyped raw SQL.</w:t>
            </w:r>
          </w:p>
        </w:tc>
        <w:tc>
          <w:tcPr>
            <w:tcW w:type="dxa" w:w="1944"/>
          </w:tcPr>
          <w:p>
            <w:pPr>
              <w:spacing w:after="0"/>
            </w:pPr>
            <w:r/>
            <w:r>
              <w:rPr>
                <w:sz w:val="13"/>
              </w:rPr>
              <w:t>Refresh db/schema.sql from the migrated database and add the missing queries to db/query.</w:t>
            </w:r>
          </w:p>
        </w:tc>
      </w:tr>
      <w:tr>
        <w:trPr>
          <w:cantSplit/>
        </w:trPr>
        <w:tc>
          <w:tcPr>
            <w:tcW w:type="dxa" w:w="648"/>
          </w:tcPr>
          <w:p>
            <w:pPr>
              <w:spacing w:after="0"/>
            </w:pPr>
            <w:r/>
            <w:r>
              <w:rPr>
                <w:sz w:val="13"/>
              </w:rPr>
              <w:t>F-20</w:t>
            </w:r>
          </w:p>
        </w:tc>
        <w:tc>
          <w:tcPr>
            <w:tcW w:type="dxa" w:w="1080"/>
          </w:tcPr>
          <w:p>
            <w:pPr>
              <w:spacing w:after="0"/>
            </w:pPr>
            <w:r/>
            <w:r>
              <w:rPr>
                <w:sz w:val="13"/>
              </w:rPr>
              <w:t>Informational</w:t>
            </w:r>
          </w:p>
        </w:tc>
        <w:tc>
          <w:tcPr>
            <w:tcW w:type="dxa" w:w="1296"/>
          </w:tcPr>
          <w:p>
            <w:pPr>
              <w:spacing w:after="0"/>
            </w:pPr>
            <w:r/>
            <w:r>
              <w:rPr>
                <w:sz w:val="13"/>
              </w:rPr>
              <w:t>Documentation</w:t>
            </w:r>
          </w:p>
        </w:tc>
        <w:tc>
          <w:tcPr>
            <w:tcW w:type="dxa" w:w="2520"/>
          </w:tcPr>
          <w:p>
            <w:pPr>
              <w:spacing w:after="0"/>
            </w:pPr>
            <w:r/>
            <w:r>
              <w:rPr>
                <w:sz w:val="13"/>
              </w:rPr>
              <w:t>The ERD/route inventories and this document are generated, but no CI job regenerates them</w:t>
            </w:r>
          </w:p>
        </w:tc>
        <w:tc>
          <w:tcPr>
            <w:tcW w:type="dxa" w:w="3744"/>
          </w:tcPr>
          <w:p>
            <w:pPr>
              <w:spacing w:after="0"/>
            </w:pPr>
            <w:r/>
            <w:r>
              <w:rPr>
                <w:sz w:val="13"/>
              </w:rPr>
              <w:t>docs/docgen/build_doc.py and docs/diagrams/gen_erd.py reproduce this document; .github/workflows/ci.yml does not run them.</w:t>
            </w:r>
          </w:p>
        </w:tc>
        <w:tc>
          <w:tcPr>
            <w:tcW w:type="dxa" w:w="2880"/>
          </w:tcPr>
          <w:p>
            <w:pPr>
              <w:spacing w:after="0"/>
            </w:pPr>
            <w:r/>
            <w:r>
              <w:rPr>
                <w:sz w:val="13"/>
              </w:rPr>
              <w:t>The document can silently drift from the code it describes.</w:t>
            </w:r>
          </w:p>
        </w:tc>
        <w:tc>
          <w:tcPr>
            <w:tcW w:type="dxa" w:w="1944"/>
          </w:tcPr>
          <w:p>
            <w:pPr>
              <w:spacing w:after="0"/>
            </w:pPr>
            <w:r/>
            <w:r>
              <w:rPr>
                <w:sz w:val="13"/>
              </w:rPr>
              <w:t>Add a scheduled job that regenerates the inventories and fails on a diff.</w:t>
            </w:r>
          </w:p>
        </w:tc>
      </w:tr>
      <w:tr>
        <w:trPr>
          <w:cantSplit/>
        </w:trPr>
        <w:tc>
          <w:tcPr>
            <w:tcW w:type="dxa" w:w="648"/>
          </w:tcPr>
          <w:p>
            <w:pPr>
              <w:spacing w:after="0"/>
            </w:pPr>
            <w:r/>
            <w:r>
              <w:rPr>
                <w:sz w:val="13"/>
              </w:rPr>
              <w:t>F-21</w:t>
            </w:r>
          </w:p>
        </w:tc>
        <w:tc>
          <w:tcPr>
            <w:tcW w:type="dxa" w:w="1080"/>
          </w:tcPr>
          <w:p>
            <w:pPr>
              <w:spacing w:after="0"/>
            </w:pPr>
            <w:r/>
            <w:r>
              <w:rPr>
                <w:sz w:val="13"/>
              </w:rPr>
              <w:t>Medium</w:t>
            </w:r>
          </w:p>
        </w:tc>
        <w:tc>
          <w:tcPr>
            <w:tcW w:type="dxa" w:w="1296"/>
          </w:tcPr>
          <w:p>
            <w:pPr>
              <w:spacing w:after="0"/>
            </w:pPr>
            <w:r/>
            <w:r>
              <w:rPr>
                <w:sz w:val="13"/>
              </w:rPr>
              <w:t>API contract</w:t>
            </w:r>
          </w:p>
        </w:tc>
        <w:tc>
          <w:tcPr>
            <w:tcW w:type="dxa" w:w="2520"/>
          </w:tcPr>
          <w:p>
            <w:pPr>
              <w:spacing w:after="0"/>
            </w:pPr>
            <w:r/>
            <w:r>
              <w:rPr>
                <w:sz w:val="13"/>
              </w:rPr>
              <w:t>OpenAPI RoleName enum lists 8 roles while the backend validates 16</w:t>
            </w:r>
          </w:p>
        </w:tc>
        <w:tc>
          <w:tcPr>
            <w:tcW w:type="dxa" w:w="3744"/>
          </w:tcPr>
          <w:p>
            <w:pPr>
              <w:spacing w:after="0"/>
            </w:pPr>
            <w:r/>
            <w:r>
              <w:rPr>
                <w:sz w:val="13"/>
              </w:rPr>
              <w:t>apps/backend/docs/openapi.yaml components.schemas.RoleName enumerates admin, sales, finance, warehouse, hr_manager, hr_staff, employee, system. internal/auth/model.go AllRoles has 16 (adds owner, gm, bm, spv, store_manager, cashier, buyer and finance_head to the eight listed).</w:t>
            </w:r>
          </w:p>
        </w:tc>
        <w:tc>
          <w:tcPr>
            <w:tcW w:type="dxa" w:w="2880"/>
          </w:tcPr>
          <w:p>
            <w:pPr>
              <w:spacing w:after="0"/>
            </w:pPr>
            <w:r/>
            <w:r>
              <w:rPr>
                <w:sz w:val="13"/>
              </w:rPr>
              <w:t>Generated clients validate against a role set that rejects every outlet-level role, so typed clients cannot represent a store_manager or cashier user.</w:t>
            </w:r>
          </w:p>
        </w:tc>
        <w:tc>
          <w:tcPr>
            <w:tcW w:type="dxa" w:w="1944"/>
          </w:tcPr>
          <w:p>
            <w:pPr>
              <w:spacing w:after="0"/>
            </w:pPr>
            <w:r/>
            <w:r>
              <w:rPr>
                <w:sz w:val="13"/>
              </w:rPr>
              <w:t>Regenerate the enum from AllRoles in the same script that writes packages/permissions.</w:t>
            </w:r>
          </w:p>
        </w:tc>
      </w:tr>
      <w:tr>
        <w:trPr>
          <w:cantSplit/>
        </w:trPr>
        <w:tc>
          <w:tcPr>
            <w:tcW w:type="dxa" w:w="648"/>
          </w:tcPr>
          <w:p>
            <w:pPr>
              <w:spacing w:after="0"/>
            </w:pPr>
            <w:r/>
            <w:r>
              <w:rPr>
                <w:sz w:val="13"/>
              </w:rPr>
              <w:t>F-22</w:t>
            </w:r>
          </w:p>
        </w:tc>
        <w:tc>
          <w:tcPr>
            <w:tcW w:type="dxa" w:w="1080"/>
          </w:tcPr>
          <w:p>
            <w:pPr>
              <w:spacing w:after="0"/>
            </w:pPr>
            <w:r/>
            <w:r>
              <w:rPr>
                <w:sz w:val="13"/>
              </w:rPr>
              <w:t>High</w:t>
            </w:r>
          </w:p>
        </w:tc>
        <w:tc>
          <w:tcPr>
            <w:tcW w:type="dxa" w:w="1296"/>
          </w:tcPr>
          <w:p>
            <w:pPr>
              <w:spacing w:after="0"/>
            </w:pPr>
            <w:r/>
            <w:r>
              <w:rPr>
                <w:sz w:val="13"/>
              </w:rPr>
              <w:t>Authorization</w:t>
            </w:r>
          </w:p>
        </w:tc>
        <w:tc>
          <w:tcPr>
            <w:tcW w:type="dxa" w:w="2520"/>
          </w:tcPr>
          <w:p>
            <w:pPr>
              <w:spacing w:after="0"/>
            </w:pPr>
            <w:r/>
            <w:r>
              <w:rPr>
                <w:sz w:val="13"/>
              </w:rPr>
              <w:t>Launch-reset migration wiped the seeded role matrix and nothing restored the bulk of it</w:t>
            </w:r>
          </w:p>
        </w:tc>
        <w:tc>
          <w:tcPr>
            <w:tcW w:type="dxa" w:w="3744"/>
          </w:tcPr>
          <w:p>
            <w:pPr>
              <w:spacing w:after="0"/>
            </w:pPr>
            <w:r/>
            <w:r>
              <w:rPr>
                <w:sz w:val="13"/>
              </w:rPr>
              <w:t>000061_rbac_launch_reset.sql runs DELETE FROM role_permissions and deliberately re-inserts nothing; seed.sql contains zero role_permissions rows. Measured on a database with all 123 migrations: 304 rows remain, and 76 of the 201 catalogue keys are held by no role at all; 71 of those 76 are gated on a live route. Before 000061 the same database holds 860 rows: sampled at that point, masterdata.products.create had 5 role holders and finance.reports.view had 5.</w:t>
            </w:r>
          </w:p>
        </w:tc>
        <w:tc>
          <w:tcPr>
            <w:tcW w:type="dxa" w:w="2880"/>
          </w:tcPr>
          <w:p>
            <w:pPr>
              <w:spacing w:after="0"/>
            </w:pPr>
            <w:r/>
            <w:r>
              <w:rPr>
                <w:sz w:val="13"/>
              </w:rPr>
              <w:t>On a fresh deployment only admin and owner can create or edit a product, maintain suppliers, read any financial report, open the chart of accounts, administer users or roles, read the activity log, manage stores, or use any distribution screen. A GM logging in sees 16 of 66 navigation items and gets 403 on financial reports, stores and distribution; a store_manager gets 403 on users and financial reports. 19 navigation entries are hidden from every non-bypass role. Recoverable (an admin can re-grant via PUT /role-permissions), but not the documented default.</w:t>
            </w:r>
          </w:p>
        </w:tc>
        <w:tc>
          <w:tcPr>
            <w:tcW w:type="dxa" w:w="1944"/>
          </w:tcPr>
          <w:p>
            <w:pPr>
              <w:spacing w:after="0"/>
            </w:pPr>
            <w:r/>
            <w:r>
              <w:rPr>
                <w:sz w:val="13"/>
              </w:rPr>
              <w:t>Re-seed the intended baseline matrix in a migration (or in seed.sql) and add a test asserting that every catalogue key is held by at least one role, or that the set of unheld keys is an explicit allowlist.</w:t>
            </w:r>
          </w:p>
        </w:tc>
      </w:tr>
      <w:tr>
        <w:trPr>
          <w:cantSplit/>
        </w:trPr>
        <w:tc>
          <w:tcPr>
            <w:tcW w:type="dxa" w:w="648"/>
          </w:tcPr>
          <w:p>
            <w:pPr>
              <w:spacing w:after="0"/>
            </w:pPr>
            <w:r/>
            <w:r>
              <w:rPr>
                <w:sz w:val="13"/>
              </w:rPr>
              <w:t>F-23</w:t>
            </w:r>
          </w:p>
        </w:tc>
        <w:tc>
          <w:tcPr>
            <w:tcW w:type="dxa" w:w="1080"/>
          </w:tcPr>
          <w:p>
            <w:pPr>
              <w:spacing w:after="0"/>
            </w:pPr>
            <w:r/>
            <w:r>
              <w:rPr>
                <w:sz w:val="13"/>
              </w:rPr>
              <w:t>Medium</w:t>
            </w:r>
          </w:p>
        </w:tc>
        <w:tc>
          <w:tcPr>
            <w:tcW w:type="dxa" w:w="1296"/>
          </w:tcPr>
          <w:p>
            <w:pPr>
              <w:spacing w:after="0"/>
            </w:pPr>
            <w:r/>
            <w:r>
              <w:rPr>
                <w:sz w:val="13"/>
              </w:rPr>
              <w:t>Authorization</w:t>
            </w:r>
          </w:p>
        </w:tc>
        <w:tc>
          <w:tcPr>
            <w:tcW w:type="dxa" w:w="2520"/>
          </w:tcPr>
          <w:p>
            <w:pPr>
              <w:spacing w:after="0"/>
            </w:pPr>
            <w:r/>
            <w:r>
              <w:rPr>
                <w:sz w:val="13"/>
              </w:rPr>
              <w:t>No automated check that a permission key is actually reachable</w:t>
            </w:r>
          </w:p>
        </w:tc>
        <w:tc>
          <w:tcPr>
            <w:tcW w:type="dxa" w:w="3744"/>
          </w:tcPr>
          <w:p>
            <w:pPr>
              <w:spacing w:after="0"/>
            </w:pPr>
            <w:r/>
            <w:r>
              <w:rPr>
                <w:sz w:val="13"/>
              </w:rPr>
              <w:t>The route→gate table proves each route HAS a gate, and the drift guard proves the catalogue and the route list match, but nothing asserts that a key is granted to some role. Result: 76 keys are dead grants (F-22) and 19 ERP navigation entries are hidden from every non-bypass role.</w:t>
            </w:r>
          </w:p>
        </w:tc>
        <w:tc>
          <w:tcPr>
            <w:tcW w:type="dxa" w:w="2880"/>
          </w:tcPr>
          <w:p>
            <w:pPr>
              <w:spacing w:after="0"/>
            </w:pPr>
            <w:r/>
            <w:r>
              <w:rPr>
                <w:sz w:val="13"/>
              </w:rPr>
              <w:t>A permission can be introduced, wired to a route and documented while being unusable by anyone but admin/owner; the gap is invisible until a user reports a 403.</w:t>
            </w:r>
          </w:p>
        </w:tc>
        <w:tc>
          <w:tcPr>
            <w:tcW w:type="dxa" w:w="1944"/>
          </w:tcPr>
          <w:p>
            <w:pPr>
              <w:spacing w:after="0"/>
            </w:pPr>
            <w:r/>
            <w:r>
              <w:rPr>
                <w:sz w:val="13"/>
              </w:rPr>
              <w:t>Extend the RBAC test suite with a coverage assertion over role_permissions, and make the unheld-key list an explicit, reviewed allowlist.</w:t>
            </w:r>
          </w:p>
        </w:tc>
      </w:tr>
      <w:tr>
        <w:trPr>
          <w:cantSplit/>
        </w:trPr>
        <w:tc>
          <w:tcPr>
            <w:tcW w:type="dxa" w:w="648"/>
          </w:tcPr>
          <w:p>
            <w:pPr>
              <w:spacing w:after="0"/>
            </w:pPr>
            <w:r/>
            <w:r>
              <w:rPr>
                <w:sz w:val="13"/>
              </w:rPr>
              <w:t>F-24</w:t>
            </w:r>
          </w:p>
        </w:tc>
        <w:tc>
          <w:tcPr>
            <w:tcW w:type="dxa" w:w="1080"/>
          </w:tcPr>
          <w:p>
            <w:pPr>
              <w:spacing w:after="0"/>
            </w:pPr>
            <w:r/>
            <w:r>
              <w:rPr>
                <w:sz w:val="13"/>
              </w:rPr>
              <w:t>Medium</w:t>
            </w:r>
          </w:p>
        </w:tc>
        <w:tc>
          <w:tcPr>
            <w:tcW w:type="dxa" w:w="1296"/>
          </w:tcPr>
          <w:p>
            <w:pPr>
              <w:spacing w:after="0"/>
            </w:pPr>
            <w:r/>
            <w:r>
              <w:rPr>
                <w:sz w:val="13"/>
              </w:rPr>
              <w:t>API contract</w:t>
            </w:r>
          </w:p>
        </w:tc>
        <w:tc>
          <w:tcPr>
            <w:tcW w:type="dxa" w:w="2520"/>
          </w:tcPr>
          <w:p>
            <w:pPr>
              <w:spacing w:after="0"/>
            </w:pPr>
            <w:r/>
            <w:r>
              <w:rPr>
                <w:sz w:val="13"/>
              </w:rPr>
              <w:t>Two live routes bypass the route/OpenAPI contract entirely</w:t>
            </w:r>
          </w:p>
        </w:tc>
        <w:tc>
          <w:tcPr>
            <w:tcW w:type="dxa" w:w="3744"/>
          </w:tcPr>
          <w:p>
            <w:pPr>
              <w:spacing w:after="0"/>
            </w:pPr>
            <w:r/>
            <w:r>
              <w:rPr>
                <w:sz w:val="13"/>
              </w:rPr>
              <w:t>cmd/server/main.go mounts /api/v1/reports/render and /api/v1/reports/preview with rr.HandleFunc, not rr.Get/Post; the handlers branch on r.Method themselves (render accepts GET with query params and POST with a JSON body). The route contract test (parseGatedRoutes) and the drift guard both enumerate only Get/Post/Put/Patch/Delete, so these two paths appear in neither the 373-operation count nor openapi.yaml. They are reachable, permission-checked inside the handler (templatePerms + buyer ownership), and used by every print button in ERP and POS.</w:t>
            </w:r>
          </w:p>
        </w:tc>
        <w:tc>
          <w:tcPr>
            <w:tcW w:type="dxa" w:w="2880"/>
          </w:tcPr>
          <w:p>
            <w:pPr>
              <w:spacing w:after="0"/>
            </w:pPr>
            <w:r/>
            <w:r>
              <w:rPr>
                <w:sz w:val="13"/>
              </w:rPr>
              <w:t>The contract says 373 operations and the router serves 375. A client generated from openapi.yaml cannot see the render endpoint that the frontends actually call, and a future gate regression on it would not be caught by the route table.</w:t>
            </w:r>
          </w:p>
        </w:tc>
        <w:tc>
          <w:tcPr>
            <w:tcW w:type="dxa" w:w="1944"/>
          </w:tcPr>
          <w:p>
            <w:pPr>
              <w:spacing w:after="0"/>
            </w:pPr>
            <w:r/>
            <w:r>
              <w:rPr>
                <w:sz w:val="13"/>
              </w:rPr>
              <w:t>Document both paths in openapi.yaml, mount them with explicit methods, and extend the contract test to include HandleFunc registrations.</w:t>
            </w:r>
          </w:p>
        </w:tc>
      </w:tr>
    </w:tbl>
    <w:p>
      <w:pPr>
        <w:spacing w:after="200"/>
      </w:pPr>
      <w:r>
        <w:rPr>
          <w:i/>
          <w:color w:val="555F6D"/>
          <w:sz w:val="17"/>
        </w:rPr>
        <w:t>Table 107. Findings register (24 entries)</w:t>
      </w:r>
    </w:p>
    <w:p>
      <w:pPr>
        <w:sectPr>
          <w:pgSz w:w="15840" w:h="12240" w:orient="landscape"/>
          <w:pgMar w:top="1008" w:right="864" w:bottom="864" w:left="864" w:header="720" w:footer="720" w:gutter="0"/>
          <w:cols w:space="720"/>
          <w:docGrid w:linePitch="360"/>
        </w:sectPr>
      </w:pPr>
    </w:p>
    <w:p>
      <w:bookmarkStart w:id="1336" w:name="_Toc1336"/>
      <w:pPr>
        <w:pStyle w:val="Heading2"/>
      </w:pPr>
      <w:r>
        <w:t>38.1 Limitations of this audit</w:t>
      </w:r>
      <w:bookmarkEnd w:id="1336"/>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2592"/>
            <w:shd w:val="clear" w:color="auto" w:fill="1F3A5F"/>
          </w:tcPr>
          <w:p>
            <w:pPr>
              <w:spacing w:after="0"/>
            </w:pPr>
            <w:r/>
            <w:r>
              <w:rPr>
                <w:b/>
                <w:color w:val="FFFFFF"/>
                <w:sz w:val="16"/>
              </w:rPr>
              <w:t>Limitation</w:t>
            </w:r>
          </w:p>
        </w:tc>
        <w:tc>
          <w:tcPr>
            <w:tcW w:type="dxa" w:w="6768"/>
            <w:shd w:val="clear" w:color="auto" w:fill="1F3A5F"/>
          </w:tcPr>
          <w:p>
            <w:pPr>
              <w:spacing w:after="0"/>
            </w:pPr>
            <w:r/>
            <w:r>
              <w:rPr>
                <w:b/>
                <w:color w:val="FFFFFF"/>
                <w:sz w:val="16"/>
              </w:rPr>
              <w:t>Effect on conclusions</w:t>
            </w:r>
          </w:p>
        </w:tc>
      </w:tr>
      <w:tr>
        <w:trPr>
          <w:cantSplit/>
        </w:trPr>
        <w:tc>
          <w:tcPr>
            <w:tcW w:type="dxa" w:w="2592"/>
          </w:tcPr>
          <w:p>
            <w:pPr>
              <w:spacing w:after="0"/>
            </w:pPr>
            <w:r/>
            <w:r>
              <w:rPr>
                <w:sz w:val="16"/>
              </w:rPr>
              <w:t>No production access</w:t>
            </w:r>
          </w:p>
        </w:tc>
        <w:tc>
          <w:tcPr>
            <w:tcW w:type="dxa" w:w="6768"/>
          </w:tcPr>
          <w:p>
            <w:pPr>
              <w:spacing w:after="0"/>
            </w:pPr>
            <w:r/>
            <w:r>
              <w:rPr>
                <w:sz w:val="16"/>
              </w:rPr>
              <w:t>Runtime behaviour is verified on a fresh database with seed data only; production data distributions are unknown.</w:t>
            </w:r>
          </w:p>
        </w:tc>
      </w:tr>
      <w:tr>
        <w:trPr>
          <w:cantSplit/>
        </w:trPr>
        <w:tc>
          <w:tcPr>
            <w:tcW w:type="dxa" w:w="2592"/>
          </w:tcPr>
          <w:p>
            <w:pPr>
              <w:spacing w:after="0"/>
            </w:pPr>
            <w:r/>
            <w:r>
              <w:rPr>
                <w:sz w:val="16"/>
              </w:rPr>
              <w:t>No browser session</w:t>
            </w:r>
          </w:p>
        </w:tc>
        <w:tc>
          <w:tcPr>
            <w:tcW w:type="dxa" w:w="6768"/>
          </w:tcPr>
          <w:p>
            <w:pPr>
              <w:spacing w:after="0"/>
            </w:pPr>
            <w:r/>
            <w:r>
              <w:rPr>
                <w:sz w:val="16"/>
              </w:rPr>
              <w:t>UI behaviour is read from source; no screenshot or click-path was captured.</w:t>
            </w:r>
          </w:p>
        </w:tc>
      </w:tr>
      <w:tr>
        <w:trPr>
          <w:cantSplit/>
        </w:trPr>
        <w:tc>
          <w:tcPr>
            <w:tcW w:type="dxa" w:w="2592"/>
          </w:tcPr>
          <w:p>
            <w:pPr>
              <w:spacing w:after="0"/>
            </w:pPr>
            <w:r/>
            <w:r>
              <w:rPr>
                <w:sz w:val="16"/>
              </w:rPr>
              <w:t>No live tunnel</w:t>
            </w:r>
          </w:p>
        </w:tc>
        <w:tc>
          <w:tcPr>
            <w:tcW w:type="dxa" w:w="6768"/>
          </w:tcPr>
          <w:p>
            <w:pPr>
              <w:spacing w:after="0"/>
            </w:pPr>
            <w:r/>
            <w:r>
              <w:rPr>
                <w:sz w:val="16"/>
              </w:rPr>
              <w:t>The ingress mapping is documented intention.</w:t>
            </w:r>
          </w:p>
        </w:tc>
      </w:tr>
      <w:tr>
        <w:trPr>
          <w:cantSplit/>
        </w:trPr>
        <w:tc>
          <w:tcPr>
            <w:tcW w:type="dxa" w:w="2592"/>
          </w:tcPr>
          <w:p>
            <w:pPr>
              <w:spacing w:after="0"/>
            </w:pPr>
            <w:r/>
            <w:r>
              <w:rPr>
                <w:sz w:val="16"/>
              </w:rPr>
              <w:t>No load test</w:t>
            </w:r>
          </w:p>
        </w:tc>
        <w:tc>
          <w:tcPr>
            <w:tcW w:type="dxa" w:w="6768"/>
          </w:tcPr>
          <w:p>
            <w:pPr>
              <w:spacing w:after="0"/>
            </w:pPr>
            <w:r/>
            <w:r>
              <w:rPr>
                <w:sz w:val="16"/>
              </w:rPr>
              <w:t>No performance claim beyond 'it started and served requests'.</w:t>
            </w:r>
          </w:p>
        </w:tc>
      </w:tr>
      <w:tr>
        <w:trPr>
          <w:cantSplit/>
        </w:trPr>
        <w:tc>
          <w:tcPr>
            <w:tcW w:type="dxa" w:w="2592"/>
          </w:tcPr>
          <w:p>
            <w:pPr>
              <w:spacing w:after="0"/>
            </w:pPr>
            <w:r/>
            <w:r>
              <w:rPr>
                <w:sz w:val="16"/>
              </w:rPr>
              <w:t>Samples, not exhaustiveness</w:t>
            </w:r>
          </w:p>
        </w:tc>
        <w:tc>
          <w:tcPr>
            <w:tcW w:type="dxa" w:w="6768"/>
          </w:tcPr>
          <w:p>
            <w:pPr>
              <w:spacing w:after="0"/>
            </w:pPr>
            <w:r/>
            <w:r>
              <w:rPr>
                <w:sz w:val="16"/>
              </w:rPr>
              <w:t>The data dictionary covers every column, but per-column business meaning is inferred from code and naming for 546 columns that lack an explicit comment.</w:t>
            </w:r>
          </w:p>
        </w:tc>
      </w:tr>
    </w:tbl>
    <w:p>
      <w:pPr>
        <w:spacing w:after="200"/>
      </w:pPr>
      <w:r>
        <w:rPr>
          <w:i/>
          <w:color w:val="555F6D"/>
          <w:sz w:val="17"/>
        </w:rPr>
        <w:t>Table 108. Stated limitations</w:t>
      </w:r>
    </w:p>
    <w:p>
      <w:bookmarkStart w:id="1337" w:name="_Toc1337"/>
      <w:pPr>
        <w:pStyle w:val="Heading1"/>
      </w:pPr>
      <w:r>
        <w:t>39. Recommended improvements and prioritized roadmap</w:t>
      </w:r>
      <w:bookmarkEnd w:id="1337"/>
    </w:p>
    <w:p>
      <w:bookmarkStart w:id="1338" w:name="_Toc1338"/>
      <w:pPr>
        <w:pStyle w:val="Heading2"/>
      </w:pPr>
      <w:r>
        <w:t>39.1 Priority 1 — correctness and safety (do first)</w:t>
      </w:r>
      <w:bookmarkEnd w:id="1338"/>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3600"/>
            <w:shd w:val="clear" w:color="auto" w:fill="1F3A5F"/>
          </w:tcPr>
          <w:p>
            <w:pPr>
              <w:spacing w:after="0"/>
            </w:pPr>
            <w:r/>
            <w:r>
              <w:rPr>
                <w:b/>
                <w:color w:val="FFFFFF"/>
                <w:sz w:val="15"/>
              </w:rPr>
              <w:t>Action</w:t>
            </w:r>
          </w:p>
        </w:tc>
        <w:tc>
          <w:tcPr>
            <w:tcW w:type="dxa" w:w="1296"/>
            <w:shd w:val="clear" w:color="auto" w:fill="1F3A5F"/>
          </w:tcPr>
          <w:p>
            <w:pPr>
              <w:spacing w:after="0"/>
            </w:pPr>
            <w:r/>
            <w:r>
              <w:rPr>
                <w:b/>
                <w:color w:val="FFFFFF"/>
                <w:sz w:val="15"/>
              </w:rPr>
              <w:t>Addresses</w:t>
            </w:r>
          </w:p>
        </w:tc>
        <w:tc>
          <w:tcPr>
            <w:tcW w:type="dxa" w:w="1008"/>
            <w:shd w:val="clear" w:color="auto" w:fill="1F3A5F"/>
          </w:tcPr>
          <w:p>
            <w:pPr>
              <w:spacing w:after="0"/>
            </w:pPr>
            <w:r/>
            <w:r>
              <w:rPr>
                <w:b/>
                <w:color w:val="FFFFFF"/>
                <w:sz w:val="15"/>
              </w:rPr>
              <w:t>Effort</w:t>
            </w:r>
          </w:p>
        </w:tc>
        <w:tc>
          <w:tcPr>
            <w:tcW w:type="dxa" w:w="3456"/>
            <w:shd w:val="clear" w:color="auto" w:fill="1F3A5F"/>
          </w:tcPr>
          <w:p>
            <w:pPr>
              <w:spacing w:after="0"/>
            </w:pPr>
            <w:r/>
            <w:r>
              <w:rPr>
                <w:b/>
                <w:color w:val="FFFFFF"/>
                <w:sz w:val="15"/>
              </w:rPr>
              <w:t>Verification</w:t>
            </w:r>
          </w:p>
        </w:tc>
      </w:tr>
      <w:tr>
        <w:trPr>
          <w:cantSplit/>
        </w:trPr>
        <w:tc>
          <w:tcPr>
            <w:tcW w:type="dxa" w:w="3600"/>
          </w:tcPr>
          <w:p>
            <w:pPr>
              <w:spacing w:after="0"/>
            </w:pPr>
            <w:r/>
            <w:r>
              <w:rPr>
                <w:sz w:val="15"/>
              </w:rPr>
              <w:t>Fix the CI Go version (go-version-file)</w:t>
            </w:r>
          </w:p>
        </w:tc>
        <w:tc>
          <w:tcPr>
            <w:tcW w:type="dxa" w:w="1296"/>
          </w:tcPr>
          <w:p>
            <w:pPr>
              <w:spacing w:after="0"/>
            </w:pPr>
            <w:r/>
            <w:r>
              <w:rPr>
                <w:sz w:val="15"/>
              </w:rPr>
              <w:t>F-03</w:t>
            </w:r>
          </w:p>
        </w:tc>
        <w:tc>
          <w:tcPr>
            <w:tcW w:type="dxa" w:w="1008"/>
          </w:tcPr>
          <w:p>
            <w:pPr>
              <w:spacing w:after="0"/>
            </w:pPr>
            <w:r/>
            <w:r>
              <w:rPr>
                <w:sz w:val="15"/>
              </w:rPr>
              <w:t>minutes</w:t>
            </w:r>
          </w:p>
        </w:tc>
        <w:tc>
          <w:tcPr>
            <w:tcW w:type="dxa" w:w="3456"/>
          </w:tcPr>
          <w:p>
            <w:pPr>
              <w:spacing w:after="0"/>
            </w:pPr>
            <w:r/>
            <w:r>
              <w:rPr>
                <w:sz w:val="15"/>
              </w:rPr>
              <w:t>Backend job builds</w:t>
            </w:r>
          </w:p>
        </w:tc>
      </w:tr>
      <w:tr>
        <w:trPr>
          <w:cantSplit/>
        </w:trPr>
        <w:tc>
          <w:tcPr>
            <w:tcW w:type="dxa" w:w="3600"/>
          </w:tcPr>
          <w:p>
            <w:pPr>
              <w:spacing w:after="0"/>
            </w:pPr>
            <w:r/>
            <w:r>
              <w:rPr>
                <w:sz w:val="15"/>
              </w:rPr>
              <w:t>Guard the destructive test package by database name</w:t>
            </w:r>
          </w:p>
        </w:tc>
        <w:tc>
          <w:tcPr>
            <w:tcW w:type="dxa" w:w="1296"/>
          </w:tcPr>
          <w:p>
            <w:pPr>
              <w:spacing w:after="0"/>
            </w:pPr>
            <w:r/>
            <w:r>
              <w:rPr>
                <w:sz w:val="15"/>
              </w:rPr>
              <w:t>F-05</w:t>
            </w:r>
          </w:p>
        </w:tc>
        <w:tc>
          <w:tcPr>
            <w:tcW w:type="dxa" w:w="1008"/>
          </w:tcPr>
          <w:p>
            <w:pPr>
              <w:spacing w:after="0"/>
            </w:pPr>
            <w:r/>
            <w:r>
              <w:rPr>
                <w:sz w:val="15"/>
              </w:rPr>
              <w:t>hours</w:t>
            </w:r>
          </w:p>
        </w:tc>
        <w:tc>
          <w:tcPr>
            <w:tcW w:type="dxa" w:w="3456"/>
          </w:tcPr>
          <w:p>
            <w:pPr>
              <w:spacing w:after="0"/>
            </w:pPr>
            <w:r/>
            <w:r>
              <w:rPr>
                <w:sz w:val="15"/>
              </w:rPr>
              <w:t>A mis-pointed URL refuses to run</w:t>
            </w:r>
          </w:p>
        </w:tc>
      </w:tr>
      <w:tr>
        <w:trPr>
          <w:cantSplit/>
        </w:trPr>
        <w:tc>
          <w:tcPr>
            <w:tcW w:type="dxa" w:w="3600"/>
          </w:tcPr>
          <w:p>
            <w:pPr>
              <w:spacing w:after="0"/>
            </w:pPr>
            <w:r/>
            <w:r>
              <w:rPr>
                <w:sz w:val="15"/>
              </w:rPr>
              <w:t>Read SMTP_FROM from the environment</w:t>
            </w:r>
          </w:p>
        </w:tc>
        <w:tc>
          <w:tcPr>
            <w:tcW w:type="dxa" w:w="1296"/>
          </w:tcPr>
          <w:p>
            <w:pPr>
              <w:spacing w:after="0"/>
            </w:pPr>
            <w:r/>
            <w:r>
              <w:rPr>
                <w:sz w:val="15"/>
              </w:rPr>
              <w:t>F-07</w:t>
            </w:r>
          </w:p>
        </w:tc>
        <w:tc>
          <w:tcPr>
            <w:tcW w:type="dxa" w:w="1008"/>
          </w:tcPr>
          <w:p>
            <w:pPr>
              <w:spacing w:after="0"/>
            </w:pPr>
            <w:r/>
            <w:r>
              <w:rPr>
                <w:sz w:val="15"/>
              </w:rPr>
              <w:t>minutes</w:t>
            </w:r>
          </w:p>
        </w:tc>
        <w:tc>
          <w:tcPr>
            <w:tcW w:type="dxa" w:w="3456"/>
          </w:tcPr>
          <w:p>
            <w:pPr>
              <w:spacing w:after="0"/>
            </w:pPr>
            <w:r/>
            <w:r>
              <w:rPr>
                <w:sz w:val="15"/>
              </w:rPr>
              <w:t>Password-reset mail arrives</w:t>
            </w:r>
          </w:p>
        </w:tc>
      </w:tr>
      <w:tr>
        <w:trPr>
          <w:cantSplit/>
        </w:trPr>
        <w:tc>
          <w:tcPr>
            <w:tcW w:type="dxa" w:w="3600"/>
          </w:tcPr>
          <w:p>
            <w:pPr>
              <w:spacing w:after="0"/>
            </w:pPr>
            <w:r/>
            <w:r>
              <w:rPr>
                <w:sz w:val="15"/>
              </w:rPr>
              <w:t>Set CORS_ORIGINS explicitly in compose.prod.yml</w:t>
            </w:r>
          </w:p>
        </w:tc>
        <w:tc>
          <w:tcPr>
            <w:tcW w:type="dxa" w:w="1296"/>
          </w:tcPr>
          <w:p>
            <w:pPr>
              <w:spacing w:after="0"/>
            </w:pPr>
            <w:r/>
            <w:r>
              <w:rPr>
                <w:sz w:val="15"/>
              </w:rPr>
              <w:t>F-12</w:t>
            </w:r>
          </w:p>
        </w:tc>
        <w:tc>
          <w:tcPr>
            <w:tcW w:type="dxa" w:w="1008"/>
          </w:tcPr>
          <w:p>
            <w:pPr>
              <w:spacing w:after="0"/>
            </w:pPr>
            <w:r/>
            <w:r>
              <w:rPr>
                <w:sz w:val="15"/>
              </w:rPr>
              <w:t>minutes</w:t>
            </w:r>
          </w:p>
        </w:tc>
        <w:tc>
          <w:tcPr>
            <w:tcW w:type="dxa" w:w="3456"/>
          </w:tcPr>
          <w:p>
            <w:pPr>
              <w:spacing w:after="0"/>
            </w:pPr>
            <w:r/>
            <w:r>
              <w:rPr>
                <w:sz w:val="15"/>
              </w:rPr>
              <w:t>Preflight from the four hostnames succeeds; others fail</w:t>
            </w:r>
          </w:p>
        </w:tc>
      </w:tr>
      <w:tr>
        <w:trPr>
          <w:cantSplit/>
        </w:trPr>
        <w:tc>
          <w:tcPr>
            <w:tcW w:type="dxa" w:w="3600"/>
          </w:tcPr>
          <w:p>
            <w:pPr>
              <w:spacing w:after="0"/>
            </w:pPr>
            <w:r/>
            <w:r>
              <w:rPr>
                <w:sz w:val="15"/>
              </w:rPr>
              <w:t>Make the ERP idempotency fallback throw in development</w:t>
            </w:r>
          </w:p>
        </w:tc>
        <w:tc>
          <w:tcPr>
            <w:tcW w:type="dxa" w:w="1296"/>
          </w:tcPr>
          <w:p>
            <w:pPr>
              <w:spacing w:after="0"/>
            </w:pPr>
            <w:r/>
            <w:r>
              <w:rPr>
                <w:sz w:val="15"/>
              </w:rPr>
              <w:t>F-14</w:t>
            </w:r>
          </w:p>
        </w:tc>
        <w:tc>
          <w:tcPr>
            <w:tcW w:type="dxa" w:w="1008"/>
          </w:tcPr>
          <w:p>
            <w:pPr>
              <w:spacing w:after="0"/>
            </w:pPr>
            <w:r/>
            <w:r>
              <w:rPr>
                <w:sz w:val="15"/>
              </w:rPr>
              <w:t>hours</w:t>
            </w:r>
          </w:p>
        </w:tc>
        <w:tc>
          <w:tcPr>
            <w:tcW w:type="dxa" w:w="3456"/>
          </w:tcPr>
          <w:p>
            <w:pPr>
              <w:spacing w:after="0"/>
            </w:pPr>
            <w:r/>
            <w:r>
              <w:rPr>
                <w:sz w:val="15"/>
              </w:rPr>
              <w:t>Unmigrated call sites surface immediately</w:t>
            </w:r>
          </w:p>
        </w:tc>
      </w:tr>
      <w:tr>
        <w:trPr>
          <w:cantSplit/>
        </w:trPr>
        <w:tc>
          <w:tcPr>
            <w:tcW w:type="dxa" w:w="3600"/>
          </w:tcPr>
          <w:p>
            <w:pPr>
              <w:spacing w:after="0"/>
            </w:pPr>
            <w:r/>
            <w:r>
              <w:rPr>
                <w:sz w:val="15"/>
              </w:rPr>
              <w:t>Correct the documentation paths and the offline-POS claim</w:t>
            </w:r>
          </w:p>
        </w:tc>
        <w:tc>
          <w:tcPr>
            <w:tcW w:type="dxa" w:w="1296"/>
          </w:tcPr>
          <w:p>
            <w:pPr>
              <w:spacing w:after="0"/>
            </w:pPr>
            <w:r/>
            <w:r>
              <w:rPr>
                <w:sz w:val="15"/>
              </w:rPr>
              <w:t>F-02, F-17</w:t>
            </w:r>
          </w:p>
        </w:tc>
        <w:tc>
          <w:tcPr>
            <w:tcW w:type="dxa" w:w="1008"/>
          </w:tcPr>
          <w:p>
            <w:pPr>
              <w:spacing w:after="0"/>
            </w:pPr>
            <w:r/>
            <w:r>
              <w:rPr>
                <w:sz w:val="15"/>
              </w:rPr>
              <w:t>hours</w:t>
            </w:r>
          </w:p>
        </w:tc>
        <w:tc>
          <w:tcPr>
            <w:tcW w:type="dxa" w:w="3456"/>
          </w:tcPr>
          <w:p>
            <w:pPr>
              <w:spacing w:after="0"/>
            </w:pPr>
            <w:r/>
            <w:r>
              <w:rPr>
                <w:sz w:val="15"/>
              </w:rPr>
              <w:t>Docs match the tree</w:t>
            </w:r>
          </w:p>
        </w:tc>
      </w:tr>
    </w:tbl>
    <w:p>
      <w:pPr>
        <w:spacing w:after="200"/>
      </w:pPr>
      <w:r>
        <w:rPr>
          <w:i/>
          <w:color w:val="555F6D"/>
          <w:sz w:val="17"/>
        </w:rPr>
        <w:t>Table 109. Priority 1 actions</w:t>
      </w:r>
    </w:p>
    <w:p>
      <w:bookmarkStart w:id="1339" w:name="_Toc1339"/>
      <w:pPr>
        <w:pStyle w:val="Heading2"/>
      </w:pPr>
      <w:r>
        <w:t>39.2 Priority 2 — structural integrity</w:t>
      </w:r>
      <w:bookmarkEnd w:id="1339"/>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3600"/>
            <w:shd w:val="clear" w:color="auto" w:fill="1F3A5F"/>
          </w:tcPr>
          <w:p>
            <w:pPr>
              <w:spacing w:after="0"/>
            </w:pPr>
            <w:r/>
            <w:r>
              <w:rPr>
                <w:b/>
                <w:color w:val="FFFFFF"/>
                <w:sz w:val="15"/>
              </w:rPr>
              <w:t>Action</w:t>
            </w:r>
          </w:p>
        </w:tc>
        <w:tc>
          <w:tcPr>
            <w:tcW w:type="dxa" w:w="1296"/>
            <w:shd w:val="clear" w:color="auto" w:fill="1F3A5F"/>
          </w:tcPr>
          <w:p>
            <w:pPr>
              <w:spacing w:after="0"/>
            </w:pPr>
            <w:r/>
            <w:r>
              <w:rPr>
                <w:b/>
                <w:color w:val="FFFFFF"/>
                <w:sz w:val="15"/>
              </w:rPr>
              <w:t>Addresses</w:t>
            </w:r>
          </w:p>
        </w:tc>
        <w:tc>
          <w:tcPr>
            <w:tcW w:type="dxa" w:w="1008"/>
            <w:shd w:val="clear" w:color="auto" w:fill="1F3A5F"/>
          </w:tcPr>
          <w:p>
            <w:pPr>
              <w:spacing w:after="0"/>
            </w:pPr>
            <w:r/>
            <w:r>
              <w:rPr>
                <w:b/>
                <w:color w:val="FFFFFF"/>
                <w:sz w:val="15"/>
              </w:rPr>
              <w:t>Effort</w:t>
            </w:r>
          </w:p>
        </w:tc>
        <w:tc>
          <w:tcPr>
            <w:tcW w:type="dxa" w:w="3456"/>
            <w:shd w:val="clear" w:color="auto" w:fill="1F3A5F"/>
          </w:tcPr>
          <w:p>
            <w:pPr>
              <w:spacing w:after="0"/>
            </w:pPr>
            <w:r/>
            <w:r>
              <w:rPr>
                <w:b/>
                <w:color w:val="FFFFFF"/>
                <w:sz w:val="15"/>
              </w:rPr>
              <w:t>Verification</w:t>
            </w:r>
          </w:p>
        </w:tc>
      </w:tr>
      <w:tr>
        <w:trPr>
          <w:cantSplit/>
        </w:trPr>
        <w:tc>
          <w:tcPr>
            <w:tcW w:type="dxa" w:w="3600"/>
          </w:tcPr>
          <w:p>
            <w:pPr>
              <w:spacing w:after="0"/>
            </w:pPr>
            <w:r/>
            <w:r>
              <w:rPr>
                <w:sz w:val="15"/>
              </w:rPr>
              <w:t>Retire the duplicate compose stacks; keep compose.prod.yml</w:t>
            </w:r>
          </w:p>
        </w:tc>
        <w:tc>
          <w:tcPr>
            <w:tcW w:type="dxa" w:w="1296"/>
          </w:tcPr>
          <w:p>
            <w:pPr>
              <w:spacing w:after="0"/>
            </w:pPr>
            <w:r/>
            <w:r>
              <w:rPr>
                <w:sz w:val="15"/>
              </w:rPr>
              <w:t>F-10</w:t>
            </w:r>
          </w:p>
        </w:tc>
        <w:tc>
          <w:tcPr>
            <w:tcW w:type="dxa" w:w="1008"/>
          </w:tcPr>
          <w:p>
            <w:pPr>
              <w:spacing w:after="0"/>
            </w:pPr>
            <w:r/>
            <w:r>
              <w:rPr>
                <w:sz w:val="15"/>
              </w:rPr>
              <w:t>days</w:t>
            </w:r>
          </w:p>
        </w:tc>
        <w:tc>
          <w:tcPr>
            <w:tcW w:type="dxa" w:w="3456"/>
          </w:tcPr>
          <w:p>
            <w:pPr>
              <w:spacing w:after="0"/>
            </w:pPr>
            <w:r/>
            <w:r>
              <w:rPr>
                <w:sz w:val="15"/>
              </w:rPr>
              <w:t>One documented deploy path</w:t>
            </w:r>
          </w:p>
        </w:tc>
      </w:tr>
      <w:tr>
        <w:trPr>
          <w:cantSplit/>
        </w:trPr>
        <w:tc>
          <w:tcPr>
            <w:tcW w:type="dxa" w:w="3600"/>
          </w:tcPr>
          <w:p>
            <w:pPr>
              <w:spacing w:after="0"/>
            </w:pPr>
            <w:r/>
            <w:r>
              <w:rPr>
                <w:sz w:val="15"/>
              </w:rPr>
              <w:t>Refresh db/schema.sql and move the raw-SQL modules to sqlc</w:t>
            </w:r>
          </w:p>
        </w:tc>
        <w:tc>
          <w:tcPr>
            <w:tcW w:type="dxa" w:w="1296"/>
          </w:tcPr>
          <w:p>
            <w:pPr>
              <w:spacing w:after="0"/>
            </w:pPr>
            <w:r/>
            <w:r>
              <w:rPr>
                <w:sz w:val="15"/>
              </w:rPr>
              <w:t>F-19</w:t>
            </w:r>
          </w:p>
        </w:tc>
        <w:tc>
          <w:tcPr>
            <w:tcW w:type="dxa" w:w="1008"/>
          </w:tcPr>
          <w:p>
            <w:pPr>
              <w:spacing w:after="0"/>
            </w:pPr>
            <w:r/>
            <w:r>
              <w:rPr>
                <w:sz w:val="15"/>
              </w:rPr>
              <w:t>days</w:t>
            </w:r>
          </w:p>
        </w:tc>
        <w:tc>
          <w:tcPr>
            <w:tcW w:type="dxa" w:w="3456"/>
          </w:tcPr>
          <w:p>
            <w:pPr>
              <w:spacing w:after="0"/>
            </w:pPr>
            <w:r/>
            <w:r>
              <w:rPr>
                <w:sz w:val="15"/>
              </w:rPr>
              <w:t>sqlc generate is clean</w:t>
            </w:r>
          </w:p>
        </w:tc>
      </w:tr>
      <w:tr>
        <w:trPr>
          <w:cantSplit/>
        </w:trPr>
        <w:tc>
          <w:tcPr>
            <w:tcW w:type="dxa" w:w="3600"/>
          </w:tcPr>
          <w:p>
            <w:pPr>
              <w:spacing w:after="0"/>
            </w:pPr>
            <w:r/>
            <w:r>
              <w:rPr>
                <w:sz w:val="15"/>
              </w:rPr>
              <w:t>Generate ROLES and the OpenAPI RoleName enum from AllRoles</w:t>
            </w:r>
          </w:p>
        </w:tc>
        <w:tc>
          <w:tcPr>
            <w:tcW w:type="dxa" w:w="1296"/>
          </w:tcPr>
          <w:p>
            <w:pPr>
              <w:spacing w:after="0"/>
            </w:pPr>
            <w:r/>
            <w:r>
              <w:rPr>
                <w:sz w:val="15"/>
              </w:rPr>
              <w:t>F-08, F-21</w:t>
            </w:r>
          </w:p>
        </w:tc>
        <w:tc>
          <w:tcPr>
            <w:tcW w:type="dxa" w:w="1008"/>
          </w:tcPr>
          <w:p>
            <w:pPr>
              <w:spacing w:after="0"/>
            </w:pPr>
            <w:r/>
            <w:r>
              <w:rPr>
                <w:sz w:val="15"/>
              </w:rPr>
              <w:t>hours</w:t>
            </w:r>
          </w:p>
        </w:tc>
        <w:tc>
          <w:tcPr>
            <w:tcW w:type="dxa" w:w="3456"/>
          </w:tcPr>
          <w:p>
            <w:pPr>
              <w:spacing w:after="0"/>
            </w:pPr>
            <w:r/>
            <w:r>
              <w:rPr>
                <w:sz w:val="15"/>
              </w:rPr>
              <w:t>Client role list equals the backend</w:t>
            </w:r>
          </w:p>
        </w:tc>
      </w:tr>
      <w:tr>
        <w:trPr>
          <w:cantSplit/>
        </w:trPr>
        <w:tc>
          <w:tcPr>
            <w:tcW w:type="dxa" w:w="3600"/>
          </w:tcPr>
          <w:p>
            <w:pPr>
              <w:spacing w:after="0"/>
            </w:pPr>
            <w:r/>
            <w:r>
              <w:rPr>
                <w:sz w:val="15"/>
              </w:rPr>
              <w:t>Add a migration replay job and a Postgres service to CI</w:t>
            </w:r>
          </w:p>
        </w:tc>
        <w:tc>
          <w:tcPr>
            <w:tcW w:type="dxa" w:w="1296"/>
          </w:tcPr>
          <w:p>
            <w:pPr>
              <w:spacing w:after="0"/>
            </w:pPr>
            <w:r/>
            <w:r>
              <w:rPr>
                <w:sz w:val="15"/>
              </w:rPr>
              <w:t>37.2</w:t>
            </w:r>
          </w:p>
        </w:tc>
        <w:tc>
          <w:tcPr>
            <w:tcW w:type="dxa" w:w="1008"/>
          </w:tcPr>
          <w:p>
            <w:pPr>
              <w:spacing w:after="0"/>
            </w:pPr>
            <w:r/>
            <w:r>
              <w:rPr>
                <w:sz w:val="15"/>
              </w:rPr>
              <w:t>days</w:t>
            </w:r>
          </w:p>
        </w:tc>
        <w:tc>
          <w:tcPr>
            <w:tcW w:type="dxa" w:w="3456"/>
          </w:tcPr>
          <w:p>
            <w:pPr>
              <w:spacing w:after="0"/>
            </w:pPr>
            <w:r/>
            <w:r>
              <w:rPr>
                <w:sz w:val="15"/>
              </w:rPr>
              <w:t>Integration tests run in CI</w:t>
            </w:r>
          </w:p>
        </w:tc>
      </w:tr>
      <w:tr>
        <w:trPr>
          <w:cantSplit/>
        </w:trPr>
        <w:tc>
          <w:tcPr>
            <w:tcW w:type="dxa" w:w="3600"/>
          </w:tcPr>
          <w:p>
            <w:pPr>
              <w:spacing w:after="0"/>
            </w:pPr>
            <w:r/>
            <w:r>
              <w:rPr>
                <w:sz w:val="15"/>
              </w:rPr>
              <w:t>Add a startup/template health check for report templates</w:t>
            </w:r>
          </w:p>
        </w:tc>
        <w:tc>
          <w:tcPr>
            <w:tcW w:type="dxa" w:w="1296"/>
          </w:tcPr>
          <w:p>
            <w:pPr>
              <w:spacing w:after="0"/>
            </w:pPr>
            <w:r/>
            <w:r>
              <w:rPr>
                <w:sz w:val="15"/>
              </w:rPr>
              <w:t>F-15</w:t>
            </w:r>
          </w:p>
        </w:tc>
        <w:tc>
          <w:tcPr>
            <w:tcW w:type="dxa" w:w="1008"/>
          </w:tcPr>
          <w:p>
            <w:pPr>
              <w:spacing w:after="0"/>
            </w:pPr>
            <w:r/>
            <w:r>
              <w:rPr>
                <w:sz w:val="15"/>
              </w:rPr>
              <w:t>hours</w:t>
            </w:r>
          </w:p>
        </w:tc>
        <w:tc>
          <w:tcPr>
            <w:tcW w:type="dxa" w:w="3456"/>
          </w:tcPr>
          <w:p>
            <w:pPr>
              <w:spacing w:after="0"/>
            </w:pPr>
            <w:r/>
            <w:r>
              <w:rPr>
                <w:sz w:val="15"/>
              </w:rPr>
              <w:t>Health reports template counts</w:t>
            </w:r>
          </w:p>
        </w:tc>
      </w:tr>
    </w:tbl>
    <w:p>
      <w:pPr>
        <w:spacing w:after="200"/>
      </w:pPr>
      <w:r>
        <w:rPr>
          <w:i/>
          <w:color w:val="555F6D"/>
          <w:sz w:val="17"/>
        </w:rPr>
        <w:t>Table 110. Priority 2 actions</w:t>
      </w:r>
    </w:p>
    <w:p>
      <w:bookmarkStart w:id="1340" w:name="_Toc1340"/>
      <w:pPr>
        <w:pStyle w:val="Heading2"/>
      </w:pPr>
      <w:r>
        <w:t>39.3 Priority 3 — hardening and operability</w:t>
      </w:r>
      <w:bookmarkEnd w:id="1340"/>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2412"/>
        <w:gridCol w:w="2412"/>
        <w:gridCol w:w="2412"/>
        <w:gridCol w:w="2412"/>
      </w:tblGrid>
      <w:tr>
        <w:trPr>
          <w:tblHeader w:val="true"/>
        </w:trPr>
        <w:tc>
          <w:tcPr>
            <w:tcW w:type="dxa" w:w="3600"/>
            <w:shd w:val="clear" w:color="auto" w:fill="1F3A5F"/>
          </w:tcPr>
          <w:p>
            <w:pPr>
              <w:spacing w:after="0"/>
            </w:pPr>
            <w:r/>
            <w:r>
              <w:rPr>
                <w:b/>
                <w:color w:val="FFFFFF"/>
                <w:sz w:val="15"/>
              </w:rPr>
              <w:t>Action</w:t>
            </w:r>
          </w:p>
        </w:tc>
        <w:tc>
          <w:tcPr>
            <w:tcW w:type="dxa" w:w="1296"/>
            <w:shd w:val="clear" w:color="auto" w:fill="1F3A5F"/>
          </w:tcPr>
          <w:p>
            <w:pPr>
              <w:spacing w:after="0"/>
            </w:pPr>
            <w:r/>
            <w:r>
              <w:rPr>
                <w:b/>
                <w:color w:val="FFFFFF"/>
                <w:sz w:val="15"/>
              </w:rPr>
              <w:t>Addresses</w:t>
            </w:r>
          </w:p>
        </w:tc>
        <w:tc>
          <w:tcPr>
            <w:tcW w:type="dxa" w:w="1008"/>
            <w:shd w:val="clear" w:color="auto" w:fill="1F3A5F"/>
          </w:tcPr>
          <w:p>
            <w:pPr>
              <w:spacing w:after="0"/>
            </w:pPr>
            <w:r/>
            <w:r>
              <w:rPr>
                <w:b/>
                <w:color w:val="FFFFFF"/>
                <w:sz w:val="15"/>
              </w:rPr>
              <w:t>Effort</w:t>
            </w:r>
          </w:p>
        </w:tc>
        <w:tc>
          <w:tcPr>
            <w:tcW w:type="dxa" w:w="3456"/>
            <w:shd w:val="clear" w:color="auto" w:fill="1F3A5F"/>
          </w:tcPr>
          <w:p>
            <w:pPr>
              <w:spacing w:after="0"/>
            </w:pPr>
            <w:r/>
            <w:r>
              <w:rPr>
                <w:b/>
                <w:color w:val="FFFFFF"/>
                <w:sz w:val="15"/>
              </w:rPr>
              <w:t>Verification</w:t>
            </w:r>
          </w:p>
        </w:tc>
      </w:tr>
      <w:tr>
        <w:trPr>
          <w:cantSplit/>
        </w:trPr>
        <w:tc>
          <w:tcPr>
            <w:tcW w:type="dxa" w:w="3600"/>
          </w:tcPr>
          <w:p>
            <w:pPr>
              <w:spacing w:after="0"/>
            </w:pPr>
            <w:r/>
            <w:r>
              <w:rPr>
                <w:sz w:val="15"/>
              </w:rPr>
              <w:t>Add govulncheck + pnpm audit to CI</w:t>
            </w:r>
          </w:p>
        </w:tc>
        <w:tc>
          <w:tcPr>
            <w:tcW w:type="dxa" w:w="1296"/>
          </w:tcPr>
          <w:p>
            <w:pPr>
              <w:spacing w:after="0"/>
            </w:pPr>
            <w:r/>
            <w:r>
              <w:rPr>
                <w:sz w:val="15"/>
              </w:rPr>
              <w:t>35.2</w:t>
            </w:r>
          </w:p>
        </w:tc>
        <w:tc>
          <w:tcPr>
            <w:tcW w:type="dxa" w:w="1008"/>
          </w:tcPr>
          <w:p>
            <w:pPr>
              <w:spacing w:after="0"/>
            </w:pPr>
            <w:r/>
            <w:r>
              <w:rPr>
                <w:sz w:val="15"/>
              </w:rPr>
              <w:t>hours</w:t>
            </w:r>
          </w:p>
        </w:tc>
        <w:tc>
          <w:tcPr>
            <w:tcW w:type="dxa" w:w="3456"/>
          </w:tcPr>
          <w:p>
            <w:pPr>
              <w:spacing w:after="0"/>
            </w:pPr>
            <w:r/>
            <w:r>
              <w:rPr>
                <w:sz w:val="15"/>
              </w:rPr>
              <w:t>Findings gate the build</w:t>
            </w:r>
          </w:p>
        </w:tc>
      </w:tr>
      <w:tr>
        <w:trPr>
          <w:cantSplit/>
        </w:trPr>
        <w:tc>
          <w:tcPr>
            <w:tcW w:type="dxa" w:w="3600"/>
          </w:tcPr>
          <w:p>
            <w:pPr>
              <w:spacing w:after="0"/>
            </w:pPr>
            <w:r/>
            <w:r>
              <w:rPr>
                <w:sz w:val="15"/>
              </w:rPr>
              <w:t>Ship scripts/backup-db.sh and a restore drill</w:t>
            </w:r>
          </w:p>
        </w:tc>
        <w:tc>
          <w:tcPr>
            <w:tcW w:type="dxa" w:w="1296"/>
          </w:tcPr>
          <w:p>
            <w:pPr>
              <w:spacing w:after="0"/>
            </w:pPr>
            <w:r/>
            <w:r>
              <w:rPr>
                <w:sz w:val="15"/>
              </w:rPr>
              <w:t>31</w:t>
            </w:r>
          </w:p>
        </w:tc>
        <w:tc>
          <w:tcPr>
            <w:tcW w:type="dxa" w:w="1008"/>
          </w:tcPr>
          <w:p>
            <w:pPr>
              <w:spacing w:after="0"/>
            </w:pPr>
            <w:r/>
            <w:r>
              <w:rPr>
                <w:sz w:val="15"/>
              </w:rPr>
              <w:t>days</w:t>
            </w:r>
          </w:p>
        </w:tc>
        <w:tc>
          <w:tcPr>
            <w:tcW w:type="dxa" w:w="3456"/>
          </w:tcPr>
          <w:p>
            <w:pPr>
              <w:spacing w:after="0"/>
            </w:pPr>
            <w:r/>
            <w:r>
              <w:rPr>
                <w:sz w:val="15"/>
              </w:rPr>
              <w:t>A restore into a scratch DB passes the checklist</w:t>
            </w:r>
          </w:p>
        </w:tc>
      </w:tr>
      <w:tr>
        <w:trPr>
          <w:cantSplit/>
        </w:trPr>
        <w:tc>
          <w:tcPr>
            <w:tcW w:type="dxa" w:w="3600"/>
          </w:tcPr>
          <w:p>
            <w:pPr>
              <w:spacing w:after="0"/>
            </w:pPr>
            <w:r/>
            <w:r>
              <w:rPr>
                <w:sz w:val="15"/>
              </w:rPr>
              <w:t>Add a Playwright smoke suite</w:t>
            </w:r>
          </w:p>
        </w:tc>
        <w:tc>
          <w:tcPr>
            <w:tcW w:type="dxa" w:w="1296"/>
          </w:tcPr>
          <w:p>
            <w:pPr>
              <w:spacing w:after="0"/>
            </w:pPr>
            <w:r/>
            <w:r>
              <w:rPr>
                <w:sz w:val="15"/>
              </w:rPr>
              <w:t>37.2</w:t>
            </w:r>
          </w:p>
        </w:tc>
        <w:tc>
          <w:tcPr>
            <w:tcW w:type="dxa" w:w="1008"/>
          </w:tcPr>
          <w:p>
            <w:pPr>
              <w:spacing w:after="0"/>
            </w:pPr>
            <w:r/>
            <w:r>
              <w:rPr>
                <w:sz w:val="15"/>
              </w:rPr>
              <w:t>days</w:t>
            </w:r>
          </w:p>
        </w:tc>
        <w:tc>
          <w:tcPr>
            <w:tcW w:type="dxa" w:w="3456"/>
          </w:tcPr>
          <w:p>
            <w:pPr>
              <w:spacing w:after="0"/>
            </w:pPr>
            <w:r/>
            <w:r>
              <w:rPr>
                <w:sz w:val="15"/>
              </w:rPr>
              <w:t>Three critical paths covered</w:t>
            </w:r>
          </w:p>
        </w:tc>
      </w:tr>
      <w:tr>
        <w:trPr>
          <w:cantSplit/>
        </w:trPr>
        <w:tc>
          <w:tcPr>
            <w:tcW w:type="dxa" w:w="3600"/>
          </w:tcPr>
          <w:p>
            <w:pPr>
              <w:spacing w:after="0"/>
            </w:pPr>
            <w:r/>
            <w:r>
              <w:rPr>
                <w:sz w:val="15"/>
              </w:rPr>
              <w:t>Publish the permission set explicitly for admin/owner</w:t>
            </w:r>
          </w:p>
        </w:tc>
        <w:tc>
          <w:tcPr>
            <w:tcW w:type="dxa" w:w="1296"/>
          </w:tcPr>
          <w:p>
            <w:pPr>
              <w:spacing w:after="0"/>
            </w:pPr>
            <w:r/>
            <w:r>
              <w:rPr>
                <w:sz w:val="15"/>
              </w:rPr>
              <w:t>F-06</w:t>
            </w:r>
          </w:p>
        </w:tc>
        <w:tc>
          <w:tcPr>
            <w:tcW w:type="dxa" w:w="1008"/>
          </w:tcPr>
          <w:p>
            <w:pPr>
              <w:spacing w:after="0"/>
            </w:pPr>
            <w:r/>
            <w:r>
              <w:rPr>
                <w:sz w:val="15"/>
              </w:rPr>
              <w:t>hours</w:t>
            </w:r>
          </w:p>
        </w:tc>
        <w:tc>
          <w:tcPr>
            <w:tcW w:type="dxa" w:w="3456"/>
          </w:tcPr>
          <w:p>
            <w:pPr>
              <w:spacing w:after="0"/>
            </w:pPr>
            <w:r/>
            <w:r>
              <w:rPr>
                <w:sz w:val="15"/>
              </w:rPr>
              <w:t>A client testing a concrete key works</w:t>
            </w:r>
          </w:p>
        </w:tc>
      </w:tr>
      <w:tr>
        <w:trPr>
          <w:cantSplit/>
        </w:trPr>
        <w:tc>
          <w:tcPr>
            <w:tcW w:type="dxa" w:w="3600"/>
          </w:tcPr>
          <w:p>
            <w:pPr>
              <w:spacing w:after="0"/>
            </w:pPr>
            <w:r/>
            <w:r>
              <w:rPr>
                <w:sz w:val="15"/>
              </w:rPr>
              <w:t>Wire packages/ui or remove the dependency</w:t>
            </w:r>
          </w:p>
        </w:tc>
        <w:tc>
          <w:tcPr>
            <w:tcW w:type="dxa" w:w="1296"/>
          </w:tcPr>
          <w:p>
            <w:pPr>
              <w:spacing w:after="0"/>
            </w:pPr>
            <w:r/>
            <w:r>
              <w:rPr>
                <w:sz w:val="15"/>
              </w:rPr>
              <w:t>12.2</w:t>
            </w:r>
          </w:p>
        </w:tc>
        <w:tc>
          <w:tcPr>
            <w:tcW w:type="dxa" w:w="1008"/>
          </w:tcPr>
          <w:p>
            <w:pPr>
              <w:spacing w:after="0"/>
            </w:pPr>
            <w:r/>
            <w:r>
              <w:rPr>
                <w:sz w:val="15"/>
              </w:rPr>
              <w:t>days</w:t>
            </w:r>
          </w:p>
        </w:tc>
        <w:tc>
          <w:tcPr>
            <w:tcW w:type="dxa" w:w="3456"/>
          </w:tcPr>
          <w:p>
            <w:pPr>
              <w:spacing w:after="0"/>
            </w:pPr>
            <w:r/>
            <w:r>
              <w:rPr>
                <w:sz w:val="15"/>
              </w:rPr>
              <w:t>No declared-but-unused package</w:t>
            </w:r>
          </w:p>
        </w:tc>
      </w:tr>
      <w:tr>
        <w:trPr>
          <w:cantSplit/>
        </w:trPr>
        <w:tc>
          <w:tcPr>
            <w:tcW w:type="dxa" w:w="3600"/>
          </w:tcPr>
          <w:p>
            <w:pPr>
              <w:spacing w:after="0"/>
            </w:pPr>
            <w:r/>
            <w:r>
              <w:rPr>
                <w:sz w:val="15"/>
              </w:rPr>
              <w:t>Add RLS or a repository-level tenant guard</w:t>
            </w:r>
          </w:p>
        </w:tc>
        <w:tc>
          <w:tcPr>
            <w:tcW w:type="dxa" w:w="1296"/>
          </w:tcPr>
          <w:p>
            <w:pPr>
              <w:spacing w:after="0"/>
            </w:pPr>
            <w:r/>
            <w:r>
              <w:rPr>
                <w:sz w:val="15"/>
              </w:rPr>
              <w:t>35.2</w:t>
            </w:r>
          </w:p>
        </w:tc>
        <w:tc>
          <w:tcPr>
            <w:tcW w:type="dxa" w:w="1008"/>
          </w:tcPr>
          <w:p>
            <w:pPr>
              <w:spacing w:after="0"/>
            </w:pPr>
            <w:r/>
            <w:r>
              <w:rPr>
                <w:sz w:val="15"/>
              </w:rPr>
              <w:t>weeks</w:t>
            </w:r>
          </w:p>
        </w:tc>
        <w:tc>
          <w:tcPr>
            <w:tcW w:type="dxa" w:w="3456"/>
          </w:tcPr>
          <w:p>
            <w:pPr>
              <w:spacing w:after="0"/>
            </w:pPr>
            <w:r/>
            <w:r>
              <w:rPr>
                <w:sz w:val="15"/>
              </w:rPr>
              <w:t>Cross-tenant read attempts fail at the data layer</w:t>
            </w:r>
          </w:p>
        </w:tc>
      </w:tr>
      <w:tr>
        <w:trPr>
          <w:cantSplit/>
        </w:trPr>
        <w:tc>
          <w:tcPr>
            <w:tcW w:type="dxa" w:w="3600"/>
          </w:tcPr>
          <w:p>
            <w:pPr>
              <w:spacing w:after="0"/>
            </w:pPr>
            <w:r/>
            <w:r>
              <w:rPr>
                <w:sz w:val="15"/>
              </w:rPr>
              <w:t>Implement or remove the offline POS claim</w:t>
            </w:r>
          </w:p>
        </w:tc>
        <w:tc>
          <w:tcPr>
            <w:tcW w:type="dxa" w:w="1296"/>
          </w:tcPr>
          <w:p>
            <w:pPr>
              <w:spacing w:after="0"/>
            </w:pPr>
            <w:r/>
            <w:r>
              <w:rPr>
                <w:sz w:val="15"/>
              </w:rPr>
              <w:t>F-17</w:t>
            </w:r>
          </w:p>
        </w:tc>
        <w:tc>
          <w:tcPr>
            <w:tcW w:type="dxa" w:w="1008"/>
          </w:tcPr>
          <w:p>
            <w:pPr>
              <w:spacing w:after="0"/>
            </w:pPr>
            <w:r/>
            <w:r>
              <w:rPr>
                <w:sz w:val="15"/>
              </w:rPr>
              <w:t>weeks</w:t>
            </w:r>
          </w:p>
        </w:tc>
        <w:tc>
          <w:tcPr>
            <w:tcW w:type="dxa" w:w="3456"/>
          </w:tcPr>
          <w:p>
            <w:pPr>
              <w:spacing w:after="0"/>
            </w:pPr>
            <w:r/>
            <w:r>
              <w:rPr>
                <w:sz w:val="15"/>
              </w:rPr>
              <w:t>Either a queue exists or the docs are corrected</w:t>
            </w:r>
          </w:p>
        </w:tc>
      </w:tr>
      <w:tr>
        <w:trPr>
          <w:cantSplit/>
        </w:trPr>
        <w:tc>
          <w:tcPr>
            <w:tcW w:type="dxa" w:w="3600"/>
          </w:tcPr>
          <w:p>
            <w:pPr>
              <w:spacing w:after="0"/>
            </w:pPr>
            <w:r/>
            <w:r>
              <w:rPr>
                <w:sz w:val="15"/>
              </w:rPr>
              <w:t>Add metrics/tracing</w:t>
            </w:r>
          </w:p>
        </w:tc>
        <w:tc>
          <w:tcPr>
            <w:tcW w:type="dxa" w:w="1296"/>
          </w:tcPr>
          <w:p>
            <w:pPr>
              <w:spacing w:after="0"/>
            </w:pPr>
            <w:r/>
            <w:r>
              <w:rPr>
                <w:sz w:val="15"/>
              </w:rPr>
              <w:t>30</w:t>
            </w:r>
          </w:p>
        </w:tc>
        <w:tc>
          <w:tcPr>
            <w:tcW w:type="dxa" w:w="1008"/>
          </w:tcPr>
          <w:p>
            <w:pPr>
              <w:spacing w:after="0"/>
            </w:pPr>
            <w:r/>
            <w:r>
              <w:rPr>
                <w:sz w:val="15"/>
              </w:rPr>
              <w:t>weeks</w:t>
            </w:r>
          </w:p>
        </w:tc>
        <w:tc>
          <w:tcPr>
            <w:tcW w:type="dxa" w:w="3456"/>
          </w:tcPr>
          <w:p>
            <w:pPr>
              <w:spacing w:after="0"/>
            </w:pPr>
            <w:r/>
            <w:r>
              <w:rPr>
                <w:sz w:val="15"/>
              </w:rPr>
              <w:t>p95 latency and error rate are observable</w:t>
            </w:r>
          </w:p>
        </w:tc>
      </w:tr>
    </w:tbl>
    <w:p>
      <w:pPr>
        <w:spacing w:after="200"/>
      </w:pPr>
      <w:r>
        <w:rPr>
          <w:i/>
          <w:color w:val="555F6D"/>
          <w:sz w:val="17"/>
        </w:rPr>
        <w:t>Table 111. Priority 3 actions</w:t>
      </w:r>
    </w:p>
    <w:p>
      <w:bookmarkStart w:id="1341" w:name="_Toc1341"/>
      <w:pPr>
        <w:pStyle w:val="Heading2"/>
      </w:pPr>
      <w:r>
        <w:t>39.4 Explicitly not recommended</w:t>
      </w:r>
      <w:bookmarkEnd w:id="1341"/>
    </w:p>
    <w:p>
      <w:pPr>
        <w:pStyle w:val="ListBullet"/>
      </w:pPr>
      <w:r>
        <w:t>Do not add DOWN migrations to satisfy a rollback checkbox. With this schema, a restore is the honest rollback; a half-tested DOWN is worse than none.</w:t>
      </w:r>
    </w:p>
    <w:p>
      <w:pPr>
        <w:pStyle w:val="ListBullet"/>
      </w:pPr>
      <w:r>
        <w:t>Do not replace the permission system with role checks in the frontend. The permission matrix is the only boundary and it is already DB-driven.</w:t>
      </w:r>
    </w:p>
    <w:p>
      <w:pPr>
        <w:pStyle w:val="ListBullet"/>
      </w:pPr>
      <w:r>
        <w:t>Do not move money arithmetic to the frontend for 'responsiveness'. The server resolves prices for a reason; the client's unit_price is ignored by design.</w:t>
      </w:r>
    </w:p>
    <w:p>
      <w:pPr>
        <w:pStyle w:val="ListBullet"/>
      </w:pPr>
      <w:r>
        <w:t>Do not enable negative stock on a deployment where the owner has not agreed to backorders; the default is permissive and that is a business decision, not a technical one.</w:t>
      </w:r>
    </w:p>
    <w:p>
      <w:bookmarkStart w:id="1342" w:name="_Toc1342"/>
      <w:pPr>
        <w:pStyle w:val="Heading1"/>
        <w:pageBreakBefore/>
      </w:pPr>
      <w:r>
        <w:t>40. Documentation maintenance guide</w:t>
      </w:r>
      <w:bookmarkEnd w:id="1342"/>
    </w:p>
    <w:p>
      <w:bookmarkStart w:id="1343" w:name="_Toc1343"/>
      <w:pPr>
        <w:pStyle w:val="Heading2"/>
      </w:pPr>
      <w:r>
        <w:t>40.1 What regenerates what</w:t>
      </w:r>
      <w:bookmarkEnd w:id="1343"/>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648" w:type="dxa"/>
      </w:tblPr>
      <w:tblGrid>
        <w:gridCol w:w="2412"/>
        <w:gridCol w:w="2412"/>
        <w:gridCol w:w="2412"/>
        <w:gridCol w:w="2412"/>
      </w:tblGrid>
      <w:tr>
        <w:trPr>
          <w:tblHeader w:val="true"/>
        </w:trPr>
        <w:tc>
          <w:tcPr>
            <w:tcW w:type="dxa" w:w="2868"/>
            <w:shd w:val="clear" w:color="auto" w:fill="1F3A5F"/>
          </w:tcPr>
          <w:p>
            <w:pPr>
              <w:spacing w:after="0"/>
            </w:pPr>
            <w:r/>
            <w:r>
              <w:rPr>
                <w:b/>
                <w:color w:val="FFFFFF"/>
                <w:sz w:val="15"/>
              </w:rPr>
              <w:t>Artefact</w:t>
            </w:r>
          </w:p>
        </w:tc>
        <w:tc>
          <w:tcPr>
            <w:tcW w:type="dxa" w:w="2608"/>
            <w:shd w:val="clear" w:color="auto" w:fill="1F3A5F"/>
          </w:tcPr>
          <w:p>
            <w:pPr>
              <w:spacing w:after="0"/>
            </w:pPr>
            <w:r/>
            <w:r>
              <w:rPr>
                <w:b/>
                <w:color w:val="FFFFFF"/>
                <w:sz w:val="15"/>
              </w:rPr>
              <w:t>Generator</w:t>
            </w:r>
          </w:p>
        </w:tc>
        <w:tc>
          <w:tcPr>
            <w:tcW w:type="dxa" w:w="2347"/>
            <w:shd w:val="clear" w:color="auto" w:fill="1F3A5F"/>
          </w:tcPr>
          <w:p>
            <w:pPr>
              <w:spacing w:after="0"/>
            </w:pPr>
            <w:r/>
            <w:r>
              <w:rPr>
                <w:b/>
                <w:color w:val="FFFFFF"/>
                <w:sz w:val="15"/>
              </w:rPr>
              <w:t>Input</w:t>
            </w:r>
          </w:p>
        </w:tc>
        <w:tc>
          <w:tcPr>
            <w:tcW w:type="dxa" w:w="1825"/>
            <w:shd w:val="clear" w:color="auto" w:fill="1F3A5F"/>
          </w:tcPr>
          <w:p>
            <w:pPr>
              <w:spacing w:after="0"/>
            </w:pPr>
            <w:r/>
            <w:r>
              <w:rPr>
                <w:b/>
                <w:color w:val="FFFFFF"/>
                <w:sz w:val="15"/>
              </w:rPr>
              <w:t>When to run</w:t>
            </w:r>
          </w:p>
        </w:tc>
      </w:tr>
      <w:tr>
        <w:trPr>
          <w:cantSplit/>
        </w:trPr>
        <w:tc>
          <w:tcPr>
            <w:tcW w:type="dxa" w:w="2868"/>
          </w:tcPr>
          <w:p>
            <w:pPr>
              <w:spacing w:after="0"/>
            </w:pPr>
            <w:r/>
            <w:r>
              <w:rPr>
                <w:sz w:val="15"/>
              </w:rPr>
              <w:t>docs/audit/database-inventory.csv</w:t>
            </w:r>
          </w:p>
        </w:tc>
        <w:tc>
          <w:tcPr>
            <w:tcW w:type="dxa" w:w="2608"/>
          </w:tcPr>
          <w:p>
            <w:pPr>
              <w:spacing w:after="0"/>
            </w:pPr>
            <w:r/>
            <w:r>
              <w:rPr>
                <w:sz w:val="15"/>
              </w:rPr>
              <w:t>docs/audit/tools/build_inventories.py</w:t>
            </w:r>
          </w:p>
        </w:tc>
        <w:tc>
          <w:tcPr>
            <w:tcW w:type="dxa" w:w="2347"/>
          </w:tcPr>
          <w:p>
            <w:pPr>
              <w:spacing w:after="0"/>
            </w:pPr>
            <w:r/>
            <w:r>
              <w:rPr>
                <w:sz w:val="15"/>
              </w:rPr>
              <w:t>docs/audit/raw/*.csv (introspection)</w:t>
            </w:r>
          </w:p>
        </w:tc>
        <w:tc>
          <w:tcPr>
            <w:tcW w:type="dxa" w:w="1825"/>
          </w:tcPr>
          <w:p>
            <w:pPr>
              <w:spacing w:after="0"/>
            </w:pPr>
            <w:r/>
            <w:r>
              <w:rPr>
                <w:sz w:val="15"/>
              </w:rPr>
              <w:t>After a schema change</w:t>
            </w:r>
          </w:p>
        </w:tc>
      </w:tr>
      <w:tr>
        <w:trPr>
          <w:cantSplit/>
        </w:trPr>
        <w:tc>
          <w:tcPr>
            <w:tcW w:type="dxa" w:w="2868"/>
          </w:tcPr>
          <w:p>
            <w:pPr>
              <w:spacing w:after="0"/>
            </w:pPr>
            <w:r/>
            <w:r>
              <w:rPr>
                <w:sz w:val="15"/>
              </w:rPr>
              <w:t>docs/audit/api-inventory.csv</w:t>
            </w:r>
          </w:p>
        </w:tc>
        <w:tc>
          <w:tcPr>
            <w:tcW w:type="dxa" w:w="2608"/>
          </w:tcPr>
          <w:p>
            <w:pPr>
              <w:spacing w:after="0"/>
            </w:pPr>
            <w:r/>
            <w:r>
              <w:rPr>
                <w:sz w:val="15"/>
              </w:rPr>
              <w:t>same</w:t>
            </w:r>
          </w:p>
        </w:tc>
        <w:tc>
          <w:tcPr>
            <w:tcW w:type="dxa" w:w="2347"/>
          </w:tcPr>
          <w:p>
            <w:pPr>
              <w:spacing w:after="0"/>
            </w:pPr>
            <w:r/>
            <w:r>
              <w:rPr>
                <w:sz w:val="15"/>
              </w:rPr>
              <w:t>docs/audit/raw/api_ops.json + routes_mounted.json</w:t>
            </w:r>
          </w:p>
        </w:tc>
        <w:tc>
          <w:tcPr>
            <w:tcW w:type="dxa" w:w="1825"/>
          </w:tcPr>
          <w:p>
            <w:pPr>
              <w:spacing w:after="0"/>
            </w:pPr>
            <w:r/>
            <w:r>
              <w:rPr>
                <w:sz w:val="15"/>
              </w:rPr>
              <w:t>After adding or changing an endpoint</w:t>
            </w:r>
          </w:p>
        </w:tc>
      </w:tr>
      <w:tr>
        <w:trPr>
          <w:cantSplit/>
        </w:trPr>
        <w:tc>
          <w:tcPr>
            <w:tcW w:type="dxa" w:w="2868"/>
          </w:tcPr>
          <w:p>
            <w:pPr>
              <w:spacing w:after="0"/>
            </w:pPr>
            <w:r/>
            <w:r>
              <w:rPr>
                <w:sz w:val="15"/>
              </w:rPr>
              <w:t>docs/audit/route-inventory.csv</w:t>
            </w:r>
          </w:p>
        </w:tc>
        <w:tc>
          <w:tcPr>
            <w:tcW w:type="dxa" w:w="2608"/>
          </w:tcPr>
          <w:p>
            <w:pPr>
              <w:spacing w:after="0"/>
            </w:pPr>
            <w:r/>
            <w:r>
              <w:rPr>
                <w:sz w:val="15"/>
              </w:rPr>
              <w:t>same</w:t>
            </w:r>
          </w:p>
        </w:tc>
        <w:tc>
          <w:tcPr>
            <w:tcW w:type="dxa" w:w="2347"/>
          </w:tcPr>
          <w:p>
            <w:pPr>
              <w:spacing w:after="0"/>
            </w:pPr>
            <w:r/>
            <w:r>
              <w:rPr>
                <w:sz w:val="15"/>
              </w:rPr>
              <w:t>docs/audit/raw/ui_routes.json</w:t>
            </w:r>
          </w:p>
        </w:tc>
        <w:tc>
          <w:tcPr>
            <w:tcW w:type="dxa" w:w="1825"/>
          </w:tcPr>
          <w:p>
            <w:pPr>
              <w:spacing w:after="0"/>
            </w:pPr>
            <w:r/>
            <w:r>
              <w:rPr>
                <w:sz w:val="15"/>
              </w:rPr>
              <w:t>After adding a UI route</w:t>
            </w:r>
          </w:p>
        </w:tc>
      </w:tr>
      <w:tr>
        <w:trPr>
          <w:cantSplit/>
        </w:trPr>
        <w:tc>
          <w:tcPr>
            <w:tcW w:type="dxa" w:w="2868"/>
          </w:tcPr>
          <w:p>
            <w:pPr>
              <w:spacing w:after="0"/>
            </w:pPr>
            <w:r/>
            <w:r>
              <w:rPr>
                <w:sz w:val="15"/>
              </w:rPr>
              <w:t>docs/diagrams/erd-*.mmd</w:t>
            </w:r>
          </w:p>
        </w:tc>
        <w:tc>
          <w:tcPr>
            <w:tcW w:type="dxa" w:w="2608"/>
          </w:tcPr>
          <w:p>
            <w:pPr>
              <w:spacing w:after="0"/>
            </w:pPr>
            <w:r/>
            <w:r>
              <w:rPr>
                <w:sz w:val="15"/>
              </w:rPr>
              <w:t>docs/diagrams/gen_erd.py</w:t>
            </w:r>
          </w:p>
        </w:tc>
        <w:tc>
          <w:tcPr>
            <w:tcW w:type="dxa" w:w="2347"/>
          </w:tcPr>
          <w:p>
            <w:pPr>
              <w:spacing w:after="0"/>
            </w:pPr>
            <w:r/>
            <w:r>
              <w:rPr>
                <w:sz w:val="15"/>
              </w:rPr>
              <w:t>docs/audit/raw/columns_full.csv + constraints.csv</w:t>
            </w:r>
          </w:p>
        </w:tc>
        <w:tc>
          <w:tcPr>
            <w:tcW w:type="dxa" w:w="1825"/>
          </w:tcPr>
          <w:p>
            <w:pPr>
              <w:spacing w:after="0"/>
            </w:pPr>
            <w:r/>
            <w:r>
              <w:rPr>
                <w:sz w:val="15"/>
              </w:rPr>
              <w:t>After a schema change</w:t>
            </w:r>
          </w:p>
        </w:tc>
      </w:tr>
      <w:tr>
        <w:trPr>
          <w:cantSplit/>
        </w:trPr>
        <w:tc>
          <w:tcPr>
            <w:tcW w:type="dxa" w:w="2868"/>
          </w:tcPr>
          <w:p>
            <w:pPr>
              <w:spacing w:after="0"/>
            </w:pPr>
            <w:r/>
            <w:r>
              <w:rPr>
                <w:sz w:val="15"/>
              </w:rPr>
              <w:t>docs/diagrams/rendered/*.png</w:t>
            </w:r>
          </w:p>
        </w:tc>
        <w:tc>
          <w:tcPr>
            <w:tcW w:type="dxa" w:w="2608"/>
          </w:tcPr>
          <w:p>
            <w:pPr>
              <w:spacing w:after="0"/>
            </w:pPr>
            <w:r/>
            <w:r>
              <w:rPr>
                <w:sz w:val="15"/>
              </w:rPr>
              <w:t>mmdc (Mermaid CLI)</w:t>
            </w:r>
          </w:p>
        </w:tc>
        <w:tc>
          <w:tcPr>
            <w:tcW w:type="dxa" w:w="2347"/>
          </w:tcPr>
          <w:p>
            <w:pPr>
              <w:spacing w:after="0"/>
            </w:pPr>
            <w:r/>
            <w:r>
              <w:rPr>
                <w:sz w:val="15"/>
              </w:rPr>
              <w:t>docs/diagrams/*.mmd</w:t>
            </w:r>
          </w:p>
        </w:tc>
        <w:tc>
          <w:tcPr>
            <w:tcW w:type="dxa" w:w="1825"/>
          </w:tcPr>
          <w:p>
            <w:pPr>
              <w:spacing w:after="0"/>
            </w:pPr>
            <w:r/>
            <w:r>
              <w:rPr>
                <w:sz w:val="15"/>
              </w:rPr>
              <w:t>After editing a diagram</w:t>
            </w:r>
          </w:p>
        </w:tc>
      </w:tr>
      <w:tr>
        <w:trPr>
          <w:cantSplit/>
        </w:trPr>
        <w:tc>
          <w:tcPr>
            <w:tcW w:type="dxa" w:w="2868"/>
          </w:tcPr>
          <w:p>
            <w:pPr>
              <w:spacing w:after="0"/>
            </w:pPr>
            <w:r/>
            <w:r>
              <w:rPr>
                <w:sz w:val="15"/>
              </w:rPr>
              <w:t>This document</w:t>
            </w:r>
          </w:p>
        </w:tc>
        <w:tc>
          <w:tcPr>
            <w:tcW w:type="dxa" w:w="2608"/>
          </w:tcPr>
          <w:p>
            <w:pPr>
              <w:spacing w:after="0"/>
            </w:pPr>
            <w:r/>
            <w:r>
              <w:rPr>
                <w:sz w:val="15"/>
              </w:rPr>
              <w:t>docs/docgen/build_doc.py</w:t>
            </w:r>
          </w:p>
        </w:tc>
        <w:tc>
          <w:tcPr>
            <w:tcW w:type="dxa" w:w="2347"/>
          </w:tcPr>
          <w:p>
            <w:pPr>
              <w:spacing w:after="0"/>
            </w:pPr>
            <w:r/>
            <w:r>
              <w:rPr>
                <w:sz w:val="15"/>
              </w:rPr>
              <w:t>all of the above + facts.py</w:t>
            </w:r>
          </w:p>
        </w:tc>
        <w:tc>
          <w:tcPr>
            <w:tcW w:type="dxa" w:w="1825"/>
          </w:tcPr>
          <w:p>
            <w:pPr>
              <w:spacing w:after="0"/>
            </w:pPr>
            <w:r/>
            <w:r>
              <w:rPr>
                <w:sz w:val="15"/>
              </w:rPr>
              <w:t>After any of the above, or a release</w:t>
            </w:r>
          </w:p>
        </w:tc>
      </w:tr>
    </w:tbl>
    <w:p>
      <w:pPr>
        <w:spacing w:after="200"/>
      </w:pPr>
      <w:r>
        <w:rPr>
          <w:i/>
          <w:color w:val="555F6D"/>
          <w:sz w:val="17"/>
        </w:rPr>
        <w:t>Table 112. Regeneration map</w:t>
      </w:r>
    </w:p>
    <w:p>
      <w:bookmarkStart w:id="1344" w:name="_Toc1344"/>
      <w:pPr>
        <w:pStyle w:val="Heading2"/>
      </w:pPr>
      <w:r>
        <w:t>40.2 Refresh procedure</w:t>
      </w:r>
      <w:bookmarkEnd w:id="1344"/>
    </w:p>
    <w:p>
      <w:pPr>
        <w:spacing w:after="0" w:before="0"/>
        <w:ind w:left="216"/>
      </w:pPr>
      <w:r>
        <w:rPr>
          <w:rFonts w:ascii="Consolas" w:hAnsi="Consolas"/>
          <w:color w:val="1A1A1A"/>
          <w:sz w:val="16"/>
        </w:rPr>
        <w:t># 1. Introspect a freshly migrated database</w:t>
      </w:r>
    </w:p>
    <w:p>
      <w:pPr>
        <w:spacing w:after="0" w:before="0"/>
        <w:ind w:left="216"/>
      </w:pPr>
      <w:r>
        <w:rPr>
          <w:rFonts w:ascii="Consolas" w:hAnsi="Consolas"/>
          <w:color w:val="1A1A1A"/>
          <w:sz w:val="16"/>
        </w:rPr>
        <w:t>podman exec km-audit-pg psql -U audit -d km -c "\copy (SELECT ...) TO STDOUT WITH CSV HEADER" \</w:t>
      </w:r>
    </w:p>
    <w:p>
      <w:pPr>
        <w:spacing w:after="0" w:before="0"/>
        <w:ind w:left="216"/>
      </w:pPr>
      <w:r>
        <w:rPr>
          <w:rFonts w:ascii="Consolas" w:hAnsi="Consolas"/>
          <w:color w:val="1A1A1A"/>
          <w:sz w:val="16"/>
        </w:rPr>
        <w:t xml:space="preserve">  &gt; docs/audit/raw/columns_full.csv      # see docs/audit/tools/README for every query</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 2. Rebuild inventories and diagrams</w:t>
      </w:r>
    </w:p>
    <w:p>
      <w:pPr>
        <w:spacing w:after="0" w:before="0"/>
        <w:ind w:left="216"/>
      </w:pPr>
      <w:r>
        <w:rPr>
          <w:rFonts w:ascii="Consolas" w:hAnsi="Consolas"/>
          <w:color w:val="1A1A1A"/>
          <w:sz w:val="16"/>
        </w:rPr>
        <w:t>python3 docs/audit/tools/build_inventories.py</w:t>
      </w:r>
    </w:p>
    <w:p>
      <w:pPr>
        <w:spacing w:after="0" w:before="0"/>
        <w:ind w:left="216"/>
      </w:pPr>
      <w:r>
        <w:rPr>
          <w:rFonts w:ascii="Consolas" w:hAnsi="Consolas"/>
          <w:color w:val="1A1A1A"/>
          <w:sz w:val="16"/>
        </w:rPr>
        <w:t>python3 docs/diagrams/gen_erd.py</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 3. Re-render diagrams (Mermaid CLI; any recent version works)</w:t>
      </w:r>
    </w:p>
    <w:p>
      <w:pPr>
        <w:spacing w:after="0" w:before="0"/>
        <w:ind w:left="216"/>
      </w:pPr>
      <w:r>
        <w:rPr>
          <w:rFonts w:ascii="Consolas" w:hAnsi="Consolas"/>
          <w:color w:val="1A1A1A"/>
          <w:sz w:val="16"/>
        </w:rPr>
        <w:t>for f in docs/diagrams/*.mmd; do</w:t>
      </w:r>
    </w:p>
    <w:p>
      <w:pPr>
        <w:spacing w:after="0" w:before="0"/>
        <w:ind w:left="216"/>
      </w:pPr>
      <w:r>
        <w:rPr>
          <w:rFonts w:ascii="Consolas" w:hAnsi="Consolas"/>
          <w:color w:val="1A1A1A"/>
          <w:sz w:val="16"/>
        </w:rPr>
        <w:t xml:space="preserve">  mmdc -i "$f" -o "docs/diagrams/rendered/$(basename "${f%.mmd}").png" -b white -s 2 --size 1600</w:t>
      </w:r>
    </w:p>
    <w:p>
      <w:pPr>
        <w:spacing w:after="0" w:before="0"/>
        <w:ind w:left="216"/>
      </w:pPr>
      <w:r>
        <w:rPr>
          <w:rFonts w:ascii="Consolas" w:hAnsi="Consolas"/>
          <w:color w:val="1A1A1A"/>
          <w:sz w:val="16"/>
        </w:rPr>
        <w:t>done</w:t>
      </w:r>
    </w:p>
    <w:p>
      <w:pPr>
        <w:spacing w:after="0" w:before="0"/>
        <w:ind w:left="216"/>
      </w:pPr>
      <w:r>
        <w:rPr>
          <w:rFonts w:ascii="Consolas" w:hAnsi="Consolas"/>
          <w:color w:val="1A1A1A"/>
          <w:sz w:val="16"/>
        </w:rPr>
        <w:t xml:space="preserve"> </w:t>
      </w:r>
    </w:p>
    <w:p>
      <w:pPr>
        <w:spacing w:after="0" w:before="0"/>
        <w:ind w:left="216"/>
      </w:pPr>
      <w:r>
        <w:rPr>
          <w:rFonts w:ascii="Consolas" w:hAnsi="Consolas"/>
          <w:color w:val="1A1A1A"/>
          <w:sz w:val="16"/>
        </w:rPr>
        <w:t># 4. Rebuild the document</w:t>
      </w:r>
    </w:p>
    <w:p>
      <w:pPr>
        <w:spacing w:after="0" w:before="0"/>
        <w:ind w:left="216"/>
      </w:pPr>
      <w:r>
        <w:rPr>
          <w:rFonts w:ascii="Consolas" w:hAnsi="Consolas"/>
          <w:color w:val="1A1A1A"/>
          <w:sz w:val="16"/>
        </w:rPr>
        <w:t>cd docs/docgen &amp;&amp; python3 build_doc.py</w:t>
      </w:r>
    </w:p>
    <w:p>
      <w:pPr>
        <w:spacing w:after="200"/>
      </w:pPr>
      <w:r>
        <w:rPr>
          <w:i/>
          <w:color w:val="555F6D"/>
          <w:sz w:val="17"/>
        </w:rPr>
        <w:t>Table 113. Refresh commands</w:t>
      </w:r>
    </w:p>
    <w:p>
      <w:bookmarkStart w:id="1345" w:name="_Toc1345"/>
      <w:pPr>
        <w:pStyle w:val="Heading2"/>
      </w:pPr>
      <w:r>
        <w:t>40.3 Rules for future edits</w:t>
      </w:r>
      <w:bookmarkEnd w:id="1345"/>
    </w:p>
    <w:p>
      <w:pPr>
        <w:pStyle w:val="ListBullet"/>
      </w:pPr>
      <w:r>
        <w:t>Update facts.py rather than editing prose numbers: every count in the document is read from that module.</w:t>
      </w:r>
    </w:p>
    <w:p>
      <w:pPr>
        <w:pStyle w:val="ListBullet"/>
      </w:pPr>
      <w:r>
        <w:t>Keep the evidence class labels. A claim without a label is a defect in this document, not a shortcut.</w:t>
      </w:r>
    </w:p>
    <w:p>
      <w:pPr>
        <w:pStyle w:val="ListBullet"/>
      </w:pPr>
      <w:r>
        <w:t>When a finding is fixed, move it to a 'Resolved' table with the commit that fixed it rather than deleting it; the register is also the project's memory.</w:t>
      </w:r>
    </w:p>
    <w:p>
      <w:pPr>
        <w:pStyle w:val="ListBullet"/>
      </w:pPr>
      <w:r>
        <w:t>Regenerate the ERDs after every migration, even a permission-only one, so the census counts stay right.</w:t>
      </w:r>
    </w:p>
    <w:p>
      <w:pPr>
        <w:pStyle w:val="ListBullet"/>
      </w:pPr>
      <w:r>
        <w:t>Do not add screenshots unless they come from a real running instance; the repository has one (apps/erp/erp-login.png) and it is not used here because it cannot be verified as current.</w:t>
      </w:r>
    </w:p>
    <w:p>
      <w:bookmarkStart w:id="1346" w:name="_Toc1346"/>
      <w:pPr>
        <w:pStyle w:val="Heading2"/>
      </w:pPr>
      <w:r>
        <w:t>40.4 Ownership</w:t>
      </w:r>
      <w:bookmarkEnd w:id="1346"/>
    </w:p>
    <w:p>
      <w:r>
        <w:rPr>
          <w:i w:val="0"/>
        </w:rPr>
        <w:t>CODEOWNERS exists but does not assign a documentation owner. Until it does, treat docs/docgen and docs/audit as owned by whoever last changed the schema or the router, and make regeneration part of that change.</w:t>
      </w:r>
    </w:p>
    <w:p>
      <w:bookmarkStart w:id="1347" w:name="_Toc1347"/>
      <w:pPr>
        <w:pStyle w:val="Heading1"/>
        <w:pageBreakBefore/>
      </w:pPr>
      <w:r>
        <w:t>Appendix A. Complete directory inventory</w:t>
      </w:r>
      <w:bookmarkEnd w:id="1347"/>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592"/>
            <w:shd w:val="clear" w:color="auto" w:fill="1F3A5F"/>
          </w:tcPr>
          <w:p>
            <w:pPr>
              <w:spacing w:after="0"/>
            </w:pPr>
            <w:r/>
            <w:r>
              <w:rPr>
                <w:b/>
                <w:color w:val="FFFFFF"/>
                <w:sz w:val="15"/>
              </w:rPr>
              <w:t>Path</w:t>
            </w:r>
          </w:p>
        </w:tc>
        <w:tc>
          <w:tcPr>
            <w:tcW w:type="dxa" w:w="3312"/>
            <w:shd w:val="clear" w:color="auto" w:fill="1F3A5F"/>
          </w:tcPr>
          <w:p>
            <w:pPr>
              <w:spacing w:after="0"/>
            </w:pPr>
            <w:r/>
            <w:r>
              <w:rPr>
                <w:b/>
                <w:color w:val="FFFFFF"/>
                <w:sz w:val="15"/>
              </w:rPr>
              <w:t>Files</w:t>
            </w:r>
          </w:p>
        </w:tc>
        <w:tc>
          <w:tcPr>
            <w:tcW w:type="dxa" w:w="3456"/>
            <w:shd w:val="clear" w:color="auto" w:fill="1F3A5F"/>
          </w:tcPr>
          <w:p>
            <w:pPr>
              <w:spacing w:after="0"/>
            </w:pPr>
            <w:r/>
            <w:r>
              <w:rPr>
                <w:b/>
                <w:color w:val="FFFFFF"/>
                <w:sz w:val="15"/>
              </w:rPr>
              <w:t>Purpose</w:t>
            </w:r>
          </w:p>
        </w:tc>
      </w:tr>
      <w:tr>
        <w:trPr>
          <w:cantSplit/>
        </w:trPr>
        <w:tc>
          <w:tcPr>
            <w:tcW w:type="dxa" w:w="2592"/>
          </w:tcPr>
          <w:p>
            <w:pPr>
              <w:spacing w:after="0"/>
            </w:pPr>
            <w:r/>
            <w:r>
              <w:rPr>
                <w:sz w:val="15"/>
              </w:rPr>
              <w:t>apps/backend/cmd</w:t>
            </w:r>
          </w:p>
        </w:tc>
        <w:tc>
          <w:tcPr>
            <w:tcW w:type="dxa" w:w="3312"/>
          </w:tcPr>
          <w:p>
            <w:pPr>
              <w:spacing w:after="0"/>
            </w:pPr>
            <w:r/>
            <w:r>
              <w:rPr>
                <w:sz w:val="15"/>
              </w:rPr>
              <w:t>4 Go packages</w:t>
            </w:r>
          </w:p>
        </w:tc>
        <w:tc>
          <w:tcPr>
            <w:tcW w:type="dxa" w:w="3456"/>
          </w:tcPr>
          <w:p>
            <w:pPr>
              <w:spacing w:after="0"/>
            </w:pPr>
            <w:r/>
            <w:r>
              <w:rPr>
                <w:sz w:val="15"/>
              </w:rPr>
              <w:t>server, seedctl, importer + tests</w:t>
            </w:r>
          </w:p>
        </w:tc>
      </w:tr>
      <w:tr>
        <w:trPr>
          <w:cantSplit/>
        </w:trPr>
        <w:tc>
          <w:tcPr>
            <w:tcW w:type="dxa" w:w="2592"/>
          </w:tcPr>
          <w:p>
            <w:pPr>
              <w:spacing w:after="0"/>
            </w:pPr>
            <w:r/>
            <w:r>
              <w:rPr>
                <w:sz w:val="15"/>
              </w:rPr>
              <w:t>apps/backend/internal</w:t>
            </w:r>
          </w:p>
        </w:tc>
        <w:tc>
          <w:tcPr>
            <w:tcW w:type="dxa" w:w="3312"/>
          </w:tcPr>
          <w:p>
            <w:pPr>
              <w:spacing w:after="0"/>
            </w:pPr>
            <w:r/>
            <w:r>
              <w:rPr>
                <w:sz w:val="15"/>
              </w:rPr>
              <w:t>296 Go files</w:t>
            </w:r>
          </w:p>
        </w:tc>
        <w:tc>
          <w:tcPr>
            <w:tcW w:type="dxa" w:w="3456"/>
          </w:tcPr>
          <w:p>
            <w:pPr>
              <w:spacing w:after="0"/>
            </w:pPr>
            <w:r/>
            <w:r>
              <w:rPr>
                <w:sz w:val="15"/>
              </w:rPr>
              <w:t>27 domain modules, db layer, migrations runner</w:t>
            </w:r>
          </w:p>
        </w:tc>
      </w:tr>
      <w:tr>
        <w:trPr>
          <w:cantSplit/>
        </w:trPr>
        <w:tc>
          <w:tcPr>
            <w:tcW w:type="dxa" w:w="2592"/>
          </w:tcPr>
          <w:p>
            <w:pPr>
              <w:spacing w:after="0"/>
            </w:pPr>
            <w:r/>
            <w:r>
              <w:rPr>
                <w:sz w:val="15"/>
              </w:rPr>
              <w:t>apps/backend/pkg</w:t>
            </w:r>
          </w:p>
        </w:tc>
        <w:tc>
          <w:tcPr>
            <w:tcW w:type="dxa" w:w="3312"/>
          </w:tcPr>
          <w:p>
            <w:pPr>
              <w:spacing w:after="0"/>
            </w:pPr>
            <w:r/>
            <w:r>
              <w:rPr>
                <w:sz w:val="15"/>
              </w:rPr>
              <w:t>8 packages</w:t>
            </w:r>
          </w:p>
        </w:tc>
        <w:tc>
          <w:tcPr>
            <w:tcW w:type="dxa" w:w="3456"/>
          </w:tcPr>
          <w:p>
            <w:pPr>
              <w:spacing w:after="0"/>
            </w:pPr>
            <w:r/>
            <w:r>
              <w:rPr>
                <w:sz w:val="15"/>
              </w:rPr>
              <w:t>cache, config, database, decimal, httpresponse, logger, middleware, redis, seq, storage</w:t>
            </w:r>
          </w:p>
        </w:tc>
      </w:tr>
      <w:tr>
        <w:trPr>
          <w:cantSplit/>
        </w:trPr>
        <w:tc>
          <w:tcPr>
            <w:tcW w:type="dxa" w:w="2592"/>
          </w:tcPr>
          <w:p>
            <w:pPr>
              <w:spacing w:after="0"/>
            </w:pPr>
            <w:r/>
            <w:r>
              <w:rPr>
                <w:sz w:val="15"/>
              </w:rPr>
              <w:t>apps/backend/migrations</w:t>
            </w:r>
          </w:p>
        </w:tc>
        <w:tc>
          <w:tcPr>
            <w:tcW w:type="dxa" w:w="3312"/>
          </w:tcPr>
          <w:p>
            <w:pPr>
              <w:spacing w:after="0"/>
            </w:pPr>
            <w:r/>
            <w:r>
              <w:rPr>
                <w:sz w:val="15"/>
              </w:rPr>
              <w:t>123 SQL + embed.go + atlas.sum</w:t>
            </w:r>
          </w:p>
        </w:tc>
        <w:tc>
          <w:tcPr>
            <w:tcW w:type="dxa" w:w="3456"/>
          </w:tcPr>
          <w:p>
            <w:pPr>
              <w:spacing w:after="0"/>
            </w:pPr>
            <w:r/>
            <w:r>
              <w:rPr>
                <w:sz w:val="15"/>
              </w:rPr>
              <w:t>Schema history</w:t>
            </w:r>
          </w:p>
        </w:tc>
      </w:tr>
      <w:tr>
        <w:trPr>
          <w:cantSplit/>
        </w:trPr>
        <w:tc>
          <w:tcPr>
            <w:tcW w:type="dxa" w:w="2592"/>
          </w:tcPr>
          <w:p>
            <w:pPr>
              <w:spacing w:after="0"/>
            </w:pPr>
            <w:r/>
            <w:r>
              <w:rPr>
                <w:sz w:val="15"/>
              </w:rPr>
              <w:t>apps/backend/db</w:t>
            </w:r>
          </w:p>
        </w:tc>
        <w:tc>
          <w:tcPr>
            <w:tcW w:type="dxa" w:w="3312"/>
          </w:tcPr>
          <w:p>
            <w:pPr>
              <w:spacing w:after="0"/>
            </w:pPr>
            <w:r/>
            <w:r>
              <w:rPr>
                <w:sz w:val="15"/>
              </w:rPr>
              <w:t>schema.sql + 24 query files</w:t>
            </w:r>
          </w:p>
        </w:tc>
        <w:tc>
          <w:tcPr>
            <w:tcW w:type="dxa" w:w="3456"/>
          </w:tcPr>
          <w:p>
            <w:pPr>
              <w:spacing w:after="0"/>
            </w:pPr>
            <w:r/>
            <w:r>
              <w:rPr>
                <w:sz w:val="15"/>
              </w:rPr>
              <w:t>sqlc input</w:t>
            </w:r>
          </w:p>
        </w:tc>
      </w:tr>
      <w:tr>
        <w:trPr>
          <w:cantSplit/>
        </w:trPr>
        <w:tc>
          <w:tcPr>
            <w:tcW w:type="dxa" w:w="2592"/>
          </w:tcPr>
          <w:p>
            <w:pPr>
              <w:spacing w:after="0"/>
            </w:pPr>
            <w:r/>
            <w:r>
              <w:rPr>
                <w:sz w:val="15"/>
              </w:rPr>
              <w:t>apps/backend/docs</w:t>
            </w:r>
          </w:p>
        </w:tc>
        <w:tc>
          <w:tcPr>
            <w:tcW w:type="dxa" w:w="3312"/>
          </w:tcPr>
          <w:p>
            <w:pPr>
              <w:spacing w:after="0"/>
            </w:pPr>
            <w:r/>
            <w:r>
              <w:rPr>
                <w:sz w:val="15"/>
              </w:rPr>
              <w:t>13 markdown + openapi.yaml</w:t>
            </w:r>
          </w:p>
        </w:tc>
        <w:tc>
          <w:tcPr>
            <w:tcW w:type="dxa" w:w="3456"/>
          </w:tcPr>
          <w:p>
            <w:pPr>
              <w:spacing w:after="0"/>
            </w:pPr>
            <w:r/>
            <w:r>
              <w:rPr>
                <w:sz w:val="15"/>
              </w:rPr>
              <w:t>Backend specification set</w:t>
            </w:r>
          </w:p>
        </w:tc>
      </w:tr>
      <w:tr>
        <w:trPr>
          <w:cantSplit/>
        </w:trPr>
        <w:tc>
          <w:tcPr>
            <w:tcW w:type="dxa" w:w="2592"/>
          </w:tcPr>
          <w:p>
            <w:pPr>
              <w:spacing w:after="0"/>
            </w:pPr>
            <w:r/>
            <w:r>
              <w:rPr>
                <w:sz w:val="15"/>
              </w:rPr>
              <w:t>apps/backend/deploy</w:t>
            </w:r>
          </w:p>
        </w:tc>
        <w:tc>
          <w:tcPr>
            <w:tcW w:type="dxa" w:w="3312"/>
          </w:tcPr>
          <w:p>
            <w:pPr>
              <w:spacing w:after="0"/>
            </w:pPr>
            <w:r/>
            <w:r>
              <w:rPr>
                <w:sz w:val="15"/>
              </w:rPr>
              <w:t>Caddyfile, dev Dockerfile, 5 runbooks</w:t>
            </w:r>
          </w:p>
        </w:tc>
        <w:tc>
          <w:tcPr>
            <w:tcW w:type="dxa" w:w="3456"/>
          </w:tcPr>
          <w:p>
            <w:pPr>
              <w:spacing w:after="0"/>
            </w:pPr>
            <w:r/>
            <w:r>
              <w:rPr>
                <w:sz w:val="15"/>
              </w:rPr>
              <w:t>Deployment helpers</w:t>
            </w:r>
          </w:p>
        </w:tc>
      </w:tr>
      <w:tr>
        <w:trPr>
          <w:cantSplit/>
        </w:trPr>
        <w:tc>
          <w:tcPr>
            <w:tcW w:type="dxa" w:w="2592"/>
          </w:tcPr>
          <w:p>
            <w:pPr>
              <w:spacing w:after="0"/>
            </w:pPr>
            <w:r/>
            <w:r>
              <w:rPr>
                <w:sz w:val="15"/>
              </w:rPr>
              <w:t>apps/erp/src</w:t>
            </w:r>
          </w:p>
        </w:tc>
        <w:tc>
          <w:tcPr>
            <w:tcW w:type="dxa" w:w="3312"/>
          </w:tcPr>
          <w:p>
            <w:pPr>
              <w:spacing w:after="0"/>
            </w:pPr>
            <w:r/>
            <w:r>
              <w:rPr>
                <w:sz w:val="15"/>
              </w:rPr>
              <w:t>90 components, 72 pages, router, stores, services, utils</w:t>
            </w:r>
          </w:p>
        </w:tc>
        <w:tc>
          <w:tcPr>
            <w:tcW w:type="dxa" w:w="3456"/>
          </w:tcPr>
          <w:p>
            <w:pPr>
              <w:spacing w:after="0"/>
            </w:pPr>
            <w:r/>
            <w:r>
              <w:rPr>
                <w:sz w:val="15"/>
              </w:rPr>
              <w:t>ERP SPA</w:t>
            </w:r>
          </w:p>
        </w:tc>
      </w:tr>
      <w:tr>
        <w:trPr>
          <w:cantSplit/>
        </w:trPr>
        <w:tc>
          <w:tcPr>
            <w:tcW w:type="dxa" w:w="2592"/>
          </w:tcPr>
          <w:p>
            <w:pPr>
              <w:spacing w:after="0"/>
            </w:pPr>
            <w:r/>
            <w:r>
              <w:rPr>
                <w:sz w:val="15"/>
              </w:rPr>
              <w:t>apps/pos/src</w:t>
            </w:r>
          </w:p>
        </w:tc>
        <w:tc>
          <w:tcPr>
            <w:tcW w:type="dxa" w:w="3312"/>
          </w:tcPr>
          <w:p>
            <w:pPr>
              <w:spacing w:after="0"/>
            </w:pPr>
            <w:r/>
            <w:r>
              <w:rPr>
                <w:sz w:val="15"/>
              </w:rPr>
              <w:t>42 components (3 layout, 26 pos, 13 ui), 8 pages, router, stores, services, utils</w:t>
            </w:r>
          </w:p>
        </w:tc>
        <w:tc>
          <w:tcPr>
            <w:tcW w:type="dxa" w:w="3456"/>
          </w:tcPr>
          <w:p>
            <w:pPr>
              <w:spacing w:after="0"/>
            </w:pPr>
            <w:r/>
            <w:r>
              <w:rPr>
                <w:sz w:val="15"/>
              </w:rPr>
              <w:t>POS SPA</w:t>
            </w:r>
          </w:p>
        </w:tc>
      </w:tr>
      <w:tr>
        <w:trPr>
          <w:cantSplit/>
        </w:trPr>
        <w:tc>
          <w:tcPr>
            <w:tcW w:type="dxa" w:w="2592"/>
          </w:tcPr>
          <w:p>
            <w:pPr>
              <w:spacing w:after="0"/>
            </w:pPr>
            <w:r/>
            <w:r>
              <w:rPr>
                <w:sz w:val="15"/>
              </w:rPr>
              <w:t>apps/b2b/app</w:t>
            </w:r>
          </w:p>
        </w:tc>
        <w:tc>
          <w:tcPr>
            <w:tcW w:type="dxa" w:w="3312"/>
          </w:tcPr>
          <w:p>
            <w:pPr>
              <w:spacing w:after="0"/>
            </w:pPr>
            <w:r/>
            <w:r>
              <w:rPr>
                <w:sz w:val="15"/>
              </w:rPr>
              <w:t>42 pages, 17 components, 16 composables, 3 middleware, locales</w:t>
            </w:r>
          </w:p>
        </w:tc>
        <w:tc>
          <w:tcPr>
            <w:tcW w:type="dxa" w:w="3456"/>
          </w:tcPr>
          <w:p>
            <w:pPr>
              <w:spacing w:after="0"/>
            </w:pPr>
            <w:r/>
            <w:r>
              <w:rPr>
                <w:sz w:val="15"/>
              </w:rPr>
              <w:t>B2B app</w:t>
            </w:r>
          </w:p>
        </w:tc>
      </w:tr>
      <w:tr>
        <w:trPr>
          <w:cantSplit/>
        </w:trPr>
        <w:tc>
          <w:tcPr>
            <w:tcW w:type="dxa" w:w="2592"/>
          </w:tcPr>
          <w:p>
            <w:pPr>
              <w:spacing w:after="0"/>
            </w:pPr>
            <w:r/>
            <w:r>
              <w:rPr>
                <w:sz w:val="15"/>
              </w:rPr>
              <w:t>apps/b2b/server</w:t>
            </w:r>
          </w:p>
        </w:tc>
        <w:tc>
          <w:tcPr>
            <w:tcW w:type="dxa" w:w="3312"/>
          </w:tcPr>
          <w:p>
            <w:pPr>
              <w:spacing w:after="0"/>
            </w:pPr>
            <w:r/>
            <w:r>
              <w:rPr>
                <w:sz w:val="15"/>
              </w:rPr>
              <w:t>1 catch-all proxy route</w:t>
            </w:r>
          </w:p>
        </w:tc>
        <w:tc>
          <w:tcPr>
            <w:tcW w:type="dxa" w:w="3456"/>
          </w:tcPr>
          <w:p>
            <w:pPr>
              <w:spacing w:after="0"/>
            </w:pPr>
            <w:r/>
            <w:r>
              <w:rPr>
                <w:sz w:val="15"/>
              </w:rPr>
              <w:t>Nitro server</w:t>
            </w:r>
          </w:p>
        </w:tc>
      </w:tr>
      <w:tr>
        <w:trPr>
          <w:cantSplit/>
        </w:trPr>
        <w:tc>
          <w:tcPr>
            <w:tcW w:type="dxa" w:w="2592"/>
          </w:tcPr>
          <w:p>
            <w:pPr>
              <w:spacing w:after="0"/>
            </w:pPr>
            <w:r/>
            <w:r>
              <w:rPr>
                <w:sz w:val="15"/>
              </w:rPr>
              <w:t>apps/nextreport</w:t>
            </w:r>
          </w:p>
        </w:tc>
        <w:tc>
          <w:tcPr>
            <w:tcW w:type="dxa" w:w="3312"/>
          </w:tcPr>
          <w:p>
            <w:pPr>
              <w:spacing w:after="0"/>
            </w:pPr>
            <w:r/>
            <w:r>
              <w:rPr>
                <w:sz w:val="15"/>
              </w:rPr>
              <w:t>server.mjs + engine/</w:t>
            </w:r>
          </w:p>
        </w:tc>
        <w:tc>
          <w:tcPr>
            <w:tcW w:type="dxa" w:w="3456"/>
          </w:tcPr>
          <w:p>
            <w:pPr>
              <w:spacing w:after="0"/>
            </w:pPr>
            <w:r/>
            <w:r>
              <w:rPr>
                <w:sz w:val="15"/>
              </w:rPr>
              <w:t>Render service</w:t>
            </w:r>
          </w:p>
        </w:tc>
      </w:tr>
      <w:tr>
        <w:trPr>
          <w:cantSplit/>
        </w:trPr>
        <w:tc>
          <w:tcPr>
            <w:tcW w:type="dxa" w:w="2592"/>
          </w:tcPr>
          <w:p>
            <w:pPr>
              <w:spacing w:after="0"/>
            </w:pPr>
            <w:r/>
            <w:r>
              <w:rPr>
                <w:sz w:val="15"/>
              </w:rPr>
              <w:t>packages/*</w:t>
            </w:r>
          </w:p>
        </w:tc>
        <w:tc>
          <w:tcPr>
            <w:tcW w:type="dxa" w:w="3312"/>
          </w:tcPr>
          <w:p>
            <w:pPr>
              <w:spacing w:after="0"/>
            </w:pPr>
            <w:r/>
            <w:r>
              <w:rPr>
                <w:sz w:val="15"/>
              </w:rPr>
              <w:t>5 packages, 20 source files</w:t>
            </w:r>
          </w:p>
        </w:tc>
        <w:tc>
          <w:tcPr>
            <w:tcW w:type="dxa" w:w="3456"/>
          </w:tcPr>
          <w:p>
            <w:pPr>
              <w:spacing w:after="0"/>
            </w:pPr>
            <w:r/>
            <w:r>
              <w:rPr>
                <w:sz w:val="15"/>
              </w:rPr>
              <w:t>Shared libraries</w:t>
            </w:r>
          </w:p>
        </w:tc>
      </w:tr>
      <w:tr>
        <w:trPr>
          <w:cantSplit/>
        </w:trPr>
        <w:tc>
          <w:tcPr>
            <w:tcW w:type="dxa" w:w="2592"/>
          </w:tcPr>
          <w:p>
            <w:pPr>
              <w:spacing w:after="0"/>
            </w:pPr>
            <w:r/>
            <w:r>
              <w:rPr>
                <w:sz w:val="15"/>
              </w:rPr>
              <w:t>scripts</w:t>
            </w:r>
          </w:p>
        </w:tc>
        <w:tc>
          <w:tcPr>
            <w:tcW w:type="dxa" w:w="3312"/>
          </w:tcPr>
          <w:p>
            <w:pPr>
              <w:spacing w:after="0"/>
            </w:pPr>
            <w:r/>
            <w:r>
              <w:rPr>
                <w:sz w:val="15"/>
              </w:rPr>
              <w:t>5 scripts</w:t>
            </w:r>
          </w:p>
        </w:tc>
        <w:tc>
          <w:tcPr>
            <w:tcW w:type="dxa" w:w="3456"/>
          </w:tcPr>
          <w:p>
            <w:pPr>
              <w:spacing w:after="0"/>
            </w:pPr>
            <w:r/>
            <w:r>
              <w:rPr>
                <w:sz w:val="15"/>
              </w:rPr>
              <w:t>Generators, drift guard, icon audit, VPS helper</w:t>
            </w:r>
          </w:p>
        </w:tc>
      </w:tr>
      <w:tr>
        <w:trPr>
          <w:cantSplit/>
        </w:trPr>
        <w:tc>
          <w:tcPr>
            <w:tcW w:type="dxa" w:w="2592"/>
          </w:tcPr>
          <w:p>
            <w:pPr>
              <w:spacing w:after="0"/>
            </w:pPr>
            <w:r/>
            <w:r>
              <w:rPr>
                <w:sz w:val="15"/>
              </w:rPr>
              <w:t>infra</w:t>
            </w:r>
          </w:p>
        </w:tc>
        <w:tc>
          <w:tcPr>
            <w:tcW w:type="dxa" w:w="3312"/>
          </w:tcPr>
          <w:p>
            <w:pPr>
              <w:spacing w:after="0"/>
            </w:pPr>
            <w:r/>
            <w:r>
              <w:rPr>
                <w:sz w:val="15"/>
              </w:rPr>
              <w:t>2 compose files, 1 Caddyfile</w:t>
            </w:r>
          </w:p>
        </w:tc>
        <w:tc>
          <w:tcPr>
            <w:tcW w:type="dxa" w:w="3456"/>
          </w:tcPr>
          <w:p>
            <w:pPr>
              <w:spacing w:after="0"/>
            </w:pPr>
            <w:r/>
            <w:r>
              <w:rPr>
                <w:sz w:val="15"/>
              </w:rPr>
              <w:t>Container stacks</w:t>
            </w:r>
          </w:p>
        </w:tc>
      </w:tr>
      <w:tr>
        <w:trPr>
          <w:cantSplit/>
        </w:trPr>
        <w:tc>
          <w:tcPr>
            <w:tcW w:type="dxa" w:w="2592"/>
          </w:tcPr>
          <w:p>
            <w:pPr>
              <w:spacing w:after="0"/>
            </w:pPr>
            <w:r/>
            <w:r>
              <w:rPr>
                <w:sz w:val="15"/>
              </w:rPr>
              <w:t>.github</w:t>
            </w:r>
          </w:p>
        </w:tc>
        <w:tc>
          <w:tcPr>
            <w:tcW w:type="dxa" w:w="3312"/>
          </w:tcPr>
          <w:p>
            <w:pPr>
              <w:spacing w:after="0"/>
            </w:pPr>
            <w:r/>
            <w:r>
              <w:rPr>
                <w:sz w:val="15"/>
              </w:rPr>
              <w:t>2 workflows, 3 issue templates, PR template, CODEOWNERS</w:t>
            </w:r>
          </w:p>
        </w:tc>
        <w:tc>
          <w:tcPr>
            <w:tcW w:type="dxa" w:w="3456"/>
          </w:tcPr>
          <w:p>
            <w:pPr>
              <w:spacing w:after="0"/>
            </w:pPr>
            <w:r/>
            <w:r>
              <w:rPr>
                <w:sz w:val="15"/>
              </w:rPr>
              <w:t>Automation</w:t>
            </w:r>
          </w:p>
        </w:tc>
      </w:tr>
      <w:tr>
        <w:trPr>
          <w:cantSplit/>
        </w:trPr>
        <w:tc>
          <w:tcPr>
            <w:tcW w:type="dxa" w:w="2592"/>
          </w:tcPr>
          <w:p>
            <w:pPr>
              <w:spacing w:after="0"/>
            </w:pPr>
            <w:r/>
            <w:r>
              <w:rPr>
                <w:sz w:val="15"/>
              </w:rPr>
              <w:t>docs</w:t>
            </w:r>
          </w:p>
        </w:tc>
        <w:tc>
          <w:tcPr>
            <w:tcW w:type="dxa" w:w="3312"/>
          </w:tcPr>
          <w:p>
            <w:pPr>
              <w:spacing w:after="0"/>
            </w:pPr>
            <w:r/>
            <w:r>
              <w:rPr>
                <w:sz w:val="15"/>
              </w:rPr>
              <w:t>26 pre-existing markdown docs + this audit set</w:t>
            </w:r>
          </w:p>
        </w:tc>
        <w:tc>
          <w:tcPr>
            <w:tcW w:type="dxa" w:w="3456"/>
          </w:tcPr>
          <w:p>
            <w:pPr>
              <w:spacing w:after="0"/>
            </w:pPr>
            <w:r/>
            <w:r>
              <w:rPr>
                <w:sz w:val="15"/>
              </w:rPr>
              <w:t>Project documentation</w:t>
            </w:r>
          </w:p>
        </w:tc>
      </w:tr>
    </w:tbl>
    <w:p>
      <w:pPr>
        <w:spacing w:after="200"/>
      </w:pPr>
      <w:r>
        <w:rPr>
          <w:i/>
          <w:color w:val="555F6D"/>
          <w:sz w:val="17"/>
        </w:rPr>
        <w:t>Table 114. Directory inventory</w:t>
      </w:r>
    </w:p>
    <w:p>
      <w:bookmarkStart w:id="1348" w:name="_Toc1348"/>
      <w:pPr>
        <w:pStyle w:val="Heading1"/>
        <w:pageBreakBefore/>
      </w:pPr>
      <w:r>
        <w:t>Appendix B. Complete table and column inventory</w:t>
      </w:r>
      <w:bookmarkEnd w:id="1348"/>
    </w:p>
    <w:p>
      <w:r>
        <w:rPr>
          <w:i w:val="0"/>
        </w:rPr>
        <w:t>The machine-readable inventory is docs/audit/database-inventory.csv (1031 rows, one per column). It carries, per column: table, domain, table purpose, column, ordinal, data type, semantic type, nullability, default, primary-key flag, foreign keys, unique constraints, check constraints, indexes, sensitivity classification and a column note. Chapter 18 renders the same data grouped by domain.</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2304"/>
            <w:shd w:val="clear" w:color="auto" w:fill="1F3A5F"/>
          </w:tcPr>
          <w:p>
            <w:pPr>
              <w:spacing w:after="0"/>
            </w:pPr>
            <w:r/>
            <w:r>
              <w:rPr>
                <w:b/>
                <w:color w:val="FFFFFF"/>
                <w:sz w:val="16"/>
              </w:rPr>
              <w:t>Column</w:t>
            </w:r>
          </w:p>
        </w:tc>
        <w:tc>
          <w:tcPr>
            <w:tcW w:type="dxa" w:w="7056"/>
            <w:shd w:val="clear" w:color="auto" w:fill="1F3A5F"/>
          </w:tcPr>
          <w:p>
            <w:pPr>
              <w:spacing w:after="0"/>
            </w:pPr>
            <w:r/>
            <w:r>
              <w:rPr>
                <w:b/>
                <w:color w:val="FFFFFF"/>
                <w:sz w:val="16"/>
              </w:rPr>
              <w:t>Rows</w:t>
            </w:r>
          </w:p>
        </w:tc>
      </w:tr>
      <w:tr>
        <w:trPr>
          <w:cantSplit/>
        </w:trPr>
        <w:tc>
          <w:tcPr>
            <w:tcW w:type="dxa" w:w="2304"/>
          </w:tcPr>
          <w:p>
            <w:pPr>
              <w:spacing w:after="0"/>
            </w:pPr>
            <w:r/>
            <w:r>
              <w:rPr>
                <w:sz w:val="16"/>
              </w:rPr>
              <w:t>table</w:t>
            </w:r>
          </w:p>
        </w:tc>
        <w:tc>
          <w:tcPr>
            <w:tcW w:type="dxa" w:w="7056"/>
          </w:tcPr>
          <w:p>
            <w:pPr>
              <w:spacing w:after="0"/>
            </w:pPr>
            <w:r/>
            <w:r>
              <w:rPr>
                <w:sz w:val="16"/>
              </w:rPr>
              <w:t>92 distinct</w:t>
            </w:r>
          </w:p>
        </w:tc>
      </w:tr>
      <w:tr>
        <w:trPr>
          <w:cantSplit/>
        </w:trPr>
        <w:tc>
          <w:tcPr>
            <w:tcW w:type="dxa" w:w="2304"/>
          </w:tcPr>
          <w:p>
            <w:pPr>
              <w:spacing w:after="0"/>
            </w:pPr>
            <w:r/>
            <w:r>
              <w:rPr>
                <w:sz w:val="16"/>
              </w:rPr>
              <w:t>column</w:t>
            </w:r>
          </w:p>
        </w:tc>
        <w:tc>
          <w:tcPr>
            <w:tcW w:type="dxa" w:w="7056"/>
          </w:tcPr>
          <w:p>
            <w:pPr>
              <w:spacing w:after="0"/>
            </w:pPr>
            <w:r/>
            <w:r>
              <w:rPr>
                <w:sz w:val="16"/>
              </w:rPr>
              <w:t>1031</w:t>
            </w:r>
          </w:p>
        </w:tc>
      </w:tr>
      <w:tr>
        <w:trPr>
          <w:cantSplit/>
        </w:trPr>
        <w:tc>
          <w:tcPr>
            <w:tcW w:type="dxa" w:w="2304"/>
          </w:tcPr>
          <w:p>
            <w:pPr>
              <w:spacing w:after="0"/>
            </w:pPr>
            <w:r/>
            <w:r>
              <w:rPr>
                <w:sz w:val="16"/>
              </w:rPr>
              <w:t>nullable</w:t>
            </w:r>
          </w:p>
        </w:tc>
        <w:tc>
          <w:tcPr>
            <w:tcW w:type="dxa" w:w="7056"/>
          </w:tcPr>
          <w:p>
            <w:pPr>
              <w:spacing w:after="0"/>
            </w:pPr>
            <w:r/>
            <w:r>
              <w:rPr>
                <w:sz w:val="16"/>
              </w:rPr>
              <w:t>derived from attnotnull</w:t>
            </w:r>
          </w:p>
        </w:tc>
      </w:tr>
      <w:tr>
        <w:trPr>
          <w:cantSplit/>
        </w:trPr>
        <w:tc>
          <w:tcPr>
            <w:tcW w:type="dxa" w:w="2304"/>
          </w:tcPr>
          <w:p>
            <w:pPr>
              <w:spacing w:after="0"/>
            </w:pPr>
            <w:r/>
            <w:r>
              <w:rPr>
                <w:sz w:val="16"/>
              </w:rPr>
              <w:t>default</w:t>
            </w:r>
          </w:p>
        </w:tc>
        <w:tc>
          <w:tcPr>
            <w:tcW w:type="dxa" w:w="7056"/>
          </w:tcPr>
          <w:p>
            <w:pPr>
              <w:spacing w:after="0"/>
            </w:pPr>
            <w:r/>
            <w:r>
              <w:rPr>
                <w:sz w:val="16"/>
              </w:rPr>
              <w:t>from pg_get_expr</w:t>
            </w:r>
          </w:p>
        </w:tc>
      </w:tr>
      <w:tr>
        <w:trPr>
          <w:cantSplit/>
        </w:trPr>
        <w:tc>
          <w:tcPr>
            <w:tcW w:type="dxa" w:w="2304"/>
          </w:tcPr>
          <w:p>
            <w:pPr>
              <w:spacing w:after="0"/>
            </w:pPr>
            <w:r/>
            <w:r>
              <w:rPr>
                <w:sz w:val="16"/>
              </w:rPr>
              <w:t>foreign_keys</w:t>
            </w:r>
          </w:p>
        </w:tc>
        <w:tc>
          <w:tcPr>
            <w:tcW w:type="dxa" w:w="7056"/>
          </w:tcPr>
          <w:p>
            <w:pPr>
              <w:spacing w:after="0"/>
            </w:pPr>
            <w:r/>
            <w:r>
              <w:rPr>
                <w:sz w:val="16"/>
              </w:rPr>
              <w:t>181 definitions, repeated per table</w:t>
            </w:r>
          </w:p>
        </w:tc>
      </w:tr>
      <w:tr>
        <w:trPr>
          <w:cantSplit/>
        </w:trPr>
        <w:tc>
          <w:tcPr>
            <w:tcW w:type="dxa" w:w="2304"/>
          </w:tcPr>
          <w:p>
            <w:pPr>
              <w:spacing w:after="0"/>
            </w:pPr>
            <w:r/>
            <w:r>
              <w:rPr>
                <w:sz w:val="16"/>
              </w:rPr>
              <w:t>check_constraints</w:t>
            </w:r>
          </w:p>
        </w:tc>
        <w:tc>
          <w:tcPr>
            <w:tcW w:type="dxa" w:w="7056"/>
          </w:tcPr>
          <w:p>
            <w:pPr>
              <w:spacing w:after="0"/>
            </w:pPr>
            <w:r/>
            <w:r>
              <w:rPr>
                <w:sz w:val="16"/>
              </w:rPr>
              <w:t>112 definitions</w:t>
            </w:r>
          </w:p>
        </w:tc>
      </w:tr>
      <w:tr>
        <w:trPr>
          <w:cantSplit/>
        </w:trPr>
        <w:tc>
          <w:tcPr>
            <w:tcW w:type="dxa" w:w="2304"/>
          </w:tcPr>
          <w:p>
            <w:pPr>
              <w:spacing w:after="0"/>
            </w:pPr>
            <w:r/>
            <w:r>
              <w:rPr>
                <w:sz w:val="16"/>
              </w:rPr>
              <w:t>indexes</w:t>
            </w:r>
          </w:p>
        </w:tc>
        <w:tc>
          <w:tcPr>
            <w:tcW w:type="dxa" w:w="7056"/>
          </w:tcPr>
          <w:p>
            <w:pPr>
              <w:spacing w:after="0"/>
            </w:pPr>
            <w:r/>
            <w:r>
              <w:rPr>
                <w:sz w:val="16"/>
              </w:rPr>
              <w:t>269 names</w:t>
            </w:r>
          </w:p>
        </w:tc>
      </w:tr>
      <w:tr>
        <w:trPr>
          <w:cantSplit/>
        </w:trPr>
        <w:tc>
          <w:tcPr>
            <w:tcW w:type="dxa" w:w="2304"/>
          </w:tcPr>
          <w:p>
            <w:pPr>
              <w:spacing w:after="0"/>
            </w:pPr>
            <w:r/>
            <w:r>
              <w:rPr>
                <w:sz w:val="16"/>
              </w:rPr>
              <w:t>classification</w:t>
            </w:r>
          </w:p>
        </w:tc>
        <w:tc>
          <w:tcPr>
            <w:tcW w:type="dxa" w:w="7056"/>
          </w:tcPr>
          <w:p>
            <w:pPr>
              <w:spacing w:after="0"/>
            </w:pPr>
            <w:r/>
            <w:r>
              <w:rPr>
                <w:sz w:val="16"/>
              </w:rPr>
              <w:t>Sensitive / Operational / Framework</w:t>
            </w:r>
          </w:p>
        </w:tc>
      </w:tr>
    </w:tbl>
    <w:p>
      <w:pPr>
        <w:spacing w:after="200"/>
      </w:pPr>
      <w:r>
        <w:rPr>
          <w:i/>
          <w:color w:val="555F6D"/>
          <w:sz w:val="17"/>
        </w:rPr>
        <w:t>Table 115. Inventory schema</w:t>
      </w:r>
    </w:p>
    <w:p>
      <w:bookmarkStart w:id="1349" w:name="_Toc1349"/>
      <w:pPr>
        <w:pStyle w:val="Heading1"/>
        <w:pageBreakBefore/>
      </w:pPr>
      <w:r>
        <w:t>Appendix C. Database constraints, indexes, triggers, functions, views, enums, policies</w:t>
      </w:r>
      <w:bookmarkEnd w:id="1349"/>
    </w:p>
    <w:p>
      <w:r>
        <w:rPr>
          <w:i w:val="0"/>
        </w:rPr>
        <w:t>Full lists are in docs/audit/raw/constraints.csv (440 rows) and docs/audit/raw/indexes.csv (269 rows). Summary by table for the tables with the most constraints:</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3168"/>
            <w:shd w:val="clear" w:color="auto" w:fill="1F3A5F"/>
          </w:tcPr>
          <w:p>
            <w:pPr>
              <w:spacing w:after="0"/>
            </w:pPr>
            <w:r/>
            <w:r>
              <w:rPr>
                <w:b/>
                <w:color w:val="FFFFFF"/>
                <w:sz w:val="16"/>
              </w:rPr>
              <w:t>Table</w:t>
            </w:r>
          </w:p>
        </w:tc>
        <w:tc>
          <w:tcPr>
            <w:tcW w:type="dxa" w:w="2016"/>
            <w:shd w:val="clear" w:color="auto" w:fill="1F3A5F"/>
          </w:tcPr>
          <w:p>
            <w:pPr>
              <w:spacing w:after="0"/>
            </w:pPr>
            <w:r/>
            <w:r>
              <w:rPr>
                <w:b/>
                <w:color w:val="FFFFFF"/>
                <w:sz w:val="16"/>
              </w:rPr>
              <w:t>FK definitions</w:t>
            </w:r>
          </w:p>
        </w:tc>
        <w:tc>
          <w:tcPr>
            <w:tcW w:type="dxa" w:w="4176"/>
            <w:shd w:val="clear" w:color="auto" w:fill="1F3A5F"/>
          </w:tcPr>
          <w:p>
            <w:pPr>
              <w:spacing w:after="0"/>
            </w:pPr>
            <w:r/>
            <w:r>
              <w:rPr>
                <w:b/>
                <w:color w:val="FFFFFF"/>
                <w:sz w:val="16"/>
              </w:rPr>
              <w:t>Unique/check constraints present</w:t>
            </w:r>
          </w:p>
        </w:tc>
      </w:tr>
      <w:tr>
        <w:trPr>
          <w:cantSplit/>
        </w:trPr>
        <w:tc>
          <w:tcPr>
            <w:tcW w:type="dxa" w:w="3168"/>
          </w:tcPr>
          <w:p>
            <w:pPr>
              <w:spacing w:after="0"/>
            </w:pPr>
            <w:r/>
            <w:r>
              <w:rPr>
                <w:sz w:val="16"/>
              </w:rPr>
              <w:t>employees</w:t>
            </w:r>
          </w:p>
        </w:tc>
        <w:tc>
          <w:tcPr>
            <w:tcW w:type="dxa" w:w="2016"/>
          </w:tcPr>
          <w:p>
            <w:pPr>
              <w:spacing w:after="0"/>
            </w:pPr>
            <w:r/>
            <w:r>
              <w:rPr>
                <w:sz w:val="16"/>
              </w:rPr>
              <w:t>30</w:t>
            </w:r>
          </w:p>
        </w:tc>
        <w:tc>
          <w:tcPr>
            <w:tcW w:type="dxa" w:w="4176"/>
          </w:tcPr>
          <w:p>
            <w:pPr>
              <w:spacing w:after="0"/>
            </w:pPr>
            <w:r/>
            <w:r>
              <w:rPr>
                <w:sz w:val="16"/>
              </w:rPr>
              <w:t>yes</w:t>
            </w:r>
          </w:p>
        </w:tc>
      </w:tr>
      <w:tr>
        <w:trPr>
          <w:cantSplit/>
        </w:trPr>
        <w:tc>
          <w:tcPr>
            <w:tcW w:type="dxa" w:w="3168"/>
          </w:tcPr>
          <w:p>
            <w:pPr>
              <w:spacing w:after="0"/>
            </w:pPr>
            <w:r/>
            <w:r>
              <w:rPr>
                <w:sz w:val="16"/>
              </w:rPr>
              <w:t>customers</w:t>
            </w:r>
          </w:p>
        </w:tc>
        <w:tc>
          <w:tcPr>
            <w:tcW w:type="dxa" w:w="2016"/>
          </w:tcPr>
          <w:p>
            <w:pPr>
              <w:spacing w:after="0"/>
            </w:pPr>
            <w:r/>
            <w:r>
              <w:rPr>
                <w:sz w:val="16"/>
              </w:rPr>
              <w:t>28</w:t>
            </w:r>
          </w:p>
        </w:tc>
        <w:tc>
          <w:tcPr>
            <w:tcW w:type="dxa" w:w="4176"/>
          </w:tcPr>
          <w:p>
            <w:pPr>
              <w:spacing w:after="0"/>
            </w:pPr>
            <w:r/>
            <w:r>
              <w:rPr>
                <w:sz w:val="16"/>
              </w:rPr>
              <w:t>yes</w:t>
            </w:r>
          </w:p>
        </w:tc>
      </w:tr>
      <w:tr>
        <w:trPr>
          <w:cantSplit/>
        </w:trPr>
        <w:tc>
          <w:tcPr>
            <w:tcW w:type="dxa" w:w="3168"/>
          </w:tcPr>
          <w:p>
            <w:pPr>
              <w:spacing w:after="0"/>
            </w:pPr>
            <w:r/>
            <w:r>
              <w:rPr>
                <w:sz w:val="16"/>
              </w:rPr>
              <w:t>sales_orders</w:t>
            </w:r>
          </w:p>
        </w:tc>
        <w:tc>
          <w:tcPr>
            <w:tcW w:type="dxa" w:w="2016"/>
          </w:tcPr>
          <w:p>
            <w:pPr>
              <w:spacing w:after="0"/>
            </w:pPr>
            <w:r/>
            <w:r>
              <w:rPr>
                <w:sz w:val="16"/>
              </w:rPr>
              <w:t>28</w:t>
            </w:r>
          </w:p>
        </w:tc>
        <w:tc>
          <w:tcPr>
            <w:tcW w:type="dxa" w:w="4176"/>
          </w:tcPr>
          <w:p>
            <w:pPr>
              <w:spacing w:after="0"/>
            </w:pPr>
            <w:r/>
            <w:r>
              <w:rPr>
                <w:sz w:val="16"/>
              </w:rPr>
              <w:t>yes</w:t>
            </w:r>
          </w:p>
        </w:tc>
      </w:tr>
      <w:tr>
        <w:trPr>
          <w:cantSplit/>
        </w:trPr>
        <w:tc>
          <w:tcPr>
            <w:tcW w:type="dxa" w:w="3168"/>
          </w:tcPr>
          <w:p>
            <w:pPr>
              <w:spacing w:after="0"/>
            </w:pPr>
            <w:r/>
            <w:r>
              <w:rPr>
                <w:sz w:val="16"/>
              </w:rPr>
              <w:t>cashflows</w:t>
            </w:r>
          </w:p>
        </w:tc>
        <w:tc>
          <w:tcPr>
            <w:tcW w:type="dxa" w:w="2016"/>
          </w:tcPr>
          <w:p>
            <w:pPr>
              <w:spacing w:after="0"/>
            </w:pPr>
            <w:r/>
            <w:r>
              <w:rPr>
                <w:sz w:val="16"/>
              </w:rPr>
              <w:t>24</w:t>
            </w:r>
          </w:p>
        </w:tc>
        <w:tc>
          <w:tcPr>
            <w:tcW w:type="dxa" w:w="4176"/>
          </w:tcPr>
          <w:p>
            <w:pPr>
              <w:spacing w:after="0"/>
            </w:pPr>
            <w:r/>
            <w:r>
              <w:rPr>
                <w:sz w:val="16"/>
              </w:rPr>
              <w:t>yes</w:t>
            </w:r>
          </w:p>
        </w:tc>
      </w:tr>
      <w:tr>
        <w:trPr>
          <w:cantSplit/>
        </w:trPr>
        <w:tc>
          <w:tcPr>
            <w:tcW w:type="dxa" w:w="3168"/>
          </w:tcPr>
          <w:p>
            <w:pPr>
              <w:spacing w:after="0"/>
            </w:pPr>
            <w:r/>
            <w:r>
              <w:rPr>
                <w:sz w:val="16"/>
              </w:rPr>
              <w:t>sales_visits</w:t>
            </w:r>
          </w:p>
        </w:tc>
        <w:tc>
          <w:tcPr>
            <w:tcW w:type="dxa" w:w="2016"/>
          </w:tcPr>
          <w:p>
            <w:pPr>
              <w:spacing w:after="0"/>
            </w:pPr>
            <w:r/>
            <w:r>
              <w:rPr>
                <w:sz w:val="16"/>
              </w:rPr>
              <w:t>21</w:t>
            </w:r>
          </w:p>
        </w:tc>
        <w:tc>
          <w:tcPr>
            <w:tcW w:type="dxa" w:w="4176"/>
          </w:tcPr>
          <w:p>
            <w:pPr>
              <w:spacing w:after="0"/>
            </w:pPr>
            <w:r/>
            <w:r>
              <w:rPr>
                <w:sz w:val="16"/>
              </w:rPr>
              <w:t>—</w:t>
            </w:r>
          </w:p>
        </w:tc>
      </w:tr>
      <w:tr>
        <w:trPr>
          <w:cantSplit/>
        </w:trPr>
        <w:tc>
          <w:tcPr>
            <w:tcW w:type="dxa" w:w="3168"/>
          </w:tcPr>
          <w:p>
            <w:pPr>
              <w:spacing w:after="0"/>
            </w:pPr>
            <w:r/>
            <w:r>
              <w:rPr>
                <w:sz w:val="16"/>
              </w:rPr>
              <w:t>journal_entries</w:t>
            </w:r>
          </w:p>
        </w:tc>
        <w:tc>
          <w:tcPr>
            <w:tcW w:type="dxa" w:w="2016"/>
          </w:tcPr>
          <w:p>
            <w:pPr>
              <w:spacing w:after="0"/>
            </w:pPr>
            <w:r/>
            <w:r>
              <w:rPr>
                <w:sz w:val="16"/>
              </w:rPr>
              <w:t>20</w:t>
            </w:r>
          </w:p>
        </w:tc>
        <w:tc>
          <w:tcPr>
            <w:tcW w:type="dxa" w:w="4176"/>
          </w:tcPr>
          <w:p>
            <w:pPr>
              <w:spacing w:after="0"/>
            </w:pPr>
            <w:r/>
            <w:r>
              <w:rPr>
                <w:sz w:val="16"/>
              </w:rPr>
              <w:t>yes</w:t>
            </w:r>
          </w:p>
        </w:tc>
      </w:tr>
      <w:tr>
        <w:trPr>
          <w:cantSplit/>
        </w:trPr>
        <w:tc>
          <w:tcPr>
            <w:tcW w:type="dxa" w:w="3168"/>
          </w:tcPr>
          <w:p>
            <w:pPr>
              <w:spacing w:after="0"/>
            </w:pPr>
            <w:r/>
            <w:r>
              <w:rPr>
                <w:sz w:val="16"/>
              </w:rPr>
              <w:t>purchase_orders</w:t>
            </w:r>
          </w:p>
        </w:tc>
        <w:tc>
          <w:tcPr>
            <w:tcW w:type="dxa" w:w="2016"/>
          </w:tcPr>
          <w:p>
            <w:pPr>
              <w:spacing w:after="0"/>
            </w:pPr>
            <w:r/>
            <w:r>
              <w:rPr>
                <w:sz w:val="16"/>
              </w:rPr>
              <w:t>20</w:t>
            </w:r>
          </w:p>
        </w:tc>
        <w:tc>
          <w:tcPr>
            <w:tcW w:type="dxa" w:w="4176"/>
          </w:tcPr>
          <w:p>
            <w:pPr>
              <w:spacing w:after="0"/>
            </w:pPr>
            <w:r/>
            <w:r>
              <w:rPr>
                <w:sz w:val="16"/>
              </w:rPr>
              <w:t>yes</w:t>
            </w:r>
          </w:p>
        </w:tc>
      </w:tr>
      <w:tr>
        <w:trPr>
          <w:cantSplit/>
        </w:trPr>
        <w:tc>
          <w:tcPr>
            <w:tcW w:type="dxa" w:w="3168"/>
          </w:tcPr>
          <w:p>
            <w:pPr>
              <w:spacing w:after="0"/>
            </w:pPr>
            <w:r/>
            <w:r>
              <w:rPr>
                <w:sz w:val="16"/>
              </w:rPr>
              <w:t>invoices</w:t>
            </w:r>
          </w:p>
        </w:tc>
        <w:tc>
          <w:tcPr>
            <w:tcW w:type="dxa" w:w="2016"/>
          </w:tcPr>
          <w:p>
            <w:pPr>
              <w:spacing w:after="0"/>
            </w:pPr>
            <w:r/>
            <w:r>
              <w:rPr>
                <w:sz w:val="16"/>
              </w:rPr>
              <w:t>19</w:t>
            </w:r>
          </w:p>
        </w:tc>
        <w:tc>
          <w:tcPr>
            <w:tcW w:type="dxa" w:w="4176"/>
          </w:tcPr>
          <w:p>
            <w:pPr>
              <w:spacing w:after="0"/>
            </w:pPr>
            <w:r/>
            <w:r>
              <w:rPr>
                <w:sz w:val="16"/>
              </w:rPr>
              <w:t>yes</w:t>
            </w:r>
          </w:p>
        </w:tc>
      </w:tr>
      <w:tr>
        <w:trPr>
          <w:cantSplit/>
        </w:trPr>
        <w:tc>
          <w:tcPr>
            <w:tcW w:type="dxa" w:w="3168"/>
          </w:tcPr>
          <w:p>
            <w:pPr>
              <w:spacing w:after="0"/>
            </w:pPr>
            <w:r/>
            <w:r>
              <w:rPr>
                <w:sz w:val="16"/>
              </w:rPr>
              <w:t>payments</w:t>
            </w:r>
          </w:p>
        </w:tc>
        <w:tc>
          <w:tcPr>
            <w:tcW w:type="dxa" w:w="2016"/>
          </w:tcPr>
          <w:p>
            <w:pPr>
              <w:spacing w:after="0"/>
            </w:pPr>
            <w:r/>
            <w:r>
              <w:rPr>
                <w:sz w:val="16"/>
              </w:rPr>
              <w:t>19</w:t>
            </w:r>
          </w:p>
        </w:tc>
        <w:tc>
          <w:tcPr>
            <w:tcW w:type="dxa" w:w="4176"/>
          </w:tcPr>
          <w:p>
            <w:pPr>
              <w:spacing w:after="0"/>
            </w:pPr>
            <w:r/>
            <w:r>
              <w:rPr>
                <w:sz w:val="16"/>
              </w:rPr>
              <w:t>yes</w:t>
            </w:r>
          </w:p>
        </w:tc>
      </w:tr>
      <w:tr>
        <w:trPr>
          <w:cantSplit/>
        </w:trPr>
        <w:tc>
          <w:tcPr>
            <w:tcW w:type="dxa" w:w="3168"/>
          </w:tcPr>
          <w:p>
            <w:pPr>
              <w:spacing w:after="0"/>
            </w:pPr>
            <w:r/>
            <w:r>
              <w:rPr>
                <w:sz w:val="16"/>
              </w:rPr>
              <w:t>payrolls</w:t>
            </w:r>
          </w:p>
        </w:tc>
        <w:tc>
          <w:tcPr>
            <w:tcW w:type="dxa" w:w="2016"/>
          </w:tcPr>
          <w:p>
            <w:pPr>
              <w:spacing w:after="0"/>
            </w:pPr>
            <w:r/>
            <w:r>
              <w:rPr>
                <w:sz w:val="16"/>
              </w:rPr>
              <w:t>19</w:t>
            </w:r>
          </w:p>
        </w:tc>
        <w:tc>
          <w:tcPr>
            <w:tcW w:type="dxa" w:w="4176"/>
          </w:tcPr>
          <w:p>
            <w:pPr>
              <w:spacing w:after="0"/>
            </w:pPr>
            <w:r/>
            <w:r>
              <w:rPr>
                <w:sz w:val="16"/>
              </w:rPr>
              <w:t>yes</w:t>
            </w:r>
          </w:p>
        </w:tc>
      </w:tr>
      <w:tr>
        <w:trPr>
          <w:cantSplit/>
        </w:trPr>
        <w:tc>
          <w:tcPr>
            <w:tcW w:type="dxa" w:w="3168"/>
          </w:tcPr>
          <w:p>
            <w:pPr>
              <w:spacing w:after="0"/>
            </w:pPr>
            <w:r/>
            <w:r>
              <w:rPr>
                <w:sz w:val="16"/>
              </w:rPr>
              <w:t>galon_transactions</w:t>
            </w:r>
          </w:p>
        </w:tc>
        <w:tc>
          <w:tcPr>
            <w:tcW w:type="dxa" w:w="2016"/>
          </w:tcPr>
          <w:p>
            <w:pPr>
              <w:spacing w:after="0"/>
            </w:pPr>
            <w:r/>
            <w:r>
              <w:rPr>
                <w:sz w:val="16"/>
              </w:rPr>
              <w:t>18</w:t>
            </w:r>
          </w:p>
        </w:tc>
        <w:tc>
          <w:tcPr>
            <w:tcW w:type="dxa" w:w="4176"/>
          </w:tcPr>
          <w:p>
            <w:pPr>
              <w:spacing w:after="0"/>
            </w:pPr>
            <w:r/>
            <w:r>
              <w:rPr>
                <w:sz w:val="16"/>
              </w:rPr>
              <w:t>yes</w:t>
            </w:r>
          </w:p>
        </w:tc>
      </w:tr>
      <w:tr>
        <w:trPr>
          <w:cantSplit/>
        </w:trPr>
        <w:tc>
          <w:tcPr>
            <w:tcW w:type="dxa" w:w="3168"/>
          </w:tcPr>
          <w:p>
            <w:pPr>
              <w:spacing w:after="0"/>
            </w:pPr>
            <w:r/>
            <w:r>
              <w:rPr>
                <w:sz w:val="16"/>
              </w:rPr>
              <w:t>attendances</w:t>
            </w:r>
          </w:p>
        </w:tc>
        <w:tc>
          <w:tcPr>
            <w:tcW w:type="dxa" w:w="2016"/>
          </w:tcPr>
          <w:p>
            <w:pPr>
              <w:spacing w:after="0"/>
            </w:pPr>
            <w:r/>
            <w:r>
              <w:rPr>
                <w:sz w:val="16"/>
              </w:rPr>
              <w:t>17</w:t>
            </w:r>
          </w:p>
        </w:tc>
        <w:tc>
          <w:tcPr>
            <w:tcW w:type="dxa" w:w="4176"/>
          </w:tcPr>
          <w:p>
            <w:pPr>
              <w:spacing w:after="0"/>
            </w:pPr>
            <w:r/>
            <w:r>
              <w:rPr>
                <w:sz w:val="16"/>
              </w:rPr>
              <w:t>yes</w:t>
            </w:r>
          </w:p>
        </w:tc>
      </w:tr>
      <w:tr>
        <w:trPr>
          <w:cantSplit/>
        </w:trPr>
        <w:tc>
          <w:tcPr>
            <w:tcW w:type="dxa" w:w="3168"/>
          </w:tcPr>
          <w:p>
            <w:pPr>
              <w:spacing w:after="0"/>
            </w:pPr>
            <w:r/>
            <w:r>
              <w:rPr>
                <w:sz w:val="16"/>
              </w:rPr>
              <w:t>buyer_addresses</w:t>
            </w:r>
          </w:p>
        </w:tc>
        <w:tc>
          <w:tcPr>
            <w:tcW w:type="dxa" w:w="2016"/>
          </w:tcPr>
          <w:p>
            <w:pPr>
              <w:spacing w:after="0"/>
            </w:pPr>
            <w:r/>
            <w:r>
              <w:rPr>
                <w:sz w:val="16"/>
              </w:rPr>
              <w:t>17</w:t>
            </w:r>
          </w:p>
        </w:tc>
        <w:tc>
          <w:tcPr>
            <w:tcW w:type="dxa" w:w="4176"/>
          </w:tcPr>
          <w:p>
            <w:pPr>
              <w:spacing w:after="0"/>
            </w:pPr>
            <w:r/>
            <w:r>
              <w:rPr>
                <w:sz w:val="16"/>
              </w:rPr>
              <w:t>—</w:t>
            </w:r>
          </w:p>
        </w:tc>
      </w:tr>
      <w:tr>
        <w:trPr>
          <w:cantSplit/>
        </w:trPr>
        <w:tc>
          <w:tcPr>
            <w:tcW w:type="dxa" w:w="3168"/>
          </w:tcPr>
          <w:p>
            <w:pPr>
              <w:spacing w:after="0"/>
            </w:pPr>
            <w:r/>
            <w:r>
              <w:rPr>
                <w:sz w:val="16"/>
              </w:rPr>
              <w:t>products</w:t>
            </w:r>
          </w:p>
        </w:tc>
        <w:tc>
          <w:tcPr>
            <w:tcW w:type="dxa" w:w="2016"/>
          </w:tcPr>
          <w:p>
            <w:pPr>
              <w:spacing w:after="0"/>
            </w:pPr>
            <w:r/>
            <w:r>
              <w:rPr>
                <w:sz w:val="16"/>
              </w:rPr>
              <w:t>17</w:t>
            </w:r>
          </w:p>
        </w:tc>
        <w:tc>
          <w:tcPr>
            <w:tcW w:type="dxa" w:w="4176"/>
          </w:tcPr>
          <w:p>
            <w:pPr>
              <w:spacing w:after="0"/>
            </w:pPr>
            <w:r/>
            <w:r>
              <w:rPr>
                <w:sz w:val="16"/>
              </w:rPr>
              <w:t>yes</w:t>
            </w:r>
          </w:p>
        </w:tc>
      </w:tr>
      <w:tr>
        <w:trPr>
          <w:cantSplit/>
        </w:trPr>
        <w:tc>
          <w:tcPr>
            <w:tcW w:type="dxa" w:w="3168"/>
          </w:tcPr>
          <w:p>
            <w:pPr>
              <w:spacing w:after="0"/>
            </w:pPr>
            <w:r/>
            <w:r>
              <w:rPr>
                <w:sz w:val="16"/>
              </w:rPr>
              <w:t>sales_order_items</w:t>
            </w:r>
          </w:p>
        </w:tc>
        <w:tc>
          <w:tcPr>
            <w:tcW w:type="dxa" w:w="2016"/>
          </w:tcPr>
          <w:p>
            <w:pPr>
              <w:spacing w:after="0"/>
            </w:pPr>
            <w:r/>
            <w:r>
              <w:rPr>
                <w:sz w:val="16"/>
              </w:rPr>
              <w:t>17</w:t>
            </w:r>
          </w:p>
        </w:tc>
        <w:tc>
          <w:tcPr>
            <w:tcW w:type="dxa" w:w="4176"/>
          </w:tcPr>
          <w:p>
            <w:pPr>
              <w:spacing w:after="0"/>
            </w:pPr>
            <w:r/>
            <w:r>
              <w:rPr>
                <w:sz w:val="16"/>
              </w:rPr>
              <w:t>—</w:t>
            </w:r>
          </w:p>
        </w:tc>
      </w:tr>
      <w:tr>
        <w:trPr>
          <w:cantSplit/>
        </w:trPr>
        <w:tc>
          <w:tcPr>
            <w:tcW w:type="dxa" w:w="3168"/>
          </w:tcPr>
          <w:p>
            <w:pPr>
              <w:spacing w:after="0"/>
            </w:pPr>
            <w:r/>
            <w:r>
              <w:rPr>
                <w:sz w:val="16"/>
              </w:rPr>
              <w:t>tickets</w:t>
            </w:r>
          </w:p>
        </w:tc>
        <w:tc>
          <w:tcPr>
            <w:tcW w:type="dxa" w:w="2016"/>
          </w:tcPr>
          <w:p>
            <w:pPr>
              <w:spacing w:after="0"/>
            </w:pPr>
            <w:r/>
            <w:r>
              <w:rPr>
                <w:sz w:val="16"/>
              </w:rPr>
              <w:t>17</w:t>
            </w:r>
          </w:p>
        </w:tc>
        <w:tc>
          <w:tcPr>
            <w:tcW w:type="dxa" w:w="4176"/>
          </w:tcPr>
          <w:p>
            <w:pPr>
              <w:spacing w:after="0"/>
            </w:pPr>
            <w:r/>
            <w:r>
              <w:rPr>
                <w:sz w:val="16"/>
              </w:rPr>
              <w:t>yes</w:t>
            </w:r>
          </w:p>
        </w:tc>
      </w:tr>
      <w:tr>
        <w:trPr>
          <w:cantSplit/>
        </w:trPr>
        <w:tc>
          <w:tcPr>
            <w:tcW w:type="dxa" w:w="3168"/>
          </w:tcPr>
          <w:p>
            <w:pPr>
              <w:spacing w:after="0"/>
            </w:pPr>
            <w:r/>
            <w:r>
              <w:rPr>
                <w:sz w:val="16"/>
              </w:rPr>
              <w:t>delivery_orders</w:t>
            </w:r>
          </w:p>
        </w:tc>
        <w:tc>
          <w:tcPr>
            <w:tcW w:type="dxa" w:w="2016"/>
          </w:tcPr>
          <w:p>
            <w:pPr>
              <w:spacing w:after="0"/>
            </w:pPr>
            <w:r/>
            <w:r>
              <w:rPr>
                <w:sz w:val="16"/>
              </w:rPr>
              <w:t>16</w:t>
            </w:r>
          </w:p>
        </w:tc>
        <w:tc>
          <w:tcPr>
            <w:tcW w:type="dxa" w:w="4176"/>
          </w:tcPr>
          <w:p>
            <w:pPr>
              <w:spacing w:after="0"/>
            </w:pPr>
            <w:r/>
            <w:r>
              <w:rPr>
                <w:sz w:val="16"/>
              </w:rPr>
              <w:t>yes</w:t>
            </w:r>
          </w:p>
        </w:tc>
      </w:tr>
      <w:tr>
        <w:trPr>
          <w:cantSplit/>
        </w:trPr>
        <w:tc>
          <w:tcPr>
            <w:tcW w:type="dxa" w:w="3168"/>
          </w:tcPr>
          <w:p>
            <w:pPr>
              <w:spacing w:after="0"/>
            </w:pPr>
            <w:r/>
            <w:r>
              <w:rPr>
                <w:sz w:val="16"/>
              </w:rPr>
              <w:t>payment_vouchers</w:t>
            </w:r>
          </w:p>
        </w:tc>
        <w:tc>
          <w:tcPr>
            <w:tcW w:type="dxa" w:w="2016"/>
          </w:tcPr>
          <w:p>
            <w:pPr>
              <w:spacing w:after="0"/>
            </w:pPr>
            <w:r/>
            <w:r>
              <w:rPr>
                <w:sz w:val="16"/>
              </w:rPr>
              <w:t>16</w:t>
            </w:r>
          </w:p>
        </w:tc>
        <w:tc>
          <w:tcPr>
            <w:tcW w:type="dxa" w:w="4176"/>
          </w:tcPr>
          <w:p>
            <w:pPr>
              <w:spacing w:after="0"/>
            </w:pPr>
            <w:r/>
            <w:r>
              <w:rPr>
                <w:sz w:val="16"/>
              </w:rPr>
              <w:t>yes</w:t>
            </w:r>
          </w:p>
        </w:tc>
      </w:tr>
      <w:tr>
        <w:trPr>
          <w:cantSplit/>
        </w:trPr>
        <w:tc>
          <w:tcPr>
            <w:tcW w:type="dxa" w:w="3168"/>
          </w:tcPr>
          <w:p>
            <w:pPr>
              <w:spacing w:after="0"/>
            </w:pPr>
            <w:r/>
            <w:r>
              <w:rPr>
                <w:sz w:val="16"/>
              </w:rPr>
              <w:t>performances</w:t>
            </w:r>
          </w:p>
        </w:tc>
        <w:tc>
          <w:tcPr>
            <w:tcW w:type="dxa" w:w="2016"/>
          </w:tcPr>
          <w:p>
            <w:pPr>
              <w:spacing w:after="0"/>
            </w:pPr>
            <w:r/>
            <w:r>
              <w:rPr>
                <w:sz w:val="16"/>
              </w:rPr>
              <w:t>16</w:t>
            </w:r>
          </w:p>
        </w:tc>
        <w:tc>
          <w:tcPr>
            <w:tcW w:type="dxa" w:w="4176"/>
          </w:tcPr>
          <w:p>
            <w:pPr>
              <w:spacing w:after="0"/>
            </w:pPr>
            <w:r/>
            <w:r>
              <w:rPr>
                <w:sz w:val="16"/>
              </w:rPr>
              <w:t>yes</w:t>
            </w:r>
          </w:p>
        </w:tc>
      </w:tr>
      <w:tr>
        <w:trPr>
          <w:cantSplit/>
        </w:trPr>
        <w:tc>
          <w:tcPr>
            <w:tcW w:type="dxa" w:w="3168"/>
          </w:tcPr>
          <w:p>
            <w:pPr>
              <w:spacing w:after="0"/>
            </w:pPr>
            <w:r/>
            <w:r>
              <w:rPr>
                <w:sz w:val="16"/>
              </w:rPr>
              <w:t>sales_targets</w:t>
            </w:r>
          </w:p>
        </w:tc>
        <w:tc>
          <w:tcPr>
            <w:tcW w:type="dxa" w:w="2016"/>
          </w:tcPr>
          <w:p>
            <w:pPr>
              <w:spacing w:after="0"/>
            </w:pPr>
            <w:r/>
            <w:r>
              <w:rPr>
                <w:sz w:val="16"/>
              </w:rPr>
              <w:t>16</w:t>
            </w:r>
          </w:p>
        </w:tc>
        <w:tc>
          <w:tcPr>
            <w:tcW w:type="dxa" w:w="4176"/>
          </w:tcPr>
          <w:p>
            <w:pPr>
              <w:spacing w:after="0"/>
            </w:pPr>
            <w:r/>
            <w:r>
              <w:rPr>
                <w:sz w:val="16"/>
              </w:rPr>
              <w:t>—</w:t>
            </w:r>
          </w:p>
        </w:tc>
      </w:tr>
      <w:tr>
        <w:trPr>
          <w:cantSplit/>
        </w:trPr>
        <w:tc>
          <w:tcPr>
            <w:tcW w:type="dxa" w:w="3168"/>
          </w:tcPr>
          <w:p>
            <w:pPr>
              <w:spacing w:after="0"/>
            </w:pPr>
            <w:r/>
            <w:r>
              <w:rPr>
                <w:sz w:val="16"/>
              </w:rPr>
              <w:t>warehouse_deposits</w:t>
            </w:r>
          </w:p>
        </w:tc>
        <w:tc>
          <w:tcPr>
            <w:tcW w:type="dxa" w:w="2016"/>
          </w:tcPr>
          <w:p>
            <w:pPr>
              <w:spacing w:after="0"/>
            </w:pPr>
            <w:r/>
            <w:r>
              <w:rPr>
                <w:sz w:val="16"/>
              </w:rPr>
              <w:t>16</w:t>
            </w:r>
          </w:p>
        </w:tc>
        <w:tc>
          <w:tcPr>
            <w:tcW w:type="dxa" w:w="4176"/>
          </w:tcPr>
          <w:p>
            <w:pPr>
              <w:spacing w:after="0"/>
            </w:pPr>
            <w:r/>
            <w:r>
              <w:rPr>
                <w:sz w:val="16"/>
              </w:rPr>
              <w:t>yes</w:t>
            </w:r>
          </w:p>
        </w:tc>
      </w:tr>
      <w:tr>
        <w:trPr>
          <w:cantSplit/>
        </w:trPr>
        <w:tc>
          <w:tcPr>
            <w:tcW w:type="dxa" w:w="3168"/>
          </w:tcPr>
          <w:p>
            <w:pPr>
              <w:spacing w:after="0"/>
            </w:pPr>
            <w:r/>
            <w:r>
              <w:rPr>
                <w:sz w:val="16"/>
              </w:rPr>
              <w:t>advances</w:t>
            </w:r>
          </w:p>
        </w:tc>
        <w:tc>
          <w:tcPr>
            <w:tcW w:type="dxa" w:w="2016"/>
          </w:tcPr>
          <w:p>
            <w:pPr>
              <w:spacing w:after="0"/>
            </w:pPr>
            <w:r/>
            <w:r>
              <w:rPr>
                <w:sz w:val="16"/>
              </w:rPr>
              <w:t>15</w:t>
            </w:r>
          </w:p>
        </w:tc>
        <w:tc>
          <w:tcPr>
            <w:tcW w:type="dxa" w:w="4176"/>
          </w:tcPr>
          <w:p>
            <w:pPr>
              <w:spacing w:after="0"/>
            </w:pPr>
            <w:r/>
            <w:r>
              <w:rPr>
                <w:sz w:val="16"/>
              </w:rPr>
              <w:t>yes</w:t>
            </w:r>
          </w:p>
        </w:tc>
      </w:tr>
      <w:tr>
        <w:trPr>
          <w:cantSplit/>
        </w:trPr>
        <w:tc>
          <w:tcPr>
            <w:tcW w:type="dxa" w:w="3168"/>
          </w:tcPr>
          <w:p>
            <w:pPr>
              <w:spacing w:after="0"/>
            </w:pPr>
            <w:r/>
            <w:r>
              <w:rPr>
                <w:sz w:val="16"/>
              </w:rPr>
              <w:t>vouchers</w:t>
            </w:r>
          </w:p>
        </w:tc>
        <w:tc>
          <w:tcPr>
            <w:tcW w:type="dxa" w:w="2016"/>
          </w:tcPr>
          <w:p>
            <w:pPr>
              <w:spacing w:after="0"/>
            </w:pPr>
            <w:r/>
            <w:r>
              <w:rPr>
                <w:sz w:val="16"/>
              </w:rPr>
              <w:t>15</w:t>
            </w:r>
          </w:p>
        </w:tc>
        <w:tc>
          <w:tcPr>
            <w:tcW w:type="dxa" w:w="4176"/>
          </w:tcPr>
          <w:p>
            <w:pPr>
              <w:spacing w:after="0"/>
            </w:pPr>
            <w:r/>
            <w:r>
              <w:rPr>
                <w:sz w:val="16"/>
              </w:rPr>
              <w:t>yes</w:t>
            </w:r>
          </w:p>
        </w:tc>
      </w:tr>
      <w:tr>
        <w:trPr>
          <w:cantSplit/>
        </w:trPr>
        <w:tc>
          <w:tcPr>
            <w:tcW w:type="dxa" w:w="3168"/>
          </w:tcPr>
          <w:p>
            <w:pPr>
              <w:spacing w:after="0"/>
            </w:pPr>
            <w:r/>
            <w:r>
              <w:rPr>
                <w:sz w:val="16"/>
              </w:rPr>
              <w:t>cashier_shifts</w:t>
            </w:r>
          </w:p>
        </w:tc>
        <w:tc>
          <w:tcPr>
            <w:tcW w:type="dxa" w:w="2016"/>
          </w:tcPr>
          <w:p>
            <w:pPr>
              <w:spacing w:after="0"/>
            </w:pPr>
            <w:r/>
            <w:r>
              <w:rPr>
                <w:sz w:val="16"/>
              </w:rPr>
              <w:t>14</w:t>
            </w:r>
          </w:p>
        </w:tc>
        <w:tc>
          <w:tcPr>
            <w:tcW w:type="dxa" w:w="4176"/>
          </w:tcPr>
          <w:p>
            <w:pPr>
              <w:spacing w:after="0"/>
            </w:pPr>
            <w:r/>
            <w:r>
              <w:rPr>
                <w:sz w:val="16"/>
              </w:rPr>
              <w:t>yes</w:t>
            </w:r>
          </w:p>
        </w:tc>
      </w:tr>
      <w:tr>
        <w:trPr>
          <w:cantSplit/>
        </w:trPr>
        <w:tc>
          <w:tcPr>
            <w:tcW w:type="dxa" w:w="3168"/>
          </w:tcPr>
          <w:p>
            <w:pPr>
              <w:spacing w:after="0"/>
            </w:pPr>
            <w:r/>
            <w:r>
              <w:rPr>
                <w:sz w:val="16"/>
              </w:rPr>
              <w:t>shipment_tracking_events</w:t>
            </w:r>
          </w:p>
        </w:tc>
        <w:tc>
          <w:tcPr>
            <w:tcW w:type="dxa" w:w="2016"/>
          </w:tcPr>
          <w:p>
            <w:pPr>
              <w:spacing w:after="0"/>
            </w:pPr>
            <w:r/>
            <w:r>
              <w:rPr>
                <w:sz w:val="16"/>
              </w:rPr>
              <w:t>14</w:t>
            </w:r>
          </w:p>
        </w:tc>
        <w:tc>
          <w:tcPr>
            <w:tcW w:type="dxa" w:w="4176"/>
          </w:tcPr>
          <w:p>
            <w:pPr>
              <w:spacing w:after="0"/>
            </w:pPr>
            <w:r/>
            <w:r>
              <w:rPr>
                <w:sz w:val="16"/>
              </w:rPr>
              <w:t>—</w:t>
            </w:r>
          </w:p>
        </w:tc>
      </w:tr>
    </w:tbl>
    <w:p>
      <w:pPr>
        <w:spacing w:after="200"/>
      </w:pPr>
      <w:r>
        <w:rPr>
          <w:i/>
          <w:color w:val="555F6D"/>
          <w:sz w:val="17"/>
        </w:rPr>
        <w:t>Table 116. Tables with the most referential structure</w:t>
      </w:r>
    </w:p>
    <w:p>
      <w:bookmarkStart w:id="1350" w:name="_Toc1350"/>
      <w:pPr>
        <w:pStyle w:val="Heading1"/>
        <w:pageBreakBefore/>
      </w:pPr>
      <w:r>
        <w:t>Appendix D. Complete API endpoint index</w:t>
      </w:r>
      <w:bookmarkEnd w:id="1350"/>
    </w:p>
    <w:p>
      <w:r>
        <w:rPr>
          <w:i w:val="0"/>
        </w:rPr>
        <w:t>The complete list is docs/audit/api-inventory.csv (373 rows) and is rendered in chapter 20.4. Each row carries method, path, tag, operationId, summary, auth class, permission gate, application gate, request-body schema name, parameters, response codes and the source file.</w:t>
      </w:r>
    </w:p>
    <w:p>
      <w:bookmarkStart w:id="1351" w:name="_Toc1351"/>
      <w:pPr>
        <w:pStyle w:val="Heading1"/>
        <w:pageBreakBefore/>
      </w:pPr>
      <w:r>
        <w:t>Appendix E. Complete environment-variable reference</w:t>
      </w:r>
      <w:bookmarkEnd w:id="1351"/>
    </w:p>
    <w:p>
      <w:r>
        <w:rPr>
          <w:i w:val="0"/>
        </w:rPr>
        <w:t>Chapter 23 lists all 36 backend variables and 17 frontend variables. The machine readable source is the ENV_BACKEND / ENV_FRONTEND tables in docs/docgen/facts.py, which are the single place to edit when a variable is added.</w:t>
      </w:r>
    </w:p>
    <w:p>
      <w:bookmarkStart w:id="1352" w:name="_Toc1352"/>
      <w:pPr>
        <w:pStyle w:val="Heading1"/>
        <w:pageBreakBefore/>
      </w:pPr>
      <w:r>
        <w:t>Appendix F. Permission and role index</w:t>
      </w:r>
      <w:bookmarkEnd w:id="1352"/>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7200" w:type="dxa"/>
      </w:tblPr>
      <w:tblGrid>
        <w:gridCol w:w="4824"/>
        <w:gridCol w:w="4824"/>
      </w:tblGrid>
      <w:tr>
        <w:trPr>
          <w:tblHeader w:val="true"/>
        </w:trPr>
        <w:tc>
          <w:tcPr>
            <w:tcW w:type="dxa" w:w="5760"/>
            <w:shd w:val="clear" w:color="auto" w:fill="1F3A5F"/>
          </w:tcPr>
          <w:p>
            <w:pPr>
              <w:spacing w:after="0"/>
            </w:pPr>
            <w:r/>
            <w:r>
              <w:rPr>
                <w:b/>
                <w:color w:val="FFFFFF"/>
                <w:sz w:val="16"/>
              </w:rPr>
              <w:t>Group</w:t>
            </w:r>
          </w:p>
        </w:tc>
        <w:tc>
          <w:tcPr>
            <w:tcW w:type="dxa" w:w="1440"/>
            <w:shd w:val="clear" w:color="auto" w:fill="1F3A5F"/>
          </w:tcPr>
          <w:p>
            <w:pPr>
              <w:spacing w:after="0"/>
            </w:pPr>
            <w:r/>
            <w:r>
              <w:rPr>
                <w:b/>
                <w:color w:val="FFFFFF"/>
                <w:sz w:val="16"/>
              </w:rPr>
              <w:t>Count</w:t>
            </w:r>
          </w:p>
        </w:tc>
      </w:tr>
      <w:tr>
        <w:trPr>
          <w:cantSplit/>
        </w:trPr>
        <w:tc>
          <w:tcPr>
            <w:tcW w:type="dxa" w:w="5760"/>
          </w:tcPr>
          <w:p>
            <w:pPr>
              <w:spacing w:after="0"/>
            </w:pPr>
            <w:r/>
            <w:r>
              <w:rPr>
                <w:sz w:val="16"/>
              </w:rPr>
              <w:t>Sistem — Pengguna, Peran &amp; Toko</w:t>
            </w:r>
          </w:p>
        </w:tc>
        <w:tc>
          <w:tcPr>
            <w:tcW w:type="dxa" w:w="1440"/>
          </w:tcPr>
          <w:p>
            <w:pPr>
              <w:spacing w:after="0"/>
            </w:pPr>
            <w:r/>
            <w:r>
              <w:rPr>
                <w:sz w:val="16"/>
              </w:rPr>
              <w:t>19</w:t>
            </w:r>
          </w:p>
        </w:tc>
      </w:tr>
      <w:tr>
        <w:trPr>
          <w:cantSplit/>
        </w:trPr>
        <w:tc>
          <w:tcPr>
            <w:tcW w:type="dxa" w:w="5760"/>
          </w:tcPr>
          <w:p>
            <w:pPr>
              <w:spacing w:after="0"/>
            </w:pPr>
            <w:r/>
            <w:r>
              <w:rPr>
                <w:sz w:val="16"/>
              </w:rPr>
              <w:t>Master Data</w:t>
            </w:r>
          </w:p>
        </w:tc>
        <w:tc>
          <w:tcPr>
            <w:tcW w:type="dxa" w:w="1440"/>
          </w:tcPr>
          <w:p>
            <w:pPr>
              <w:spacing w:after="0"/>
            </w:pPr>
            <w:r/>
            <w:r>
              <w:rPr>
                <w:sz w:val="16"/>
              </w:rPr>
              <w:t>29</w:t>
            </w:r>
          </w:p>
        </w:tc>
      </w:tr>
      <w:tr>
        <w:trPr>
          <w:cantSplit/>
        </w:trPr>
        <w:tc>
          <w:tcPr>
            <w:tcW w:type="dxa" w:w="5760"/>
          </w:tcPr>
          <w:p>
            <w:pPr>
              <w:spacing w:after="0"/>
            </w:pPr>
            <w:r/>
            <w:r>
              <w:rPr>
                <w:sz w:val="16"/>
              </w:rPr>
              <w:t>Keanggotaan</w:t>
            </w:r>
          </w:p>
        </w:tc>
        <w:tc>
          <w:tcPr>
            <w:tcW w:type="dxa" w:w="1440"/>
          </w:tcPr>
          <w:p>
            <w:pPr>
              <w:spacing w:after="0"/>
            </w:pPr>
            <w:r/>
            <w:r>
              <w:rPr>
                <w:sz w:val="16"/>
              </w:rPr>
              <w:t>5</w:t>
            </w:r>
          </w:p>
        </w:tc>
      </w:tr>
      <w:tr>
        <w:trPr>
          <w:cantSplit/>
        </w:trPr>
        <w:tc>
          <w:tcPr>
            <w:tcW w:type="dxa" w:w="5760"/>
          </w:tcPr>
          <w:p>
            <w:pPr>
              <w:spacing w:after="0"/>
            </w:pPr>
            <w:r/>
            <w:r>
              <w:rPr>
                <w:sz w:val="16"/>
              </w:rPr>
              <w:t>Inventory &amp; Purchasing</w:t>
            </w:r>
          </w:p>
        </w:tc>
        <w:tc>
          <w:tcPr>
            <w:tcW w:type="dxa" w:w="1440"/>
          </w:tcPr>
          <w:p>
            <w:pPr>
              <w:spacing w:after="0"/>
            </w:pPr>
            <w:r/>
            <w:r>
              <w:rPr>
                <w:sz w:val="16"/>
              </w:rPr>
              <w:t>28</w:t>
            </w:r>
          </w:p>
        </w:tc>
      </w:tr>
      <w:tr>
        <w:trPr>
          <w:cantSplit/>
        </w:trPr>
        <w:tc>
          <w:tcPr>
            <w:tcW w:type="dxa" w:w="5760"/>
          </w:tcPr>
          <w:p>
            <w:pPr>
              <w:spacing w:after="0"/>
            </w:pPr>
            <w:r/>
            <w:r>
              <w:rPr>
                <w:sz w:val="16"/>
              </w:rPr>
              <w:t>Sales &amp; Finance</w:t>
            </w:r>
          </w:p>
        </w:tc>
        <w:tc>
          <w:tcPr>
            <w:tcW w:type="dxa" w:w="1440"/>
          </w:tcPr>
          <w:p>
            <w:pPr>
              <w:spacing w:after="0"/>
            </w:pPr>
            <w:r/>
            <w:r>
              <w:rPr>
                <w:sz w:val="16"/>
              </w:rPr>
              <w:t>35</w:t>
            </w:r>
          </w:p>
        </w:tc>
      </w:tr>
      <w:tr>
        <w:trPr>
          <w:cantSplit/>
        </w:trPr>
        <w:tc>
          <w:tcPr>
            <w:tcW w:type="dxa" w:w="5760"/>
          </w:tcPr>
          <w:p>
            <w:pPr>
              <w:spacing w:after="0"/>
            </w:pPr>
            <w:r/>
            <w:r>
              <w:rPr>
                <w:sz w:val="16"/>
              </w:rPr>
              <w:t>HR &amp; Tracking</w:t>
            </w:r>
          </w:p>
        </w:tc>
        <w:tc>
          <w:tcPr>
            <w:tcW w:type="dxa" w:w="1440"/>
          </w:tcPr>
          <w:p>
            <w:pPr>
              <w:spacing w:after="0"/>
            </w:pPr>
            <w:r/>
            <w:r>
              <w:rPr>
                <w:sz w:val="16"/>
              </w:rPr>
              <w:t>33</w:t>
            </w:r>
          </w:p>
        </w:tc>
      </w:tr>
      <w:tr>
        <w:trPr>
          <w:cantSplit/>
        </w:trPr>
        <w:tc>
          <w:tcPr>
            <w:tcW w:type="dxa" w:w="5760"/>
          </w:tcPr>
          <w:p>
            <w:pPr>
              <w:spacing w:after="0"/>
            </w:pPr>
            <w:r/>
            <w:r>
              <w:rPr>
                <w:sz w:val="16"/>
              </w:rPr>
              <w:t>Kasir &amp; Galon (POS)</w:t>
            </w:r>
          </w:p>
        </w:tc>
        <w:tc>
          <w:tcPr>
            <w:tcW w:type="dxa" w:w="1440"/>
          </w:tcPr>
          <w:p>
            <w:pPr>
              <w:spacing w:after="0"/>
            </w:pPr>
            <w:r/>
            <w:r>
              <w:rPr>
                <w:sz w:val="16"/>
              </w:rPr>
              <w:t>12</w:t>
            </w:r>
          </w:p>
        </w:tc>
      </w:tr>
      <w:tr>
        <w:trPr>
          <w:cantSplit/>
        </w:trPr>
        <w:tc>
          <w:tcPr>
            <w:tcW w:type="dxa" w:w="5760"/>
          </w:tcPr>
          <w:p>
            <w:pPr>
              <w:spacing w:after="0"/>
            </w:pPr>
            <w:r/>
            <w:r>
              <w:rPr>
                <w:sz w:val="16"/>
              </w:rPr>
              <w:t>Akuntansi</w:t>
            </w:r>
          </w:p>
        </w:tc>
        <w:tc>
          <w:tcPr>
            <w:tcW w:type="dxa" w:w="1440"/>
          </w:tcPr>
          <w:p>
            <w:pPr>
              <w:spacing w:after="0"/>
            </w:pPr>
            <w:r/>
            <w:r>
              <w:rPr>
                <w:sz w:val="16"/>
              </w:rPr>
              <w:t>18</w:t>
            </w:r>
          </w:p>
        </w:tc>
      </w:tr>
      <w:tr>
        <w:trPr>
          <w:cantSplit/>
        </w:trPr>
        <w:tc>
          <w:tcPr>
            <w:tcW w:type="dxa" w:w="5760"/>
          </w:tcPr>
          <w:p>
            <w:pPr>
              <w:spacing w:after="0"/>
            </w:pPr>
            <w:r/>
            <w:r>
              <w:rPr>
                <w:sz w:val="16"/>
              </w:rPr>
              <w:t>Distribusi</w:t>
            </w:r>
          </w:p>
        </w:tc>
        <w:tc>
          <w:tcPr>
            <w:tcW w:type="dxa" w:w="1440"/>
          </w:tcPr>
          <w:p>
            <w:pPr>
              <w:spacing w:after="0"/>
            </w:pPr>
            <w:r/>
            <w:r>
              <w:rPr>
                <w:sz w:val="16"/>
              </w:rPr>
              <w:t>13</w:t>
            </w:r>
          </w:p>
        </w:tc>
      </w:tr>
      <w:tr>
        <w:trPr>
          <w:cantSplit/>
        </w:trPr>
        <w:tc>
          <w:tcPr>
            <w:tcW w:type="dxa" w:w="5760"/>
          </w:tcPr>
          <w:p>
            <w:pPr>
              <w:spacing w:after="0"/>
            </w:pPr>
            <w:r/>
            <w:r>
              <w:rPr>
                <w:sz w:val="16"/>
              </w:rPr>
              <w:t>Dasbor &amp; Laporan</w:t>
            </w:r>
          </w:p>
        </w:tc>
        <w:tc>
          <w:tcPr>
            <w:tcW w:type="dxa" w:w="1440"/>
          </w:tcPr>
          <w:p>
            <w:pPr>
              <w:spacing w:after="0"/>
            </w:pPr>
            <w:r/>
            <w:r>
              <w:rPr>
                <w:sz w:val="16"/>
              </w:rPr>
              <w:t>4</w:t>
            </w:r>
          </w:p>
        </w:tc>
      </w:tr>
      <w:tr>
        <w:trPr>
          <w:cantSplit/>
        </w:trPr>
        <w:tc>
          <w:tcPr>
            <w:tcW w:type="dxa" w:w="5760"/>
          </w:tcPr>
          <w:p>
            <w:pPr>
              <w:spacing w:after="0"/>
            </w:pPr>
            <w:r/>
            <w:r>
              <w:rPr>
                <w:sz w:val="16"/>
              </w:rPr>
              <w:t>Keranjang</w:t>
            </w:r>
          </w:p>
        </w:tc>
        <w:tc>
          <w:tcPr>
            <w:tcW w:type="dxa" w:w="1440"/>
          </w:tcPr>
          <w:p>
            <w:pPr>
              <w:spacing w:after="0"/>
            </w:pPr>
            <w:r/>
            <w:r>
              <w:rPr>
                <w:sz w:val="16"/>
              </w:rPr>
              <w:t>2</w:t>
            </w:r>
          </w:p>
        </w:tc>
      </w:tr>
      <w:tr>
        <w:trPr>
          <w:cantSplit/>
        </w:trPr>
        <w:tc>
          <w:tcPr>
            <w:tcW w:type="dxa" w:w="5760"/>
          </w:tcPr>
          <w:p>
            <w:pPr>
              <w:spacing w:after="0"/>
            </w:pPr>
            <w:r/>
            <w:r>
              <w:rPr>
                <w:sz w:val="16"/>
              </w:rPr>
              <w:t>Layanan Bantuan &amp; Tiket Kendala</w:t>
            </w:r>
          </w:p>
        </w:tc>
        <w:tc>
          <w:tcPr>
            <w:tcW w:type="dxa" w:w="1440"/>
          </w:tcPr>
          <w:p>
            <w:pPr>
              <w:spacing w:after="0"/>
            </w:pPr>
            <w:r/>
            <w:r>
              <w:rPr>
                <w:sz w:val="16"/>
              </w:rPr>
              <w:t>3</w:t>
            </w:r>
          </w:p>
        </w:tc>
      </w:tr>
      <w:tr>
        <w:trPr>
          <w:cantSplit/>
        </w:trPr>
        <w:tc>
          <w:tcPr>
            <w:tcW w:type="dxa" w:w="5760"/>
          </w:tcPr>
          <w:p>
            <w:pPr>
              <w:spacing w:after="0"/>
            </w:pPr>
            <w:r/>
            <w:r>
              <w:rPr>
                <w:sz w:val="16"/>
              </w:rPr>
              <w:t>Total</w:t>
            </w:r>
          </w:p>
        </w:tc>
        <w:tc>
          <w:tcPr>
            <w:tcW w:type="dxa" w:w="1440"/>
          </w:tcPr>
          <w:p>
            <w:pPr>
              <w:spacing w:after="0"/>
            </w:pPr>
            <w:r/>
            <w:r>
              <w:rPr>
                <w:sz w:val="16"/>
              </w:rPr>
              <w:t>201</w:t>
            </w:r>
          </w:p>
        </w:tc>
      </w:tr>
    </w:tbl>
    <w:p>
      <w:pPr>
        <w:spacing w:after="200"/>
      </w:pPr>
      <w:r>
        <w:rPr>
          <w:i/>
          <w:color w:val="555F6D"/>
          <w:sz w:val="17"/>
        </w:rPr>
        <w:t>Table 117. Permission groups</w:t>
      </w: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4320" w:type="dxa"/>
      </w:tblPr>
      <w:tblGrid>
        <w:gridCol w:w="4824"/>
        <w:gridCol w:w="4824"/>
      </w:tblGrid>
      <w:tr>
        <w:trPr>
          <w:tblHeader w:val="true"/>
        </w:trPr>
        <w:tc>
          <w:tcPr>
            <w:tcW w:type="dxa" w:w="2880"/>
            <w:shd w:val="clear" w:color="auto" w:fill="1F3A5F"/>
          </w:tcPr>
          <w:p>
            <w:pPr>
              <w:spacing w:after="0"/>
            </w:pPr>
            <w:r/>
            <w:r>
              <w:rPr>
                <w:b/>
                <w:color w:val="FFFFFF"/>
                <w:sz w:val="16"/>
              </w:rPr>
              <w:t>Role</w:t>
            </w:r>
          </w:p>
        </w:tc>
        <w:tc>
          <w:tcPr>
            <w:tcW w:type="dxa" w:w="1440"/>
            <w:shd w:val="clear" w:color="auto" w:fill="1F3A5F"/>
          </w:tcPr>
          <w:p>
            <w:pPr>
              <w:spacing w:after="0"/>
            </w:pPr>
            <w:r/>
            <w:r>
              <w:rPr>
                <w:b/>
                <w:color w:val="FFFFFF"/>
                <w:sz w:val="16"/>
              </w:rPr>
              <w:t>Rows</w:t>
            </w:r>
          </w:p>
        </w:tc>
      </w:tr>
      <w:tr>
        <w:trPr>
          <w:cantSplit/>
        </w:trPr>
        <w:tc>
          <w:tcPr>
            <w:tcW w:type="dxa" w:w="2880"/>
          </w:tcPr>
          <w:p>
            <w:pPr>
              <w:spacing w:after="0"/>
            </w:pPr>
            <w:r/>
            <w:r>
              <w:rPr>
                <w:sz w:val="16"/>
              </w:rPr>
              <w:t>admin</w:t>
            </w:r>
          </w:p>
        </w:tc>
        <w:tc>
          <w:tcPr>
            <w:tcW w:type="dxa" w:w="1440"/>
          </w:tcPr>
          <w:p>
            <w:pPr>
              <w:spacing w:after="0"/>
            </w:pPr>
            <w:r/>
            <w:r>
              <w:rPr>
                <w:sz w:val="16"/>
              </w:rPr>
              <w:t>2</w:t>
            </w:r>
          </w:p>
        </w:tc>
      </w:tr>
      <w:tr>
        <w:trPr>
          <w:cantSplit/>
        </w:trPr>
        <w:tc>
          <w:tcPr>
            <w:tcW w:type="dxa" w:w="2880"/>
          </w:tcPr>
          <w:p>
            <w:pPr>
              <w:spacing w:after="0"/>
            </w:pPr>
            <w:r/>
            <w:r>
              <w:rPr>
                <w:sz w:val="16"/>
              </w:rPr>
              <w:t>owner</w:t>
            </w:r>
          </w:p>
        </w:tc>
        <w:tc>
          <w:tcPr>
            <w:tcW w:type="dxa" w:w="1440"/>
          </w:tcPr>
          <w:p>
            <w:pPr>
              <w:spacing w:after="0"/>
            </w:pPr>
            <w:r/>
            <w:r>
              <w:rPr>
                <w:sz w:val="16"/>
              </w:rPr>
              <w:t>2</w:t>
            </w:r>
          </w:p>
        </w:tc>
      </w:tr>
      <w:tr>
        <w:trPr>
          <w:cantSplit/>
        </w:trPr>
        <w:tc>
          <w:tcPr>
            <w:tcW w:type="dxa" w:w="2880"/>
          </w:tcPr>
          <w:p>
            <w:pPr>
              <w:spacing w:after="0"/>
            </w:pPr>
            <w:r/>
            <w:r>
              <w:rPr>
                <w:sz w:val="16"/>
              </w:rPr>
              <w:t>gm</w:t>
            </w:r>
          </w:p>
        </w:tc>
        <w:tc>
          <w:tcPr>
            <w:tcW w:type="dxa" w:w="1440"/>
          </w:tcPr>
          <w:p>
            <w:pPr>
              <w:spacing w:after="0"/>
            </w:pPr>
            <w:r/>
            <w:r>
              <w:rPr>
                <w:sz w:val="16"/>
              </w:rPr>
              <w:t>29</w:t>
            </w:r>
          </w:p>
        </w:tc>
      </w:tr>
      <w:tr>
        <w:trPr>
          <w:cantSplit/>
        </w:trPr>
        <w:tc>
          <w:tcPr>
            <w:tcW w:type="dxa" w:w="2880"/>
          </w:tcPr>
          <w:p>
            <w:pPr>
              <w:spacing w:after="0"/>
            </w:pPr>
            <w:r/>
            <w:r>
              <w:rPr>
                <w:sz w:val="16"/>
              </w:rPr>
              <w:t>bm</w:t>
            </w:r>
          </w:p>
        </w:tc>
        <w:tc>
          <w:tcPr>
            <w:tcW w:type="dxa" w:w="1440"/>
          </w:tcPr>
          <w:p>
            <w:pPr>
              <w:spacing w:after="0"/>
            </w:pPr>
            <w:r/>
            <w:r>
              <w:rPr>
                <w:sz w:val="16"/>
              </w:rPr>
              <w:t>25</w:t>
            </w:r>
          </w:p>
        </w:tc>
      </w:tr>
      <w:tr>
        <w:trPr>
          <w:cantSplit/>
        </w:trPr>
        <w:tc>
          <w:tcPr>
            <w:tcW w:type="dxa" w:w="2880"/>
          </w:tcPr>
          <w:p>
            <w:pPr>
              <w:spacing w:after="0"/>
            </w:pPr>
            <w:r/>
            <w:r>
              <w:rPr>
                <w:sz w:val="16"/>
              </w:rPr>
              <w:t>spv</w:t>
            </w:r>
          </w:p>
        </w:tc>
        <w:tc>
          <w:tcPr>
            <w:tcW w:type="dxa" w:w="1440"/>
          </w:tcPr>
          <w:p>
            <w:pPr>
              <w:spacing w:after="0"/>
            </w:pPr>
            <w:r/>
            <w:r>
              <w:rPr>
                <w:sz w:val="16"/>
              </w:rPr>
              <w:t>19</w:t>
            </w:r>
          </w:p>
        </w:tc>
      </w:tr>
      <w:tr>
        <w:trPr>
          <w:cantSplit/>
        </w:trPr>
        <w:tc>
          <w:tcPr>
            <w:tcW w:type="dxa" w:w="2880"/>
          </w:tcPr>
          <w:p>
            <w:pPr>
              <w:spacing w:after="0"/>
            </w:pPr>
            <w:r/>
            <w:r>
              <w:rPr>
                <w:sz w:val="16"/>
              </w:rPr>
              <w:t>sales</w:t>
            </w:r>
          </w:p>
        </w:tc>
        <w:tc>
          <w:tcPr>
            <w:tcW w:type="dxa" w:w="1440"/>
          </w:tcPr>
          <w:p>
            <w:pPr>
              <w:spacing w:after="0"/>
            </w:pPr>
            <w:r/>
            <w:r>
              <w:rPr>
                <w:sz w:val="16"/>
              </w:rPr>
              <w:t>20</w:t>
            </w:r>
          </w:p>
        </w:tc>
      </w:tr>
      <w:tr>
        <w:trPr>
          <w:cantSplit/>
        </w:trPr>
        <w:tc>
          <w:tcPr>
            <w:tcW w:type="dxa" w:w="2880"/>
          </w:tcPr>
          <w:p>
            <w:pPr>
              <w:spacing w:after="0"/>
            </w:pPr>
            <w:r/>
            <w:r>
              <w:rPr>
                <w:sz w:val="16"/>
              </w:rPr>
              <w:t>store_manager</w:t>
            </w:r>
          </w:p>
        </w:tc>
        <w:tc>
          <w:tcPr>
            <w:tcW w:type="dxa" w:w="1440"/>
          </w:tcPr>
          <w:p>
            <w:pPr>
              <w:spacing w:after="0"/>
            </w:pPr>
            <w:r/>
            <w:r>
              <w:rPr>
                <w:sz w:val="16"/>
              </w:rPr>
              <w:t>48</w:t>
            </w:r>
          </w:p>
        </w:tc>
      </w:tr>
      <w:tr>
        <w:trPr>
          <w:cantSplit/>
        </w:trPr>
        <w:tc>
          <w:tcPr>
            <w:tcW w:type="dxa" w:w="2880"/>
          </w:tcPr>
          <w:p>
            <w:pPr>
              <w:spacing w:after="0"/>
            </w:pPr>
            <w:r/>
            <w:r>
              <w:rPr>
                <w:sz w:val="16"/>
              </w:rPr>
              <w:t>cashier</w:t>
            </w:r>
          </w:p>
        </w:tc>
        <w:tc>
          <w:tcPr>
            <w:tcW w:type="dxa" w:w="1440"/>
          </w:tcPr>
          <w:p>
            <w:pPr>
              <w:spacing w:after="0"/>
            </w:pPr>
            <w:r/>
            <w:r>
              <w:rPr>
                <w:sz w:val="16"/>
              </w:rPr>
              <w:t>36</w:t>
            </w:r>
          </w:p>
        </w:tc>
      </w:tr>
      <w:tr>
        <w:trPr>
          <w:cantSplit/>
        </w:trPr>
        <w:tc>
          <w:tcPr>
            <w:tcW w:type="dxa" w:w="2880"/>
          </w:tcPr>
          <w:p>
            <w:pPr>
              <w:spacing w:after="0"/>
            </w:pPr>
            <w:r/>
            <w:r>
              <w:rPr>
                <w:sz w:val="16"/>
              </w:rPr>
              <w:t>buyer</w:t>
            </w:r>
          </w:p>
        </w:tc>
        <w:tc>
          <w:tcPr>
            <w:tcW w:type="dxa" w:w="1440"/>
          </w:tcPr>
          <w:p>
            <w:pPr>
              <w:spacing w:after="0"/>
            </w:pPr>
            <w:r/>
            <w:r>
              <w:rPr>
                <w:sz w:val="16"/>
              </w:rPr>
              <w:t>6</w:t>
            </w:r>
          </w:p>
        </w:tc>
      </w:tr>
      <w:tr>
        <w:trPr>
          <w:cantSplit/>
        </w:trPr>
        <w:tc>
          <w:tcPr>
            <w:tcW w:type="dxa" w:w="2880"/>
          </w:tcPr>
          <w:p>
            <w:pPr>
              <w:spacing w:after="0"/>
            </w:pPr>
            <w:r/>
            <w:r>
              <w:rPr>
                <w:sz w:val="16"/>
              </w:rPr>
              <w:t>finance</w:t>
            </w:r>
          </w:p>
        </w:tc>
        <w:tc>
          <w:tcPr>
            <w:tcW w:type="dxa" w:w="1440"/>
          </w:tcPr>
          <w:p>
            <w:pPr>
              <w:spacing w:after="0"/>
            </w:pPr>
            <w:r/>
            <w:r>
              <w:rPr>
                <w:sz w:val="16"/>
              </w:rPr>
              <w:t>41</w:t>
            </w:r>
          </w:p>
        </w:tc>
      </w:tr>
      <w:tr>
        <w:trPr>
          <w:cantSplit/>
        </w:trPr>
        <w:tc>
          <w:tcPr>
            <w:tcW w:type="dxa" w:w="2880"/>
          </w:tcPr>
          <w:p>
            <w:pPr>
              <w:spacing w:after="0"/>
            </w:pPr>
            <w:r/>
            <w:r>
              <w:rPr>
                <w:sz w:val="16"/>
              </w:rPr>
              <w:t>finance_head</w:t>
            </w:r>
          </w:p>
        </w:tc>
        <w:tc>
          <w:tcPr>
            <w:tcW w:type="dxa" w:w="1440"/>
          </w:tcPr>
          <w:p>
            <w:pPr>
              <w:spacing w:after="0"/>
            </w:pPr>
            <w:r/>
            <w:r>
              <w:rPr>
                <w:sz w:val="16"/>
              </w:rPr>
              <w:t>39</w:t>
            </w:r>
          </w:p>
        </w:tc>
      </w:tr>
      <w:tr>
        <w:trPr>
          <w:cantSplit/>
        </w:trPr>
        <w:tc>
          <w:tcPr>
            <w:tcW w:type="dxa" w:w="2880"/>
          </w:tcPr>
          <w:p>
            <w:pPr>
              <w:spacing w:after="0"/>
            </w:pPr>
            <w:r/>
            <w:r>
              <w:rPr>
                <w:sz w:val="16"/>
              </w:rPr>
              <w:t>warehouse</w:t>
            </w:r>
          </w:p>
        </w:tc>
        <w:tc>
          <w:tcPr>
            <w:tcW w:type="dxa" w:w="1440"/>
          </w:tcPr>
          <w:p>
            <w:pPr>
              <w:spacing w:after="0"/>
            </w:pPr>
            <w:r/>
            <w:r>
              <w:rPr>
                <w:sz w:val="16"/>
              </w:rPr>
              <w:t>29</w:t>
            </w:r>
          </w:p>
        </w:tc>
      </w:tr>
      <w:tr>
        <w:trPr>
          <w:cantSplit/>
        </w:trPr>
        <w:tc>
          <w:tcPr>
            <w:tcW w:type="dxa" w:w="2880"/>
          </w:tcPr>
          <w:p>
            <w:pPr>
              <w:spacing w:after="0"/>
            </w:pPr>
            <w:r/>
            <w:r>
              <w:rPr>
                <w:sz w:val="16"/>
              </w:rPr>
              <w:t>hr_manager</w:t>
            </w:r>
          </w:p>
        </w:tc>
        <w:tc>
          <w:tcPr>
            <w:tcW w:type="dxa" w:w="1440"/>
          </w:tcPr>
          <w:p>
            <w:pPr>
              <w:spacing w:after="0"/>
            </w:pPr>
            <w:r/>
            <w:r>
              <w:rPr>
                <w:sz w:val="16"/>
              </w:rPr>
              <w:t>6</w:t>
            </w:r>
          </w:p>
        </w:tc>
      </w:tr>
      <w:tr>
        <w:trPr>
          <w:cantSplit/>
        </w:trPr>
        <w:tc>
          <w:tcPr>
            <w:tcW w:type="dxa" w:w="2880"/>
          </w:tcPr>
          <w:p>
            <w:pPr>
              <w:spacing w:after="0"/>
            </w:pPr>
            <w:r/>
            <w:r>
              <w:rPr>
                <w:sz w:val="16"/>
              </w:rPr>
              <w:t>hr_staff</w:t>
            </w:r>
          </w:p>
        </w:tc>
        <w:tc>
          <w:tcPr>
            <w:tcW w:type="dxa" w:w="1440"/>
          </w:tcPr>
          <w:p>
            <w:pPr>
              <w:spacing w:after="0"/>
            </w:pPr>
            <w:r/>
            <w:r>
              <w:rPr>
                <w:sz w:val="16"/>
              </w:rPr>
              <w:t>0</w:t>
            </w:r>
          </w:p>
        </w:tc>
      </w:tr>
      <w:tr>
        <w:trPr>
          <w:cantSplit/>
        </w:trPr>
        <w:tc>
          <w:tcPr>
            <w:tcW w:type="dxa" w:w="2880"/>
          </w:tcPr>
          <w:p>
            <w:pPr>
              <w:spacing w:after="0"/>
            </w:pPr>
            <w:r/>
            <w:r>
              <w:rPr>
                <w:sz w:val="16"/>
              </w:rPr>
              <w:t>employee</w:t>
            </w:r>
          </w:p>
        </w:tc>
        <w:tc>
          <w:tcPr>
            <w:tcW w:type="dxa" w:w="1440"/>
          </w:tcPr>
          <w:p>
            <w:pPr>
              <w:spacing w:after="0"/>
            </w:pPr>
            <w:r/>
            <w:r>
              <w:rPr>
                <w:sz w:val="16"/>
              </w:rPr>
              <w:t>2</w:t>
            </w:r>
          </w:p>
        </w:tc>
      </w:tr>
      <w:tr>
        <w:trPr>
          <w:cantSplit/>
        </w:trPr>
        <w:tc>
          <w:tcPr>
            <w:tcW w:type="dxa" w:w="2880"/>
          </w:tcPr>
          <w:p>
            <w:pPr>
              <w:spacing w:after="0"/>
            </w:pPr>
            <w:r/>
            <w:r>
              <w:rPr>
                <w:sz w:val="16"/>
              </w:rPr>
              <w:t>system</w:t>
            </w:r>
          </w:p>
        </w:tc>
        <w:tc>
          <w:tcPr>
            <w:tcW w:type="dxa" w:w="1440"/>
          </w:tcPr>
          <w:p>
            <w:pPr>
              <w:spacing w:after="0"/>
            </w:pPr>
            <w:r/>
            <w:r>
              <w:rPr>
                <w:sz w:val="16"/>
              </w:rPr>
              <w:t>0</w:t>
            </w:r>
          </w:p>
        </w:tc>
      </w:tr>
    </w:tbl>
    <w:p>
      <w:pPr>
        <w:spacing w:after="200"/>
      </w:pPr>
      <w:r>
        <w:rPr>
          <w:i/>
          <w:color w:val="555F6D"/>
          <w:sz w:val="17"/>
        </w:rPr>
        <w:t>Table 118. Seeded roles and row counts</w:t>
      </w:r>
    </w:p>
    <w:p>
      <w:r>
        <w:rPr>
          <w:i w:val="0"/>
        </w:rPr>
        <w:t>The authoritative list is packages/permissions/src/permissions.txt (201 keys) and the role matrix in the database (role_permissions). GET /api/v1/permissions returns the grouped catalogue with labels.</w:t>
      </w:r>
    </w:p>
    <w:p>
      <w:bookmarkStart w:id="1353" w:name="_Toc1353"/>
      <w:pPr>
        <w:pStyle w:val="Heading1"/>
        <w:pageBreakBefore/>
      </w:pPr>
      <w:r>
        <w:t>Appendix G. Application route index</w:t>
      </w:r>
      <w:bookmarkEnd w:id="1353"/>
    </w:p>
    <w:p>
      <w:r>
        <w:rPr>
          <w:i w:val="0"/>
        </w:rPr>
        <w:t>docs/audit/route-inventory.csv holds 146 rows (ERP 78 page routes + 15 redirects + 2 layout wrappers, POS 9, B2B 42) with path, name, component, title, module, permission and public flag. Chapters 8.2, 9.2 and 13.2 render them grouped by application.</w:t>
      </w:r>
    </w:p>
    <w:p>
      <w:bookmarkStart w:id="1354" w:name="_Toc1354"/>
      <w:pPr>
        <w:pStyle w:val="Heading1"/>
        <w:pageBreakBefore/>
      </w:pPr>
      <w:r>
        <w:t>Appendix H. Business workflow index</w:t>
      </w:r>
      <w:bookmarkEnd w:id="1354"/>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7920" w:type="dxa"/>
      </w:tblPr>
      <w:tblGrid>
        <w:gridCol w:w="3216"/>
        <w:gridCol w:w="3216"/>
        <w:gridCol w:w="3216"/>
      </w:tblGrid>
      <w:tr>
        <w:trPr>
          <w:tblHeader w:val="true"/>
        </w:trPr>
        <w:tc>
          <w:tcPr>
            <w:tcW w:type="dxa" w:w="864"/>
            <w:shd w:val="clear" w:color="auto" w:fill="1F3A5F"/>
          </w:tcPr>
          <w:p>
            <w:pPr>
              <w:spacing w:after="0"/>
            </w:pPr>
            <w:r/>
            <w:r>
              <w:rPr>
                <w:b/>
                <w:color w:val="FFFFFF"/>
                <w:sz w:val="16"/>
              </w:rPr>
              <w:t>ID</w:t>
            </w:r>
          </w:p>
        </w:tc>
        <w:tc>
          <w:tcPr>
            <w:tcW w:type="dxa" w:w="4896"/>
            <w:shd w:val="clear" w:color="auto" w:fill="1F3A5F"/>
          </w:tcPr>
          <w:p>
            <w:pPr>
              <w:spacing w:after="0"/>
            </w:pPr>
            <w:r/>
            <w:r>
              <w:rPr>
                <w:b/>
                <w:color w:val="FFFFFF"/>
                <w:sz w:val="16"/>
              </w:rPr>
              <w:t>Workflow</w:t>
            </w:r>
          </w:p>
        </w:tc>
        <w:tc>
          <w:tcPr>
            <w:tcW w:type="dxa" w:w="2160"/>
            <w:shd w:val="clear" w:color="auto" w:fill="1F3A5F"/>
          </w:tcPr>
          <w:p>
            <w:pPr>
              <w:spacing w:after="0"/>
            </w:pPr>
            <w:r/>
            <w:r>
              <w:rPr>
                <w:b/>
                <w:color w:val="FFFFFF"/>
                <w:sz w:val="16"/>
              </w:rPr>
              <w:t>Module</w:t>
            </w:r>
          </w:p>
        </w:tc>
      </w:tr>
      <w:tr>
        <w:trPr>
          <w:cantSplit/>
        </w:trPr>
        <w:tc>
          <w:tcPr>
            <w:tcW w:type="dxa" w:w="864"/>
          </w:tcPr>
          <w:p>
            <w:pPr>
              <w:spacing w:after="0"/>
            </w:pPr>
            <w:r/>
            <w:r>
              <w:rPr>
                <w:sz w:val="16"/>
              </w:rPr>
              <w:t>W-01</w:t>
            </w:r>
          </w:p>
        </w:tc>
        <w:tc>
          <w:tcPr>
            <w:tcW w:type="dxa" w:w="4896"/>
          </w:tcPr>
          <w:p>
            <w:pPr>
              <w:spacing w:after="0"/>
            </w:pPr>
            <w:r/>
            <w:r>
              <w:rPr>
                <w:sz w:val="16"/>
              </w:rPr>
              <w:t>Authentication and session</w:t>
            </w:r>
          </w:p>
        </w:tc>
        <w:tc>
          <w:tcPr>
            <w:tcW w:type="dxa" w:w="2160"/>
          </w:tcPr>
          <w:p>
            <w:pPr>
              <w:spacing w:after="0"/>
            </w:pPr>
            <w:r/>
            <w:r>
              <w:rPr>
                <w:sz w:val="16"/>
              </w:rPr>
              <w:t>auth</w:t>
            </w:r>
          </w:p>
        </w:tc>
      </w:tr>
      <w:tr>
        <w:trPr>
          <w:cantSplit/>
        </w:trPr>
        <w:tc>
          <w:tcPr>
            <w:tcW w:type="dxa" w:w="864"/>
          </w:tcPr>
          <w:p>
            <w:pPr>
              <w:spacing w:after="0"/>
            </w:pPr>
            <w:r/>
            <w:r>
              <w:rPr>
                <w:sz w:val="16"/>
              </w:rPr>
              <w:t>W-02</w:t>
            </w:r>
          </w:p>
        </w:tc>
        <w:tc>
          <w:tcPr>
            <w:tcW w:type="dxa" w:w="4896"/>
          </w:tcPr>
          <w:p>
            <w:pPr>
              <w:spacing w:after="0"/>
            </w:pPr>
            <w:r/>
            <w:r>
              <w:rPr>
                <w:sz w:val="16"/>
              </w:rPr>
              <w:t>Product catalogue maintenance</w:t>
            </w:r>
          </w:p>
        </w:tc>
        <w:tc>
          <w:tcPr>
            <w:tcW w:type="dxa" w:w="2160"/>
          </w:tcPr>
          <w:p>
            <w:pPr>
              <w:spacing w:after="0"/>
            </w:pPr>
            <w:r/>
            <w:r>
              <w:rPr>
                <w:sz w:val="16"/>
              </w:rPr>
              <w:t>catalog</w:t>
            </w:r>
          </w:p>
        </w:tc>
      </w:tr>
      <w:tr>
        <w:trPr>
          <w:cantSplit/>
        </w:trPr>
        <w:tc>
          <w:tcPr>
            <w:tcW w:type="dxa" w:w="864"/>
          </w:tcPr>
          <w:p>
            <w:pPr>
              <w:spacing w:after="0"/>
            </w:pPr>
            <w:r/>
            <w:r>
              <w:rPr>
                <w:sz w:val="16"/>
              </w:rPr>
              <w:t>W-03</w:t>
            </w:r>
          </w:p>
        </w:tc>
        <w:tc>
          <w:tcPr>
            <w:tcW w:type="dxa" w:w="4896"/>
          </w:tcPr>
          <w:p>
            <w:pPr>
              <w:spacing w:after="0"/>
            </w:pPr>
            <w:r/>
            <w:r>
              <w:rPr>
                <w:sz w:val="16"/>
              </w:rPr>
              <w:t>Stock-in / stock-out / adjustment</w:t>
            </w:r>
          </w:p>
        </w:tc>
        <w:tc>
          <w:tcPr>
            <w:tcW w:type="dxa" w:w="2160"/>
          </w:tcPr>
          <w:p>
            <w:pPr>
              <w:spacing w:after="0"/>
            </w:pPr>
            <w:r/>
            <w:r>
              <w:rPr>
                <w:sz w:val="16"/>
              </w:rPr>
              <w:t>inventory</w:t>
            </w:r>
          </w:p>
        </w:tc>
      </w:tr>
      <w:tr>
        <w:trPr>
          <w:cantSplit/>
        </w:trPr>
        <w:tc>
          <w:tcPr>
            <w:tcW w:type="dxa" w:w="864"/>
          </w:tcPr>
          <w:p>
            <w:pPr>
              <w:spacing w:after="0"/>
            </w:pPr>
            <w:r/>
            <w:r>
              <w:rPr>
                <w:sz w:val="16"/>
              </w:rPr>
              <w:t>W-04</w:t>
            </w:r>
          </w:p>
        </w:tc>
        <w:tc>
          <w:tcPr>
            <w:tcW w:type="dxa" w:w="4896"/>
          </w:tcPr>
          <w:p>
            <w:pPr>
              <w:spacing w:after="0"/>
            </w:pPr>
            <w:r/>
            <w:r>
              <w:rPr>
                <w:sz w:val="16"/>
              </w:rPr>
              <w:t>Stock opname</w:t>
            </w:r>
          </w:p>
        </w:tc>
        <w:tc>
          <w:tcPr>
            <w:tcW w:type="dxa" w:w="2160"/>
          </w:tcPr>
          <w:p>
            <w:pPr>
              <w:spacing w:after="0"/>
            </w:pPr>
            <w:r/>
            <w:r>
              <w:rPr>
                <w:sz w:val="16"/>
              </w:rPr>
              <w:t>inventory</w:t>
            </w:r>
          </w:p>
        </w:tc>
      </w:tr>
      <w:tr>
        <w:trPr>
          <w:cantSplit/>
        </w:trPr>
        <w:tc>
          <w:tcPr>
            <w:tcW w:type="dxa" w:w="864"/>
          </w:tcPr>
          <w:p>
            <w:pPr>
              <w:spacing w:after="0"/>
            </w:pPr>
            <w:r/>
            <w:r>
              <w:rPr>
                <w:sz w:val="16"/>
              </w:rPr>
              <w:t>W-05</w:t>
            </w:r>
          </w:p>
        </w:tc>
        <w:tc>
          <w:tcPr>
            <w:tcW w:type="dxa" w:w="4896"/>
          </w:tcPr>
          <w:p>
            <w:pPr>
              <w:spacing w:after="0"/>
            </w:pPr>
            <w:r/>
            <w:r>
              <w:rPr>
                <w:sz w:val="16"/>
              </w:rPr>
              <w:t>Inter-warehouse transfer</w:t>
            </w:r>
          </w:p>
        </w:tc>
        <w:tc>
          <w:tcPr>
            <w:tcW w:type="dxa" w:w="2160"/>
          </w:tcPr>
          <w:p>
            <w:pPr>
              <w:spacing w:after="0"/>
            </w:pPr>
            <w:r/>
            <w:r>
              <w:rPr>
                <w:sz w:val="16"/>
              </w:rPr>
              <w:t>inventory</w:t>
            </w:r>
          </w:p>
        </w:tc>
      </w:tr>
      <w:tr>
        <w:trPr>
          <w:cantSplit/>
        </w:trPr>
        <w:tc>
          <w:tcPr>
            <w:tcW w:type="dxa" w:w="864"/>
          </w:tcPr>
          <w:p>
            <w:pPr>
              <w:spacing w:after="0"/>
            </w:pPr>
            <w:r/>
            <w:r>
              <w:rPr>
                <w:sz w:val="16"/>
              </w:rPr>
              <w:t>W-06</w:t>
            </w:r>
          </w:p>
        </w:tc>
        <w:tc>
          <w:tcPr>
            <w:tcW w:type="dxa" w:w="4896"/>
          </w:tcPr>
          <w:p>
            <w:pPr>
              <w:spacing w:after="0"/>
            </w:pPr>
            <w:r/>
            <w:r>
              <w:rPr>
                <w:sz w:val="16"/>
              </w:rPr>
              <w:t>Purchase order to goods receipt</w:t>
            </w:r>
          </w:p>
        </w:tc>
        <w:tc>
          <w:tcPr>
            <w:tcW w:type="dxa" w:w="2160"/>
          </w:tcPr>
          <w:p>
            <w:pPr>
              <w:spacing w:after="0"/>
            </w:pPr>
            <w:r/>
            <w:r>
              <w:rPr>
                <w:sz w:val="16"/>
              </w:rPr>
              <w:t>purchasing</w:t>
            </w:r>
          </w:p>
        </w:tc>
      </w:tr>
      <w:tr>
        <w:trPr>
          <w:cantSplit/>
        </w:trPr>
        <w:tc>
          <w:tcPr>
            <w:tcW w:type="dxa" w:w="864"/>
          </w:tcPr>
          <w:p>
            <w:pPr>
              <w:spacing w:after="0"/>
            </w:pPr>
            <w:r/>
            <w:r>
              <w:rPr>
                <w:sz w:val="16"/>
              </w:rPr>
              <w:t>W-07</w:t>
            </w:r>
          </w:p>
        </w:tc>
        <w:tc>
          <w:tcPr>
            <w:tcW w:type="dxa" w:w="4896"/>
          </w:tcPr>
          <w:p>
            <w:pPr>
              <w:spacing w:after="0"/>
            </w:pPr>
            <w:r/>
            <w:r>
              <w:rPr>
                <w:sz w:val="16"/>
              </w:rPr>
              <w:t>Supplier debt payment and voucher</w:t>
            </w:r>
          </w:p>
        </w:tc>
        <w:tc>
          <w:tcPr>
            <w:tcW w:type="dxa" w:w="2160"/>
          </w:tcPr>
          <w:p>
            <w:pPr>
              <w:spacing w:after="0"/>
            </w:pPr>
            <w:r/>
            <w:r>
              <w:rPr>
                <w:sz w:val="16"/>
              </w:rPr>
              <w:t>purchasing</w:t>
            </w:r>
          </w:p>
        </w:tc>
      </w:tr>
      <w:tr>
        <w:trPr>
          <w:cantSplit/>
        </w:trPr>
        <w:tc>
          <w:tcPr>
            <w:tcW w:type="dxa" w:w="864"/>
          </w:tcPr>
          <w:p>
            <w:pPr>
              <w:spacing w:after="0"/>
            </w:pPr>
            <w:r/>
            <w:r>
              <w:rPr>
                <w:sz w:val="16"/>
              </w:rPr>
              <w:t>W-08</w:t>
            </w:r>
          </w:p>
        </w:tc>
        <w:tc>
          <w:tcPr>
            <w:tcW w:type="dxa" w:w="4896"/>
          </w:tcPr>
          <w:p>
            <w:pPr>
              <w:spacing w:after="0"/>
            </w:pPr>
            <w:r/>
            <w:r>
              <w:rPr>
                <w:sz w:val="16"/>
              </w:rPr>
              <w:t>Regular sales order</w:t>
            </w:r>
          </w:p>
        </w:tc>
        <w:tc>
          <w:tcPr>
            <w:tcW w:type="dxa" w:w="2160"/>
          </w:tcPr>
          <w:p>
            <w:pPr>
              <w:spacing w:after="0"/>
            </w:pPr>
            <w:r/>
            <w:r>
              <w:rPr>
                <w:sz w:val="16"/>
              </w:rPr>
              <w:t>sales</w:t>
            </w:r>
          </w:p>
        </w:tc>
      </w:tr>
      <w:tr>
        <w:trPr>
          <w:cantSplit/>
        </w:trPr>
        <w:tc>
          <w:tcPr>
            <w:tcW w:type="dxa" w:w="864"/>
          </w:tcPr>
          <w:p>
            <w:pPr>
              <w:spacing w:after="0"/>
            </w:pPr>
            <w:r/>
            <w:r>
              <w:rPr>
                <w:sz w:val="16"/>
              </w:rPr>
              <w:t>W-09</w:t>
            </w:r>
          </w:p>
        </w:tc>
        <w:tc>
          <w:tcPr>
            <w:tcW w:type="dxa" w:w="4896"/>
          </w:tcPr>
          <w:p>
            <w:pPr>
              <w:spacing w:after="0"/>
            </w:pPr>
            <w:r/>
            <w:r>
              <w:rPr>
                <w:sz w:val="16"/>
              </w:rPr>
              <w:t>POS checkout</w:t>
            </w:r>
          </w:p>
        </w:tc>
        <w:tc>
          <w:tcPr>
            <w:tcW w:type="dxa" w:w="2160"/>
          </w:tcPr>
          <w:p>
            <w:pPr>
              <w:spacing w:after="0"/>
            </w:pPr>
            <w:r/>
            <w:r>
              <w:rPr>
                <w:sz w:val="16"/>
              </w:rPr>
              <w:t>sales</w:t>
            </w:r>
          </w:p>
        </w:tc>
      </w:tr>
      <w:tr>
        <w:trPr>
          <w:cantSplit/>
        </w:trPr>
        <w:tc>
          <w:tcPr>
            <w:tcW w:type="dxa" w:w="864"/>
          </w:tcPr>
          <w:p>
            <w:pPr>
              <w:spacing w:after="0"/>
            </w:pPr>
            <w:r/>
            <w:r>
              <w:rPr>
                <w:sz w:val="16"/>
              </w:rPr>
              <w:t>W-10</w:t>
            </w:r>
          </w:p>
        </w:tc>
        <w:tc>
          <w:tcPr>
            <w:tcW w:type="dxa" w:w="4896"/>
          </w:tcPr>
          <w:p>
            <w:pPr>
              <w:spacing w:after="0"/>
            </w:pPr>
            <w:r/>
            <w:r>
              <w:rPr>
                <w:sz w:val="16"/>
              </w:rPr>
              <w:t>POS shift open / close</w:t>
            </w:r>
          </w:p>
        </w:tc>
        <w:tc>
          <w:tcPr>
            <w:tcW w:type="dxa" w:w="2160"/>
          </w:tcPr>
          <w:p>
            <w:pPr>
              <w:spacing w:after="0"/>
            </w:pPr>
            <w:r/>
            <w:r>
              <w:rPr>
                <w:sz w:val="16"/>
              </w:rPr>
              <w:t>cashier</w:t>
            </w:r>
          </w:p>
        </w:tc>
      </w:tr>
      <w:tr>
        <w:trPr>
          <w:cantSplit/>
        </w:trPr>
        <w:tc>
          <w:tcPr>
            <w:tcW w:type="dxa" w:w="864"/>
          </w:tcPr>
          <w:p>
            <w:pPr>
              <w:spacing w:after="0"/>
            </w:pPr>
            <w:r/>
            <w:r>
              <w:rPr>
                <w:sz w:val="16"/>
              </w:rPr>
              <w:t>W-11</w:t>
            </w:r>
          </w:p>
        </w:tc>
        <w:tc>
          <w:tcPr>
            <w:tcW w:type="dxa" w:w="4896"/>
          </w:tcPr>
          <w:p>
            <w:pPr>
              <w:spacing w:after="0"/>
            </w:pPr>
            <w:r/>
            <w:r>
              <w:rPr>
                <w:sz w:val="16"/>
              </w:rPr>
              <w:t>Sales return and refund</w:t>
            </w:r>
          </w:p>
        </w:tc>
        <w:tc>
          <w:tcPr>
            <w:tcW w:type="dxa" w:w="2160"/>
          </w:tcPr>
          <w:p>
            <w:pPr>
              <w:spacing w:after="0"/>
            </w:pPr>
            <w:r/>
            <w:r>
              <w:rPr>
                <w:sz w:val="16"/>
              </w:rPr>
              <w:t>sales</w:t>
            </w:r>
          </w:p>
        </w:tc>
      </w:tr>
      <w:tr>
        <w:trPr>
          <w:cantSplit/>
        </w:trPr>
        <w:tc>
          <w:tcPr>
            <w:tcW w:type="dxa" w:w="864"/>
          </w:tcPr>
          <w:p>
            <w:pPr>
              <w:spacing w:after="0"/>
            </w:pPr>
            <w:r/>
            <w:r>
              <w:rPr>
                <w:sz w:val="16"/>
              </w:rPr>
              <w:t>W-12</w:t>
            </w:r>
          </w:p>
        </w:tc>
        <w:tc>
          <w:tcPr>
            <w:tcW w:type="dxa" w:w="4896"/>
          </w:tcPr>
          <w:p>
            <w:pPr>
              <w:spacing w:after="0"/>
            </w:pPr>
            <w:r/>
            <w:r>
              <w:rPr>
                <w:sz w:val="16"/>
              </w:rPr>
              <w:t>Membership enrolment and tier change</w:t>
            </w:r>
          </w:p>
        </w:tc>
        <w:tc>
          <w:tcPr>
            <w:tcW w:type="dxa" w:w="2160"/>
          </w:tcPr>
          <w:p>
            <w:pPr>
              <w:spacing w:after="0"/>
            </w:pPr>
            <w:r/>
            <w:r>
              <w:rPr>
                <w:sz w:val="16"/>
              </w:rPr>
              <w:t>membership</w:t>
            </w:r>
          </w:p>
        </w:tc>
      </w:tr>
      <w:tr>
        <w:trPr>
          <w:cantSplit/>
        </w:trPr>
        <w:tc>
          <w:tcPr>
            <w:tcW w:type="dxa" w:w="864"/>
          </w:tcPr>
          <w:p>
            <w:pPr>
              <w:spacing w:after="0"/>
            </w:pPr>
            <w:r/>
            <w:r>
              <w:rPr>
                <w:sz w:val="16"/>
              </w:rPr>
              <w:t>W-13</w:t>
            </w:r>
          </w:p>
        </w:tc>
        <w:tc>
          <w:tcPr>
            <w:tcW w:type="dxa" w:w="4896"/>
          </w:tcPr>
          <w:p>
            <w:pPr>
              <w:spacing w:after="0"/>
            </w:pPr>
            <w:r/>
            <w:r>
              <w:rPr>
                <w:sz w:val="16"/>
              </w:rPr>
              <w:t>B2B cart checkout</w:t>
            </w:r>
          </w:p>
        </w:tc>
        <w:tc>
          <w:tcPr>
            <w:tcW w:type="dxa" w:w="2160"/>
          </w:tcPr>
          <w:p>
            <w:pPr>
              <w:spacing w:after="0"/>
            </w:pPr>
            <w:r/>
            <w:r>
              <w:rPr>
                <w:sz w:val="16"/>
              </w:rPr>
              <w:t>cart</w:t>
            </w:r>
          </w:p>
        </w:tc>
      </w:tr>
      <w:tr>
        <w:trPr>
          <w:cantSplit/>
        </w:trPr>
        <w:tc>
          <w:tcPr>
            <w:tcW w:type="dxa" w:w="864"/>
          </w:tcPr>
          <w:p>
            <w:pPr>
              <w:spacing w:after="0"/>
            </w:pPr>
            <w:r/>
            <w:r>
              <w:rPr>
                <w:sz w:val="16"/>
              </w:rPr>
              <w:t>W-14</w:t>
            </w:r>
          </w:p>
        </w:tc>
        <w:tc>
          <w:tcPr>
            <w:tcW w:type="dxa" w:w="4896"/>
          </w:tcPr>
          <w:p>
            <w:pPr>
              <w:spacing w:after="0"/>
            </w:pPr>
            <w:r/>
            <w:r>
              <w:rPr>
                <w:sz w:val="16"/>
              </w:rPr>
              <w:t>Midtrans online payment</w:t>
            </w:r>
          </w:p>
        </w:tc>
        <w:tc>
          <w:tcPr>
            <w:tcW w:type="dxa" w:w="2160"/>
          </w:tcPr>
          <w:p>
            <w:pPr>
              <w:spacing w:after="0"/>
            </w:pPr>
            <w:r/>
            <w:r>
              <w:rPr>
                <w:sz w:val="16"/>
              </w:rPr>
              <w:t>finance</w:t>
            </w:r>
          </w:p>
        </w:tc>
      </w:tr>
      <w:tr>
        <w:trPr>
          <w:cantSplit/>
        </w:trPr>
        <w:tc>
          <w:tcPr>
            <w:tcW w:type="dxa" w:w="864"/>
          </w:tcPr>
          <w:p>
            <w:pPr>
              <w:spacing w:after="0"/>
            </w:pPr>
            <w:r/>
            <w:r>
              <w:rPr>
                <w:sz w:val="16"/>
              </w:rPr>
              <w:t>W-15</w:t>
            </w:r>
          </w:p>
        </w:tc>
        <w:tc>
          <w:tcPr>
            <w:tcW w:type="dxa" w:w="4896"/>
          </w:tcPr>
          <w:p>
            <w:pPr>
              <w:spacing w:after="0"/>
            </w:pPr>
            <w:r/>
            <w:r>
              <w:rPr>
                <w:sz w:val="16"/>
              </w:rPr>
              <w:t>Journal entry lifecycle</w:t>
            </w:r>
          </w:p>
        </w:tc>
        <w:tc>
          <w:tcPr>
            <w:tcW w:type="dxa" w:w="2160"/>
          </w:tcPr>
          <w:p>
            <w:pPr>
              <w:spacing w:after="0"/>
            </w:pPr>
            <w:r/>
            <w:r>
              <w:rPr>
                <w:sz w:val="16"/>
              </w:rPr>
              <w:t>accounting</w:t>
            </w:r>
          </w:p>
        </w:tc>
      </w:tr>
      <w:tr>
        <w:trPr>
          <w:cantSplit/>
        </w:trPr>
        <w:tc>
          <w:tcPr>
            <w:tcW w:type="dxa" w:w="864"/>
          </w:tcPr>
          <w:p>
            <w:pPr>
              <w:spacing w:after="0"/>
            </w:pPr>
            <w:r/>
            <w:r>
              <w:rPr>
                <w:sz w:val="16"/>
              </w:rPr>
              <w:t>W-16</w:t>
            </w:r>
          </w:p>
        </w:tc>
        <w:tc>
          <w:tcPr>
            <w:tcW w:type="dxa" w:w="4896"/>
          </w:tcPr>
          <w:p>
            <w:pPr>
              <w:spacing w:after="0"/>
            </w:pPr>
            <w:r/>
            <w:r>
              <w:rPr>
                <w:sz w:val="16"/>
              </w:rPr>
              <w:t>Cashflow entry and reversal</w:t>
            </w:r>
          </w:p>
        </w:tc>
        <w:tc>
          <w:tcPr>
            <w:tcW w:type="dxa" w:w="2160"/>
          </w:tcPr>
          <w:p>
            <w:pPr>
              <w:spacing w:after="0"/>
            </w:pPr>
            <w:r/>
            <w:r>
              <w:rPr>
                <w:sz w:val="16"/>
              </w:rPr>
              <w:t>finance</w:t>
            </w:r>
          </w:p>
        </w:tc>
      </w:tr>
      <w:tr>
        <w:trPr>
          <w:cantSplit/>
        </w:trPr>
        <w:tc>
          <w:tcPr>
            <w:tcW w:type="dxa" w:w="864"/>
          </w:tcPr>
          <w:p>
            <w:pPr>
              <w:spacing w:after="0"/>
            </w:pPr>
            <w:r/>
            <w:r>
              <w:rPr>
                <w:sz w:val="16"/>
              </w:rPr>
              <w:t>W-17</w:t>
            </w:r>
          </w:p>
        </w:tc>
        <w:tc>
          <w:tcPr>
            <w:tcW w:type="dxa" w:w="4896"/>
          </w:tcPr>
          <w:p>
            <w:pPr>
              <w:spacing w:after="0"/>
            </w:pPr>
            <w:r/>
            <w:r>
              <w:rPr>
                <w:sz w:val="16"/>
              </w:rPr>
              <w:t>Delivery order and shipment</w:t>
            </w:r>
          </w:p>
        </w:tc>
        <w:tc>
          <w:tcPr>
            <w:tcW w:type="dxa" w:w="2160"/>
          </w:tcPr>
          <w:p>
            <w:pPr>
              <w:spacing w:after="0"/>
            </w:pPr>
            <w:r/>
            <w:r>
              <w:rPr>
                <w:sz w:val="16"/>
              </w:rPr>
              <w:t>distribution</w:t>
            </w:r>
          </w:p>
        </w:tc>
      </w:tr>
      <w:tr>
        <w:trPr>
          <w:cantSplit/>
        </w:trPr>
        <w:tc>
          <w:tcPr>
            <w:tcW w:type="dxa" w:w="864"/>
          </w:tcPr>
          <w:p>
            <w:pPr>
              <w:spacing w:after="0"/>
            </w:pPr>
            <w:r/>
            <w:r>
              <w:rPr>
                <w:sz w:val="16"/>
              </w:rPr>
              <w:t>W-18</w:t>
            </w:r>
          </w:p>
        </w:tc>
        <w:tc>
          <w:tcPr>
            <w:tcW w:type="dxa" w:w="4896"/>
          </w:tcPr>
          <w:p>
            <w:pPr>
              <w:spacing w:after="0"/>
            </w:pPr>
            <w:r/>
            <w:r>
              <w:rPr>
                <w:sz w:val="16"/>
              </w:rPr>
              <w:t>LHPP settlement</w:t>
            </w:r>
          </w:p>
        </w:tc>
        <w:tc>
          <w:tcPr>
            <w:tcW w:type="dxa" w:w="2160"/>
          </w:tcPr>
          <w:p>
            <w:pPr>
              <w:spacing w:after="0"/>
            </w:pPr>
            <w:r/>
            <w:r>
              <w:rPr>
                <w:sz w:val="16"/>
              </w:rPr>
              <w:t>distribution</w:t>
            </w:r>
          </w:p>
        </w:tc>
      </w:tr>
      <w:tr>
        <w:trPr>
          <w:cantSplit/>
        </w:trPr>
        <w:tc>
          <w:tcPr>
            <w:tcW w:type="dxa" w:w="864"/>
          </w:tcPr>
          <w:p>
            <w:pPr>
              <w:spacing w:after="0"/>
            </w:pPr>
            <w:r/>
            <w:r>
              <w:rPr>
                <w:sz w:val="16"/>
              </w:rPr>
              <w:t>W-19</w:t>
            </w:r>
          </w:p>
        </w:tc>
        <w:tc>
          <w:tcPr>
            <w:tcW w:type="dxa" w:w="4896"/>
          </w:tcPr>
          <w:p>
            <w:pPr>
              <w:spacing w:after="0"/>
            </w:pPr>
            <w:r/>
            <w:r>
              <w:rPr>
                <w:sz w:val="16"/>
              </w:rPr>
              <w:t>Payroll generation</w:t>
            </w:r>
          </w:p>
        </w:tc>
        <w:tc>
          <w:tcPr>
            <w:tcW w:type="dxa" w:w="2160"/>
          </w:tcPr>
          <w:p>
            <w:pPr>
              <w:spacing w:after="0"/>
            </w:pPr>
            <w:r/>
            <w:r>
              <w:rPr>
                <w:sz w:val="16"/>
              </w:rPr>
              <w:t>hr</w:t>
            </w:r>
          </w:p>
        </w:tc>
      </w:tr>
      <w:tr>
        <w:trPr>
          <w:cantSplit/>
        </w:trPr>
        <w:tc>
          <w:tcPr>
            <w:tcW w:type="dxa" w:w="864"/>
          </w:tcPr>
          <w:p>
            <w:pPr>
              <w:spacing w:after="0"/>
            </w:pPr>
            <w:r/>
            <w:r>
              <w:rPr>
                <w:sz w:val="16"/>
              </w:rPr>
              <w:t>W-20</w:t>
            </w:r>
          </w:p>
        </w:tc>
        <w:tc>
          <w:tcPr>
            <w:tcW w:type="dxa" w:w="4896"/>
          </w:tcPr>
          <w:p>
            <w:pPr>
              <w:spacing w:after="0"/>
            </w:pPr>
            <w:r/>
            <w:r>
              <w:rPr>
                <w:sz w:val="16"/>
              </w:rPr>
              <w:t>Support ticket lifecycle</w:t>
            </w:r>
          </w:p>
        </w:tc>
        <w:tc>
          <w:tcPr>
            <w:tcW w:type="dxa" w:w="2160"/>
          </w:tcPr>
          <w:p>
            <w:pPr>
              <w:spacing w:after="0"/>
            </w:pPr>
            <w:r/>
            <w:r>
              <w:rPr>
                <w:sz w:val="16"/>
              </w:rPr>
              <w:t>tickets</w:t>
            </w:r>
          </w:p>
        </w:tc>
      </w:tr>
      <w:tr>
        <w:trPr>
          <w:cantSplit/>
        </w:trPr>
        <w:tc>
          <w:tcPr>
            <w:tcW w:type="dxa" w:w="864"/>
          </w:tcPr>
          <w:p>
            <w:pPr>
              <w:spacing w:after="0"/>
            </w:pPr>
            <w:r/>
            <w:r>
              <w:rPr>
                <w:sz w:val="16"/>
              </w:rPr>
              <w:t>W-21</w:t>
            </w:r>
          </w:p>
        </w:tc>
        <w:tc>
          <w:tcPr>
            <w:tcW w:type="dxa" w:w="4896"/>
          </w:tcPr>
          <w:p>
            <w:pPr>
              <w:spacing w:after="0"/>
            </w:pPr>
            <w:r/>
            <w:r>
              <w:rPr>
                <w:sz w:val="16"/>
              </w:rPr>
              <w:t>Report rendering</w:t>
            </w:r>
          </w:p>
        </w:tc>
        <w:tc>
          <w:tcPr>
            <w:tcW w:type="dxa" w:w="2160"/>
          </w:tcPr>
          <w:p>
            <w:pPr>
              <w:spacing w:after="0"/>
            </w:pPr>
            <w:r/>
            <w:r>
              <w:rPr>
                <w:sz w:val="16"/>
              </w:rPr>
              <w:t>reports</w:t>
            </w:r>
          </w:p>
        </w:tc>
      </w:tr>
    </w:tbl>
    <w:p>
      <w:pPr>
        <w:spacing w:after="200"/>
      </w:pPr>
      <w:r>
        <w:rPr>
          <w:i/>
          <w:color w:val="555F6D"/>
          <w:sz w:val="17"/>
        </w:rPr>
        <w:t>Table 119. Workflow index</w:t>
      </w:r>
    </w:p>
    <w:p>
      <w:bookmarkStart w:id="1355" w:name="_Toc1355"/>
      <w:pPr>
        <w:pStyle w:val="Heading1"/>
        <w:pageBreakBefore/>
      </w:pPr>
      <w:r>
        <w:t>Appendix I. Migration history</w:t>
      </w:r>
      <w:bookmarkEnd w:id="1355"/>
    </w:p>
    <w:p>
      <w:r>
        <w:rPr>
          <w:i w:val="0"/>
        </w:rPr>
        <w:t>Chapter 16.5 lists all 123 migrations with purpose and flags the four that change data rather than schema.</w:t>
      </w:r>
    </w:p>
    <w:p>
      <w:bookmarkStart w:id="1356" w:name="_Toc1356"/>
      <w:pPr>
        <w:pStyle w:val="Heading1"/>
        <w:pageBreakBefore/>
      </w:pPr>
      <w:r>
        <w:t>Appendix J. Test inventory and verification results</w:t>
      </w:r>
      <w:bookmarkEnd w:id="1356"/>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8352" w:type="dxa"/>
      </w:tblPr>
      <w:tblGrid>
        <w:gridCol w:w="2412"/>
        <w:gridCol w:w="2412"/>
        <w:gridCol w:w="2412"/>
        <w:gridCol w:w="2412"/>
      </w:tblGrid>
      <w:tr>
        <w:trPr>
          <w:tblHeader w:val="true"/>
        </w:trPr>
        <w:tc>
          <w:tcPr>
            <w:tcW w:type="dxa" w:w="3456"/>
            <w:shd w:val="clear" w:color="auto" w:fill="1F3A5F"/>
          </w:tcPr>
          <w:p>
            <w:pPr>
              <w:spacing w:after="0"/>
            </w:pPr>
            <w:r/>
            <w:r>
              <w:rPr>
                <w:b/>
                <w:color w:val="FFFFFF"/>
                <w:sz w:val="16"/>
              </w:rPr>
              <w:t>Suite</w:t>
            </w:r>
          </w:p>
        </w:tc>
        <w:tc>
          <w:tcPr>
            <w:tcW w:type="dxa" w:w="1296"/>
            <w:shd w:val="clear" w:color="auto" w:fill="1F3A5F"/>
          </w:tcPr>
          <w:p>
            <w:pPr>
              <w:spacing w:after="0"/>
            </w:pPr>
            <w:r/>
            <w:r>
              <w:rPr>
                <w:b/>
                <w:color w:val="FFFFFF"/>
                <w:sz w:val="16"/>
              </w:rPr>
              <w:t>Files</w:t>
            </w:r>
          </w:p>
        </w:tc>
        <w:tc>
          <w:tcPr>
            <w:tcW w:type="dxa" w:w="2304"/>
            <w:shd w:val="clear" w:color="auto" w:fill="1F3A5F"/>
          </w:tcPr>
          <w:p>
            <w:pPr>
              <w:spacing w:after="0"/>
            </w:pPr>
            <w:r/>
            <w:r>
              <w:rPr>
                <w:b/>
                <w:color w:val="FFFFFF"/>
                <w:sz w:val="16"/>
              </w:rPr>
              <w:t>Tests</w:t>
            </w:r>
          </w:p>
        </w:tc>
        <w:tc>
          <w:tcPr>
            <w:tcW w:type="dxa" w:w="1296"/>
            <w:shd w:val="clear" w:color="auto" w:fill="1F3A5F"/>
          </w:tcPr>
          <w:p>
            <w:pPr>
              <w:spacing w:after="0"/>
            </w:pPr>
            <w:r/>
            <w:r>
              <w:rPr>
                <w:b/>
                <w:color w:val="FFFFFF"/>
                <w:sz w:val="16"/>
              </w:rPr>
              <w:t>Result</w:t>
            </w:r>
          </w:p>
        </w:tc>
      </w:tr>
      <w:tr>
        <w:trPr>
          <w:cantSplit/>
        </w:trPr>
        <w:tc>
          <w:tcPr>
            <w:tcW w:type="dxa" w:w="3456"/>
          </w:tcPr>
          <w:p>
            <w:pPr>
              <w:spacing w:after="0"/>
            </w:pPr>
            <w:r/>
            <w:r>
              <w:rPr>
                <w:sz w:val="16"/>
              </w:rPr>
              <w:t>@keluargamart/erp</w:t>
            </w:r>
          </w:p>
        </w:tc>
        <w:tc>
          <w:tcPr>
            <w:tcW w:type="dxa" w:w="1296"/>
          </w:tcPr>
          <w:p>
            <w:pPr>
              <w:spacing w:after="0"/>
            </w:pPr>
            <w:r/>
            <w:r>
              <w:rPr>
                <w:sz w:val="16"/>
              </w:rPr>
              <w:t>39</w:t>
            </w:r>
          </w:p>
        </w:tc>
        <w:tc>
          <w:tcPr>
            <w:tcW w:type="dxa" w:w="2304"/>
          </w:tcPr>
          <w:p>
            <w:pPr>
              <w:spacing w:after="0"/>
            </w:pPr>
            <w:r/>
            <w:r>
              <w:rPr>
                <w:sz w:val="16"/>
              </w:rPr>
              <w:t>344</w:t>
            </w:r>
          </w:p>
        </w:tc>
        <w:tc>
          <w:tcPr>
            <w:tcW w:type="dxa" w:w="1296"/>
          </w:tcPr>
          <w:p>
            <w:pPr>
              <w:spacing w:after="0"/>
            </w:pPr>
            <w:r/>
            <w:r>
              <w:rPr>
                <w:sz w:val="16"/>
              </w:rPr>
              <w:t>pass</w:t>
            </w:r>
          </w:p>
        </w:tc>
      </w:tr>
      <w:tr>
        <w:trPr>
          <w:cantSplit/>
        </w:trPr>
        <w:tc>
          <w:tcPr>
            <w:tcW w:type="dxa" w:w="3456"/>
          </w:tcPr>
          <w:p>
            <w:pPr>
              <w:spacing w:after="0"/>
            </w:pPr>
            <w:r/>
            <w:r>
              <w:rPr>
                <w:sz w:val="16"/>
              </w:rPr>
              <w:t>@keluargamart/pos</w:t>
            </w:r>
          </w:p>
        </w:tc>
        <w:tc>
          <w:tcPr>
            <w:tcW w:type="dxa" w:w="1296"/>
          </w:tcPr>
          <w:p>
            <w:pPr>
              <w:spacing w:after="0"/>
            </w:pPr>
            <w:r/>
            <w:r>
              <w:rPr>
                <w:sz w:val="16"/>
              </w:rPr>
              <w:t>20</w:t>
            </w:r>
          </w:p>
        </w:tc>
        <w:tc>
          <w:tcPr>
            <w:tcW w:type="dxa" w:w="2304"/>
          </w:tcPr>
          <w:p>
            <w:pPr>
              <w:spacing w:after="0"/>
            </w:pPr>
            <w:r/>
            <w:r>
              <w:rPr>
                <w:sz w:val="16"/>
              </w:rPr>
              <w:t>111</w:t>
            </w:r>
          </w:p>
        </w:tc>
        <w:tc>
          <w:tcPr>
            <w:tcW w:type="dxa" w:w="1296"/>
          </w:tcPr>
          <w:p>
            <w:pPr>
              <w:spacing w:after="0"/>
            </w:pPr>
            <w:r/>
            <w:r>
              <w:rPr>
                <w:sz w:val="16"/>
              </w:rPr>
              <w:t>pass</w:t>
            </w:r>
          </w:p>
        </w:tc>
      </w:tr>
      <w:tr>
        <w:trPr>
          <w:cantSplit/>
        </w:trPr>
        <w:tc>
          <w:tcPr>
            <w:tcW w:type="dxa" w:w="3456"/>
          </w:tcPr>
          <w:p>
            <w:pPr>
              <w:spacing w:after="0"/>
            </w:pPr>
            <w:r/>
            <w:r>
              <w:rPr>
                <w:sz w:val="16"/>
              </w:rPr>
              <w:t>@keluargamart/b2b</w:t>
            </w:r>
          </w:p>
        </w:tc>
        <w:tc>
          <w:tcPr>
            <w:tcW w:type="dxa" w:w="1296"/>
          </w:tcPr>
          <w:p>
            <w:pPr>
              <w:spacing w:after="0"/>
            </w:pPr>
            <w:r/>
            <w:r>
              <w:rPr>
                <w:sz w:val="16"/>
              </w:rPr>
              <w:t>20</w:t>
            </w:r>
          </w:p>
        </w:tc>
        <w:tc>
          <w:tcPr>
            <w:tcW w:type="dxa" w:w="2304"/>
          </w:tcPr>
          <w:p>
            <w:pPr>
              <w:spacing w:after="0"/>
            </w:pPr>
            <w:r/>
            <w:r>
              <w:rPr>
                <w:sz w:val="16"/>
              </w:rPr>
              <w:t>170</w:t>
            </w:r>
          </w:p>
        </w:tc>
        <w:tc>
          <w:tcPr>
            <w:tcW w:type="dxa" w:w="1296"/>
          </w:tcPr>
          <w:p>
            <w:pPr>
              <w:spacing w:after="0"/>
            </w:pPr>
            <w:r/>
            <w:r>
              <w:rPr>
                <w:sz w:val="16"/>
              </w:rPr>
              <w:t>pass</w:t>
            </w:r>
          </w:p>
        </w:tc>
      </w:tr>
      <w:tr>
        <w:trPr>
          <w:cantSplit/>
        </w:trPr>
        <w:tc>
          <w:tcPr>
            <w:tcW w:type="dxa" w:w="3456"/>
          </w:tcPr>
          <w:p>
            <w:pPr>
              <w:spacing w:after="0"/>
            </w:pPr>
            <w:r/>
            <w:r>
              <w:rPr>
                <w:sz w:val="16"/>
              </w:rPr>
              <w:t>@keluargamart/api-client</w:t>
            </w:r>
          </w:p>
        </w:tc>
        <w:tc>
          <w:tcPr>
            <w:tcW w:type="dxa" w:w="1296"/>
          </w:tcPr>
          <w:p>
            <w:pPr>
              <w:spacing w:after="0"/>
            </w:pPr>
            <w:r/>
            <w:r>
              <w:rPr>
                <w:sz w:val="16"/>
              </w:rPr>
              <w:t>1</w:t>
            </w:r>
          </w:p>
        </w:tc>
        <w:tc>
          <w:tcPr>
            <w:tcW w:type="dxa" w:w="2304"/>
          </w:tcPr>
          <w:p>
            <w:pPr>
              <w:spacing w:after="0"/>
            </w:pPr>
            <w:r/>
            <w:r>
              <w:rPr>
                <w:sz w:val="16"/>
              </w:rPr>
              <w:t>3</w:t>
            </w:r>
          </w:p>
        </w:tc>
        <w:tc>
          <w:tcPr>
            <w:tcW w:type="dxa" w:w="1296"/>
          </w:tcPr>
          <w:p>
            <w:pPr>
              <w:spacing w:after="0"/>
            </w:pPr>
            <w:r/>
            <w:r>
              <w:rPr>
                <w:sz w:val="16"/>
              </w:rPr>
              <w:t>pass</w:t>
            </w:r>
          </w:p>
        </w:tc>
      </w:tr>
      <w:tr>
        <w:trPr>
          <w:cantSplit/>
        </w:trPr>
        <w:tc>
          <w:tcPr>
            <w:tcW w:type="dxa" w:w="3456"/>
          </w:tcPr>
          <w:p>
            <w:pPr>
              <w:spacing w:after="0"/>
            </w:pPr>
            <w:r/>
            <w:r>
              <w:rPr>
                <w:sz w:val="16"/>
              </w:rPr>
              <w:t>@keluargamart/contracts</w:t>
            </w:r>
          </w:p>
        </w:tc>
        <w:tc>
          <w:tcPr>
            <w:tcW w:type="dxa" w:w="1296"/>
          </w:tcPr>
          <w:p>
            <w:pPr>
              <w:spacing w:after="0"/>
            </w:pPr>
            <w:r/>
            <w:r>
              <w:rPr>
                <w:sz w:val="16"/>
              </w:rPr>
              <w:t>1</w:t>
            </w:r>
          </w:p>
        </w:tc>
        <w:tc>
          <w:tcPr>
            <w:tcW w:type="dxa" w:w="2304"/>
          </w:tcPr>
          <w:p>
            <w:pPr>
              <w:spacing w:after="0"/>
            </w:pPr>
            <w:r/>
            <w:r>
              <w:rPr>
                <w:sz w:val="16"/>
              </w:rPr>
              <w:t>4</w:t>
            </w:r>
          </w:p>
        </w:tc>
        <w:tc>
          <w:tcPr>
            <w:tcW w:type="dxa" w:w="1296"/>
          </w:tcPr>
          <w:p>
            <w:pPr>
              <w:spacing w:after="0"/>
            </w:pPr>
            <w:r/>
            <w:r>
              <w:rPr>
                <w:sz w:val="16"/>
              </w:rPr>
              <w:t>pass</w:t>
            </w:r>
          </w:p>
        </w:tc>
      </w:tr>
      <w:tr>
        <w:trPr>
          <w:cantSplit/>
        </w:trPr>
        <w:tc>
          <w:tcPr>
            <w:tcW w:type="dxa" w:w="3456"/>
          </w:tcPr>
          <w:p>
            <w:pPr>
              <w:spacing w:after="0"/>
            </w:pPr>
            <w:r/>
            <w:r>
              <w:rPr>
                <w:sz w:val="16"/>
              </w:rPr>
              <w:t>@keluargamart/permissions</w:t>
            </w:r>
          </w:p>
        </w:tc>
        <w:tc>
          <w:tcPr>
            <w:tcW w:type="dxa" w:w="1296"/>
          </w:tcPr>
          <w:p>
            <w:pPr>
              <w:spacing w:after="0"/>
            </w:pPr>
            <w:r/>
            <w:r>
              <w:rPr>
                <w:sz w:val="16"/>
              </w:rPr>
              <w:t>1</w:t>
            </w:r>
          </w:p>
        </w:tc>
        <w:tc>
          <w:tcPr>
            <w:tcW w:type="dxa" w:w="2304"/>
          </w:tcPr>
          <w:p>
            <w:pPr>
              <w:spacing w:after="0"/>
            </w:pPr>
            <w:r/>
            <w:r>
              <w:rPr>
                <w:sz w:val="16"/>
              </w:rPr>
              <w:t>5</w:t>
            </w:r>
          </w:p>
        </w:tc>
        <w:tc>
          <w:tcPr>
            <w:tcW w:type="dxa" w:w="1296"/>
          </w:tcPr>
          <w:p>
            <w:pPr>
              <w:spacing w:after="0"/>
            </w:pPr>
            <w:r/>
            <w:r>
              <w:rPr>
                <w:sz w:val="16"/>
              </w:rPr>
              <w:t>pass</w:t>
            </w:r>
          </w:p>
        </w:tc>
      </w:tr>
      <w:tr>
        <w:trPr>
          <w:cantSplit/>
        </w:trPr>
        <w:tc>
          <w:tcPr>
            <w:tcW w:type="dxa" w:w="3456"/>
          </w:tcPr>
          <w:p>
            <w:pPr>
              <w:spacing w:after="0"/>
            </w:pPr>
            <w:r/>
            <w:r>
              <w:rPr>
                <w:sz w:val="16"/>
              </w:rPr>
              <w:t>@keluargamart/ui</w:t>
            </w:r>
          </w:p>
        </w:tc>
        <w:tc>
          <w:tcPr>
            <w:tcW w:type="dxa" w:w="1296"/>
          </w:tcPr>
          <w:p>
            <w:pPr>
              <w:spacing w:after="0"/>
            </w:pPr>
            <w:r/>
            <w:r>
              <w:rPr>
                <w:sz w:val="16"/>
              </w:rPr>
              <w:t>1</w:t>
            </w:r>
          </w:p>
        </w:tc>
        <w:tc>
          <w:tcPr>
            <w:tcW w:type="dxa" w:w="2304"/>
          </w:tcPr>
          <w:p>
            <w:pPr>
              <w:spacing w:after="0"/>
            </w:pPr>
            <w:r/>
            <w:r>
              <w:rPr>
                <w:sz w:val="16"/>
              </w:rPr>
              <w:t>10</w:t>
            </w:r>
          </w:p>
        </w:tc>
        <w:tc>
          <w:tcPr>
            <w:tcW w:type="dxa" w:w="1296"/>
          </w:tcPr>
          <w:p>
            <w:pPr>
              <w:spacing w:after="0"/>
            </w:pPr>
            <w:r/>
            <w:r>
              <w:rPr>
                <w:sz w:val="16"/>
              </w:rPr>
              <w:t>pass</w:t>
            </w:r>
          </w:p>
        </w:tc>
      </w:tr>
      <w:tr>
        <w:trPr>
          <w:cantSplit/>
        </w:trPr>
        <w:tc>
          <w:tcPr>
            <w:tcW w:type="dxa" w:w="3456"/>
          </w:tcPr>
          <w:p>
            <w:pPr>
              <w:spacing w:after="0"/>
            </w:pPr>
            <w:r/>
            <w:r>
              <w:rPr>
                <w:sz w:val="16"/>
              </w:rPr>
              <w:t>@keluargamart/utils</w:t>
            </w:r>
          </w:p>
        </w:tc>
        <w:tc>
          <w:tcPr>
            <w:tcW w:type="dxa" w:w="1296"/>
          </w:tcPr>
          <w:p>
            <w:pPr>
              <w:spacing w:after="0"/>
            </w:pPr>
            <w:r/>
            <w:r>
              <w:rPr>
                <w:sz w:val="16"/>
              </w:rPr>
              <w:t>1</w:t>
            </w:r>
          </w:p>
        </w:tc>
        <w:tc>
          <w:tcPr>
            <w:tcW w:type="dxa" w:w="2304"/>
          </w:tcPr>
          <w:p>
            <w:pPr>
              <w:spacing w:after="0"/>
            </w:pPr>
            <w:r/>
            <w:r>
              <w:rPr>
                <w:sz w:val="16"/>
              </w:rPr>
              <w:t>6</w:t>
            </w:r>
          </w:p>
        </w:tc>
        <w:tc>
          <w:tcPr>
            <w:tcW w:type="dxa" w:w="1296"/>
          </w:tcPr>
          <w:p>
            <w:pPr>
              <w:spacing w:after="0"/>
            </w:pPr>
            <w:r/>
            <w:r>
              <w:rPr>
                <w:sz w:val="16"/>
              </w:rPr>
              <w:t>pass</w:t>
            </w:r>
          </w:p>
        </w:tc>
      </w:tr>
      <w:tr>
        <w:trPr>
          <w:cantSplit/>
        </w:trPr>
        <w:tc>
          <w:tcPr>
            <w:tcW w:type="dxa" w:w="3456"/>
          </w:tcPr>
          <w:p>
            <w:pPr>
              <w:spacing w:after="0"/>
            </w:pPr>
            <w:r/>
            <w:r>
              <w:rPr>
                <w:sz w:val="16"/>
              </w:rPr>
              <w:t>Go (all)</w:t>
            </w:r>
          </w:p>
        </w:tc>
        <w:tc>
          <w:tcPr>
            <w:tcW w:type="dxa" w:w="1296"/>
          </w:tcPr>
          <w:p>
            <w:pPr>
              <w:spacing w:after="0"/>
            </w:pPr>
            <w:r/>
            <w:r>
              <w:rPr>
                <w:sz w:val="16"/>
              </w:rPr>
              <w:t>139</w:t>
            </w:r>
          </w:p>
        </w:tc>
        <w:tc>
          <w:tcPr>
            <w:tcW w:type="dxa" w:w="2304"/>
          </w:tcPr>
          <w:p>
            <w:pPr>
              <w:spacing w:after="0"/>
            </w:pPr>
            <w:r/>
            <w:r>
              <w:rPr>
                <w:sz w:val="16"/>
              </w:rPr>
              <w:t>1176 pass / 38 skip</w:t>
            </w:r>
          </w:p>
        </w:tc>
        <w:tc>
          <w:tcPr>
            <w:tcW w:type="dxa" w:w="1296"/>
          </w:tcPr>
          <w:p>
            <w:pPr>
              <w:spacing w:after="0"/>
            </w:pPr>
            <w:r/>
            <w:r>
              <w:rPr>
                <w:sz w:val="16"/>
              </w:rPr>
              <w:t>pass</w:t>
            </w:r>
          </w:p>
        </w:tc>
      </w:tr>
      <w:tr>
        <w:trPr>
          <w:cantSplit/>
        </w:trPr>
        <w:tc>
          <w:tcPr>
            <w:tcW w:type="dxa" w:w="3456"/>
          </w:tcPr>
          <w:p>
            <w:pPr>
              <w:spacing w:after="0"/>
            </w:pPr>
            <w:r/>
            <w:r>
              <w:rPr>
                <w:sz w:val="16"/>
              </w:rPr>
              <w:t>Go integration (consented)</w:t>
            </w:r>
          </w:p>
        </w:tc>
        <w:tc>
          <w:tcPr>
            <w:tcW w:type="dxa" w:w="1296"/>
          </w:tcPr>
          <w:p>
            <w:pPr>
              <w:spacing w:after="0"/>
            </w:pPr>
            <w:r/>
            <w:r>
              <w:rPr>
                <w:sz w:val="16"/>
              </w:rPr>
              <w:t>26</w:t>
            </w:r>
          </w:p>
        </w:tc>
        <w:tc>
          <w:tcPr>
            <w:tcW w:type="dxa" w:w="2304"/>
          </w:tcPr>
          <w:p>
            <w:pPr>
              <w:spacing w:after="0"/>
            </w:pPr>
            <w:r/>
            <w:r>
              <w:rPr>
                <w:sz w:val="16"/>
              </w:rPr>
              <w:t>88 pass / 1 skip</w:t>
            </w:r>
          </w:p>
        </w:tc>
        <w:tc>
          <w:tcPr>
            <w:tcW w:type="dxa" w:w="1296"/>
          </w:tcPr>
          <w:p>
            <w:pPr>
              <w:spacing w:after="0"/>
            </w:pPr>
            <w:r/>
            <w:r>
              <w:rPr>
                <w:sz w:val="16"/>
              </w:rPr>
              <w:t>pass</w:t>
            </w:r>
          </w:p>
        </w:tc>
      </w:tr>
      <w:tr>
        <w:trPr>
          <w:cantSplit/>
        </w:trPr>
        <w:tc>
          <w:tcPr>
            <w:tcW w:type="dxa" w:w="3456"/>
          </w:tcPr>
          <w:p>
            <w:pPr>
              <w:spacing w:after="0"/>
            </w:pPr>
            <w:r/>
            <w:r>
              <w:rPr>
                <w:sz w:val="16"/>
              </w:rPr>
              <w:t>drift:check</w:t>
            </w:r>
          </w:p>
        </w:tc>
        <w:tc>
          <w:tcPr>
            <w:tcW w:type="dxa" w:w="1296"/>
          </w:tcPr>
          <w:p>
            <w:pPr>
              <w:spacing w:after="0"/>
            </w:pPr>
            <w:r/>
            <w:r>
              <w:rPr>
                <w:sz w:val="16"/>
              </w:rPr>
              <w:t>1</w:t>
            </w:r>
          </w:p>
        </w:tc>
        <w:tc>
          <w:tcPr>
            <w:tcW w:type="dxa" w:w="2304"/>
          </w:tcPr>
          <w:p>
            <w:pPr>
              <w:spacing w:after="0"/>
            </w:pPr>
            <w:r/>
            <w:r>
              <w:rPr>
                <w:sz w:val="16"/>
              </w:rPr>
              <w:t>2 checks</w:t>
            </w:r>
          </w:p>
        </w:tc>
        <w:tc>
          <w:tcPr>
            <w:tcW w:type="dxa" w:w="1296"/>
          </w:tcPr>
          <w:p>
            <w:pPr>
              <w:spacing w:after="0"/>
            </w:pPr>
            <w:r/>
            <w:r>
              <w:rPr>
                <w:sz w:val="16"/>
              </w:rPr>
              <w:t>pass</w:t>
            </w:r>
          </w:p>
        </w:tc>
      </w:tr>
    </w:tbl>
    <w:p>
      <w:pPr>
        <w:spacing w:after="200"/>
      </w:pPr>
      <w:r>
        <w:rPr>
          <w:i/>
          <w:color w:val="555F6D"/>
          <w:sz w:val="17"/>
        </w:rPr>
        <w:t>Table 120. Executed suites</w:t>
      </w:r>
    </w:p>
    <w:p>
      <w:bookmarkStart w:id="1357" w:name="_Toc1357"/>
      <w:pPr>
        <w:pStyle w:val="Heading1"/>
        <w:pageBreakBefore/>
      </w:pPr>
      <w:r>
        <w:t>Appendix K. Glossary</w:t>
      </w:r>
      <w:bookmarkEnd w:id="1357"/>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2304"/>
            <w:shd w:val="clear" w:color="auto" w:fill="1F3A5F"/>
          </w:tcPr>
          <w:p>
            <w:pPr>
              <w:spacing w:after="0"/>
            </w:pPr>
            <w:r/>
            <w:r>
              <w:rPr>
                <w:b/>
                <w:color w:val="FFFFFF"/>
                <w:sz w:val="16"/>
              </w:rPr>
              <w:t>Term</w:t>
            </w:r>
          </w:p>
        </w:tc>
        <w:tc>
          <w:tcPr>
            <w:tcW w:type="dxa" w:w="7056"/>
            <w:shd w:val="clear" w:color="auto" w:fill="1F3A5F"/>
          </w:tcPr>
          <w:p>
            <w:pPr>
              <w:spacing w:after="0"/>
            </w:pPr>
            <w:r/>
            <w:r>
              <w:rPr>
                <w:b/>
                <w:color w:val="FFFFFF"/>
                <w:sz w:val="16"/>
              </w:rPr>
              <w:t>Definition</w:t>
            </w:r>
          </w:p>
        </w:tc>
      </w:tr>
      <w:tr>
        <w:trPr>
          <w:cantSplit/>
        </w:trPr>
        <w:tc>
          <w:tcPr>
            <w:tcW w:type="dxa" w:w="2304"/>
          </w:tcPr>
          <w:p>
            <w:pPr>
              <w:spacing w:after="0"/>
            </w:pPr>
            <w:r/>
            <w:r>
              <w:rPr>
                <w:sz w:val="16"/>
              </w:rPr>
              <w:t>Aggregate</w:t>
            </w:r>
          </w:p>
        </w:tc>
        <w:tc>
          <w:tcPr>
            <w:tcW w:type="dxa" w:w="7056"/>
          </w:tcPr>
          <w:p>
            <w:pPr>
              <w:spacing w:after="0"/>
            </w:pPr>
            <w:r/>
            <w:r>
              <w:rPr>
                <w:sz w:val="16"/>
              </w:rPr>
              <w:t>A cluster of rows that changes together under one invariant (e.g. sales order + items).</w:t>
            </w:r>
          </w:p>
        </w:tc>
      </w:tr>
      <w:tr>
        <w:trPr>
          <w:cantSplit/>
        </w:trPr>
        <w:tc>
          <w:tcPr>
            <w:tcW w:type="dxa" w:w="2304"/>
          </w:tcPr>
          <w:p>
            <w:pPr>
              <w:spacing w:after="0"/>
            </w:pPr>
            <w:r/>
            <w:r>
              <w:rPr>
                <w:sz w:val="16"/>
              </w:rPr>
              <w:t>Application access</w:t>
            </w:r>
          </w:p>
        </w:tc>
        <w:tc>
          <w:tcPr>
            <w:tcW w:type="dxa" w:w="7056"/>
          </w:tcPr>
          <w:p>
            <w:pPr>
              <w:spacing w:after="0"/>
            </w:pPr>
            <w:r/>
            <w:r>
              <w:rPr>
                <w:sz w:val="16"/>
              </w:rPr>
              <w:t>The axis that decides which frontend an identity may enter (platform/erp/pos/ecommerce/ecommerce_admin).</w:t>
            </w:r>
          </w:p>
        </w:tc>
      </w:tr>
      <w:tr>
        <w:trPr>
          <w:cantSplit/>
        </w:trPr>
        <w:tc>
          <w:tcPr>
            <w:tcW w:type="dxa" w:w="2304"/>
          </w:tcPr>
          <w:p>
            <w:pPr>
              <w:spacing w:after="0"/>
            </w:pPr>
            <w:r/>
            <w:r>
              <w:rPr>
                <w:sz w:val="16"/>
              </w:rPr>
              <w:t>Base quantity</w:t>
            </w:r>
          </w:p>
        </w:tc>
        <w:tc>
          <w:tcPr>
            <w:tcW w:type="dxa" w:w="7056"/>
          </w:tcPr>
          <w:p>
            <w:pPr>
              <w:spacing w:after="0"/>
            </w:pPr>
            <w:r/>
            <w:r>
              <w:rPr>
                <w:sz w:val="16"/>
              </w:rPr>
              <w:t>The quantity in the product's base unit, after applying the line's conversion factor.</w:t>
            </w:r>
          </w:p>
        </w:tc>
      </w:tr>
      <w:tr>
        <w:trPr>
          <w:cantSplit/>
        </w:trPr>
        <w:tc>
          <w:tcPr>
            <w:tcW w:type="dxa" w:w="2304"/>
          </w:tcPr>
          <w:p>
            <w:pPr>
              <w:spacing w:after="0"/>
            </w:pPr>
            <w:r/>
            <w:r>
              <w:rPr>
                <w:sz w:val="16"/>
              </w:rPr>
              <w:t>Effective permission</w:t>
            </w:r>
          </w:p>
        </w:tc>
        <w:tc>
          <w:tcPr>
            <w:tcW w:type="dxa" w:w="7056"/>
          </w:tcPr>
          <w:p>
            <w:pPr>
              <w:spacing w:after="0"/>
            </w:pPr>
            <w:r/>
            <w:r>
              <w:rPr>
                <w:sz w:val="16"/>
              </w:rPr>
              <w:t>The resolved allow-set: role globs plus the per-user override.</w:t>
            </w:r>
          </w:p>
        </w:tc>
      </w:tr>
      <w:tr>
        <w:trPr>
          <w:cantSplit/>
        </w:trPr>
        <w:tc>
          <w:tcPr>
            <w:tcW w:type="dxa" w:w="2304"/>
          </w:tcPr>
          <w:p>
            <w:pPr>
              <w:spacing w:after="0"/>
            </w:pPr>
            <w:r/>
            <w:r>
              <w:rPr>
                <w:sz w:val="16"/>
              </w:rPr>
              <w:t>Glob</w:t>
            </w:r>
          </w:p>
        </w:tc>
        <w:tc>
          <w:tcPr>
            <w:tcW w:type="dxa" w:w="7056"/>
          </w:tcPr>
          <w:p>
            <w:pPr>
              <w:spacing w:after="0"/>
            </w:pPr>
            <w:r/>
            <w:r>
              <w:rPr>
                <w:sz w:val="16"/>
              </w:rPr>
              <w:t>A permission pattern ending in '.*' that matches a family of keys.</w:t>
            </w:r>
          </w:p>
        </w:tc>
      </w:tr>
      <w:tr>
        <w:trPr>
          <w:cantSplit/>
        </w:trPr>
        <w:tc>
          <w:tcPr>
            <w:tcW w:type="dxa" w:w="2304"/>
          </w:tcPr>
          <w:p>
            <w:pPr>
              <w:spacing w:after="0"/>
            </w:pPr>
            <w:r/>
            <w:r>
              <w:rPr>
                <w:sz w:val="16"/>
              </w:rPr>
              <w:t>Idempotency key</w:t>
            </w:r>
          </w:p>
        </w:tc>
        <w:tc>
          <w:tcPr>
            <w:tcW w:type="dxa" w:w="7056"/>
          </w:tcPr>
          <w:p>
            <w:pPr>
              <w:spacing w:after="0"/>
            </w:pPr>
            <w:r/>
            <w:r>
              <w:rPr>
                <w:sz w:val="16"/>
              </w:rPr>
              <w:t>A client-supplied key that makes a repeated write return the first result instead of writing twice.</w:t>
            </w:r>
          </w:p>
        </w:tc>
      </w:tr>
      <w:tr>
        <w:trPr>
          <w:cantSplit/>
        </w:trPr>
        <w:tc>
          <w:tcPr>
            <w:tcW w:type="dxa" w:w="2304"/>
          </w:tcPr>
          <w:p>
            <w:pPr>
              <w:spacing w:after="0"/>
            </w:pPr>
            <w:r/>
            <w:r>
              <w:rPr>
                <w:sz w:val="16"/>
              </w:rPr>
              <w:t>LHPP</w:t>
            </w:r>
          </w:p>
        </w:tc>
        <w:tc>
          <w:tcPr>
            <w:tcW w:type="dxa" w:w="7056"/>
          </w:tcPr>
          <w:p>
            <w:pPr>
              <w:spacing w:after="0"/>
            </w:pPr>
            <w:r/>
            <w:r>
              <w:rPr>
                <w:sz w:val="16"/>
              </w:rPr>
              <w:t>Route settlement report grouping delivery orders per driver and date.</w:t>
            </w:r>
          </w:p>
        </w:tc>
      </w:tr>
      <w:tr>
        <w:trPr>
          <w:cantSplit/>
        </w:trPr>
        <w:tc>
          <w:tcPr>
            <w:tcW w:type="dxa" w:w="2304"/>
          </w:tcPr>
          <w:p>
            <w:pPr>
              <w:spacing w:after="0"/>
            </w:pPr>
            <w:r/>
            <w:r>
              <w:rPr>
                <w:sz w:val="16"/>
              </w:rPr>
              <w:t>Opname</w:t>
            </w:r>
          </w:p>
        </w:tc>
        <w:tc>
          <w:tcPr>
            <w:tcW w:type="dxa" w:w="7056"/>
          </w:tcPr>
          <w:p>
            <w:pPr>
              <w:spacing w:after="0"/>
            </w:pPr>
            <w:r/>
            <w:r>
              <w:rPr>
                <w:sz w:val="16"/>
              </w:rPr>
              <w:t>Physical stock count reconciled against system quantity.</w:t>
            </w:r>
          </w:p>
        </w:tc>
      </w:tr>
      <w:tr>
        <w:trPr>
          <w:cantSplit/>
        </w:trPr>
        <w:tc>
          <w:tcPr>
            <w:tcW w:type="dxa" w:w="2304"/>
          </w:tcPr>
          <w:p>
            <w:pPr>
              <w:spacing w:after="0"/>
            </w:pPr>
            <w:r/>
            <w:r>
              <w:rPr>
                <w:sz w:val="16"/>
              </w:rPr>
              <w:t>Platform identity</w:t>
            </w:r>
          </w:p>
        </w:tc>
        <w:tc>
          <w:tcPr>
            <w:tcW w:type="dxa" w:w="7056"/>
          </w:tcPr>
          <w:p>
            <w:pPr>
              <w:spacing w:after="0"/>
            </w:pPr>
            <w:r/>
            <w:r>
              <w:rPr>
                <w:sz w:val="16"/>
              </w:rPr>
              <w:t>admin/owner: bypasses permission checks and tenant scoping.</w:t>
            </w:r>
          </w:p>
        </w:tc>
      </w:tr>
      <w:tr>
        <w:trPr>
          <w:cantSplit/>
        </w:trPr>
        <w:tc>
          <w:tcPr>
            <w:tcW w:type="dxa" w:w="2304"/>
          </w:tcPr>
          <w:p>
            <w:pPr>
              <w:spacing w:after="0"/>
            </w:pPr>
            <w:r/>
            <w:r>
              <w:rPr>
                <w:sz w:val="16"/>
              </w:rPr>
              <w:t>Snapshot (line)</w:t>
            </w:r>
          </w:p>
        </w:tc>
        <w:tc>
          <w:tcPr>
            <w:tcW w:type="dxa" w:w="7056"/>
          </w:tcPr>
          <w:p>
            <w:pPr>
              <w:spacing w:after="0"/>
            </w:pPr>
            <w:r/>
            <w:r>
              <w:rPr>
                <w:sz w:val="16"/>
              </w:rPr>
              <w:t>The immutable copy of price, unit and conversion stored on a sales order line.</w:t>
            </w:r>
          </w:p>
        </w:tc>
      </w:tr>
      <w:tr>
        <w:trPr>
          <w:cantSplit/>
        </w:trPr>
        <w:tc>
          <w:tcPr>
            <w:tcW w:type="dxa" w:w="2304"/>
          </w:tcPr>
          <w:p>
            <w:pPr>
              <w:spacing w:after="0"/>
            </w:pPr>
            <w:r/>
            <w:r>
              <w:rPr>
                <w:sz w:val="16"/>
              </w:rPr>
              <w:t>Tenant</w:t>
            </w:r>
          </w:p>
        </w:tc>
        <w:tc>
          <w:tcPr>
            <w:tcW w:type="dxa" w:w="7056"/>
          </w:tcPr>
          <w:p>
            <w:pPr>
              <w:spacing w:after="0"/>
            </w:pPr>
            <w:r/>
            <w:r>
              <w:rPr>
                <w:sz w:val="16"/>
              </w:rPr>
              <w:t>An outlet (stores row) and the warehouse bound to it.</w:t>
            </w:r>
          </w:p>
        </w:tc>
      </w:tr>
    </w:tbl>
    <w:p>
      <w:pPr>
        <w:spacing w:after="200"/>
      </w:pPr>
      <w:r>
        <w:rPr>
          <w:i/>
          <w:color w:val="555F6D"/>
          <w:sz w:val="17"/>
        </w:rPr>
        <w:t>Table 121. Glossary</w:t>
      </w:r>
    </w:p>
    <w:p>
      <w:bookmarkStart w:id="1358" w:name="_Toc1358"/>
      <w:pPr>
        <w:pStyle w:val="Heading1"/>
        <w:pageBreakBefore/>
      </w:pPr>
      <w:r>
        <w:t>Appendix L. References to source files and evidence</w:t>
      </w:r>
      <w:bookmarkEnd w:id="1358"/>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4824"/>
        <w:gridCol w:w="4824"/>
      </w:tblGrid>
      <w:tr>
        <w:trPr>
          <w:tblHeader w:val="true"/>
        </w:trPr>
        <w:tc>
          <w:tcPr>
            <w:tcW w:type="dxa" w:w="2160"/>
            <w:shd w:val="clear" w:color="auto" w:fill="1F3A5F"/>
          </w:tcPr>
          <w:p>
            <w:pPr>
              <w:spacing w:after="0"/>
            </w:pPr>
            <w:r/>
            <w:r>
              <w:rPr>
                <w:b/>
                <w:color w:val="FFFFFF"/>
                <w:sz w:val="15"/>
              </w:rPr>
              <w:t>Topic</w:t>
            </w:r>
          </w:p>
        </w:tc>
        <w:tc>
          <w:tcPr>
            <w:tcW w:type="dxa" w:w="7200"/>
            <w:shd w:val="clear" w:color="auto" w:fill="1F3A5F"/>
          </w:tcPr>
          <w:p>
            <w:pPr>
              <w:spacing w:after="0"/>
            </w:pPr>
            <w:r/>
            <w:r>
              <w:rPr>
                <w:b/>
                <w:color w:val="FFFFFF"/>
                <w:sz w:val="15"/>
              </w:rPr>
              <w:t>Primary evidence</w:t>
            </w:r>
          </w:p>
        </w:tc>
      </w:tr>
      <w:tr>
        <w:trPr>
          <w:cantSplit/>
        </w:trPr>
        <w:tc>
          <w:tcPr>
            <w:tcW w:type="dxa" w:w="2160"/>
          </w:tcPr>
          <w:p>
            <w:pPr>
              <w:spacing w:after="0"/>
            </w:pPr>
            <w:r/>
            <w:r>
              <w:rPr>
                <w:sz w:val="15"/>
              </w:rPr>
              <w:t>Routing</w:t>
            </w:r>
          </w:p>
        </w:tc>
        <w:tc>
          <w:tcPr>
            <w:tcW w:type="dxa" w:w="7200"/>
          </w:tcPr>
          <w:p>
            <w:pPr>
              <w:spacing w:after="0"/>
            </w:pPr>
            <w:r/>
            <w:r>
              <w:rPr>
                <w:sz w:val="15"/>
              </w:rPr>
              <w:t>apps/backend/cmd/server/main.go; internal/system/handler.go</w:t>
            </w:r>
          </w:p>
        </w:tc>
      </w:tr>
      <w:tr>
        <w:trPr>
          <w:cantSplit/>
        </w:trPr>
        <w:tc>
          <w:tcPr>
            <w:tcW w:type="dxa" w:w="2160"/>
          </w:tcPr>
          <w:p>
            <w:pPr>
              <w:spacing w:after="0"/>
            </w:pPr>
            <w:r/>
            <w:r>
              <w:rPr>
                <w:sz w:val="15"/>
              </w:rPr>
              <w:t>Permissions</w:t>
            </w:r>
          </w:p>
        </w:tc>
        <w:tc>
          <w:tcPr>
            <w:tcW w:type="dxa" w:w="7200"/>
          </w:tcPr>
          <w:p>
            <w:pPr>
              <w:spacing w:after="0"/>
            </w:pPr>
            <w:r/>
            <w:r>
              <w:rPr>
                <w:sz w:val="15"/>
              </w:rPr>
              <w:t>apps/backend/internal/auth/{catalog.go,matrix.go,model.go,middleware.go}</w:t>
            </w:r>
          </w:p>
        </w:tc>
      </w:tr>
      <w:tr>
        <w:trPr>
          <w:cantSplit/>
        </w:trPr>
        <w:tc>
          <w:tcPr>
            <w:tcW w:type="dxa" w:w="2160"/>
          </w:tcPr>
          <w:p>
            <w:pPr>
              <w:spacing w:after="0"/>
            </w:pPr>
            <w:r/>
            <w:r>
              <w:rPr>
                <w:sz w:val="15"/>
              </w:rPr>
              <w:t>Tokens</w:t>
            </w:r>
          </w:p>
        </w:tc>
        <w:tc>
          <w:tcPr>
            <w:tcW w:type="dxa" w:w="7200"/>
          </w:tcPr>
          <w:p>
            <w:pPr>
              <w:spacing w:after="0"/>
            </w:pPr>
            <w:r/>
            <w:r>
              <w:rPr>
                <w:sz w:val="15"/>
              </w:rPr>
              <w:t>apps/backend/internal/auth/{token.go,service.go,repository.go}</w:t>
            </w:r>
          </w:p>
        </w:tc>
      </w:tr>
      <w:tr>
        <w:trPr>
          <w:cantSplit/>
        </w:trPr>
        <w:tc>
          <w:tcPr>
            <w:tcW w:type="dxa" w:w="2160"/>
          </w:tcPr>
          <w:p>
            <w:pPr>
              <w:spacing w:after="0"/>
            </w:pPr>
            <w:r/>
            <w:r>
              <w:rPr>
                <w:sz w:val="15"/>
              </w:rPr>
              <w:t>Migrations</w:t>
            </w:r>
          </w:p>
        </w:tc>
        <w:tc>
          <w:tcPr>
            <w:tcW w:type="dxa" w:w="7200"/>
          </w:tcPr>
          <w:p>
            <w:pPr>
              <w:spacing w:after="0"/>
            </w:pPr>
            <w:r/>
            <w:r>
              <w:rPr>
                <w:sz w:val="15"/>
              </w:rPr>
              <w:t>apps/backend/migrations/*.sql; internal/dbmigrate/dbmigrate.go</w:t>
            </w:r>
          </w:p>
        </w:tc>
      </w:tr>
      <w:tr>
        <w:trPr>
          <w:cantSplit/>
        </w:trPr>
        <w:tc>
          <w:tcPr>
            <w:tcW w:type="dxa" w:w="2160"/>
          </w:tcPr>
          <w:p>
            <w:pPr>
              <w:spacing w:after="0"/>
            </w:pPr>
            <w:r/>
            <w:r>
              <w:rPr>
                <w:sz w:val="15"/>
              </w:rPr>
              <w:t>Schema snapshot</w:t>
            </w:r>
          </w:p>
        </w:tc>
        <w:tc>
          <w:tcPr>
            <w:tcW w:type="dxa" w:w="7200"/>
          </w:tcPr>
          <w:p>
            <w:pPr>
              <w:spacing w:after="0"/>
            </w:pPr>
            <w:r/>
            <w:r>
              <w:rPr>
                <w:sz w:val="15"/>
              </w:rPr>
              <w:t>apps/backend/db/schema.sql; db/query/*.sql</w:t>
            </w:r>
          </w:p>
        </w:tc>
      </w:tr>
      <w:tr>
        <w:trPr>
          <w:cantSplit/>
        </w:trPr>
        <w:tc>
          <w:tcPr>
            <w:tcW w:type="dxa" w:w="2160"/>
          </w:tcPr>
          <w:p>
            <w:pPr>
              <w:spacing w:after="0"/>
            </w:pPr>
            <w:r/>
            <w:r>
              <w:rPr>
                <w:sz w:val="15"/>
              </w:rPr>
              <w:t>Sales/POS</w:t>
            </w:r>
          </w:p>
        </w:tc>
        <w:tc>
          <w:tcPr>
            <w:tcW w:type="dxa" w:w="7200"/>
          </w:tcPr>
          <w:p>
            <w:pPr>
              <w:spacing w:after="0"/>
            </w:pPr>
            <w:r/>
            <w:r>
              <w:rPr>
                <w:sz w:val="15"/>
              </w:rPr>
              <w:t>apps/backend/internal/sales/{service.go,handler.go}</w:t>
            </w:r>
          </w:p>
        </w:tc>
      </w:tr>
      <w:tr>
        <w:trPr>
          <w:cantSplit/>
        </w:trPr>
        <w:tc>
          <w:tcPr>
            <w:tcW w:type="dxa" w:w="2160"/>
          </w:tcPr>
          <w:p>
            <w:pPr>
              <w:spacing w:after="0"/>
            </w:pPr>
            <w:r/>
            <w:r>
              <w:rPr>
                <w:sz w:val="15"/>
              </w:rPr>
              <w:t>Finance</w:t>
            </w:r>
          </w:p>
        </w:tc>
        <w:tc>
          <w:tcPr>
            <w:tcW w:type="dxa" w:w="7200"/>
          </w:tcPr>
          <w:p>
            <w:pPr>
              <w:spacing w:after="0"/>
            </w:pPr>
            <w:r/>
            <w:r>
              <w:rPr>
                <w:sz w:val="15"/>
              </w:rPr>
              <w:t>apps/backend/internal/finance/*.go</w:t>
            </w:r>
          </w:p>
        </w:tc>
      </w:tr>
      <w:tr>
        <w:trPr>
          <w:cantSplit/>
        </w:trPr>
        <w:tc>
          <w:tcPr>
            <w:tcW w:type="dxa" w:w="2160"/>
          </w:tcPr>
          <w:p>
            <w:pPr>
              <w:spacing w:after="0"/>
            </w:pPr>
            <w:r/>
            <w:r>
              <w:rPr>
                <w:sz w:val="15"/>
              </w:rPr>
              <w:t>Accounting</w:t>
            </w:r>
          </w:p>
        </w:tc>
        <w:tc>
          <w:tcPr>
            <w:tcW w:type="dxa" w:w="7200"/>
          </w:tcPr>
          <w:p>
            <w:pPr>
              <w:spacing w:after="0"/>
            </w:pPr>
            <w:r/>
            <w:r>
              <w:rPr>
                <w:sz w:val="15"/>
              </w:rPr>
              <w:t>apps/backend/internal/accounting/{service.go,repository.go}</w:t>
            </w:r>
          </w:p>
        </w:tc>
      </w:tr>
      <w:tr>
        <w:trPr>
          <w:cantSplit/>
        </w:trPr>
        <w:tc>
          <w:tcPr>
            <w:tcW w:type="dxa" w:w="2160"/>
          </w:tcPr>
          <w:p>
            <w:pPr>
              <w:spacing w:after="0"/>
            </w:pPr>
            <w:r/>
            <w:r>
              <w:rPr>
                <w:sz w:val="15"/>
              </w:rPr>
              <w:t>Inventory</w:t>
            </w:r>
          </w:p>
        </w:tc>
        <w:tc>
          <w:tcPr>
            <w:tcW w:type="dxa" w:w="7200"/>
          </w:tcPr>
          <w:p>
            <w:pPr>
              <w:spacing w:after="0"/>
            </w:pPr>
            <w:r/>
            <w:r>
              <w:rPr>
                <w:sz w:val="15"/>
              </w:rPr>
              <w:t>apps/backend/internal/inventory/*.go</w:t>
            </w:r>
          </w:p>
        </w:tc>
      </w:tr>
      <w:tr>
        <w:trPr>
          <w:cantSplit/>
        </w:trPr>
        <w:tc>
          <w:tcPr>
            <w:tcW w:type="dxa" w:w="2160"/>
          </w:tcPr>
          <w:p>
            <w:pPr>
              <w:spacing w:after="0"/>
            </w:pPr>
            <w:r/>
            <w:r>
              <w:rPr>
                <w:sz w:val="15"/>
              </w:rPr>
              <w:t>Cashier</w:t>
            </w:r>
          </w:p>
        </w:tc>
        <w:tc>
          <w:tcPr>
            <w:tcW w:type="dxa" w:w="7200"/>
          </w:tcPr>
          <w:p>
            <w:pPr>
              <w:spacing w:after="0"/>
            </w:pPr>
            <w:r/>
            <w:r>
              <w:rPr>
                <w:sz w:val="15"/>
              </w:rPr>
              <w:t>apps/backend/internal/cashier/service.go</w:t>
            </w:r>
          </w:p>
        </w:tc>
      </w:tr>
      <w:tr>
        <w:trPr>
          <w:cantSplit/>
        </w:trPr>
        <w:tc>
          <w:tcPr>
            <w:tcW w:type="dxa" w:w="2160"/>
          </w:tcPr>
          <w:p>
            <w:pPr>
              <w:spacing w:after="0"/>
            </w:pPr>
            <w:r/>
            <w:r>
              <w:rPr>
                <w:sz w:val="15"/>
              </w:rPr>
              <w:t>Reports</w:t>
            </w:r>
          </w:p>
        </w:tc>
        <w:tc>
          <w:tcPr>
            <w:tcW w:type="dxa" w:w="7200"/>
          </w:tcPr>
          <w:p>
            <w:pPr>
              <w:spacing w:after="0"/>
            </w:pPr>
            <w:r/>
            <w:r>
              <w:rPr>
                <w:sz w:val="15"/>
              </w:rPr>
              <w:t>apps/backend/internal/reportproxy/reportproxy.go; internal/reports/templates/*</w:t>
            </w:r>
          </w:p>
        </w:tc>
      </w:tr>
      <w:tr>
        <w:trPr>
          <w:cantSplit/>
        </w:trPr>
        <w:tc>
          <w:tcPr>
            <w:tcW w:type="dxa" w:w="2160"/>
          </w:tcPr>
          <w:p>
            <w:pPr>
              <w:spacing w:after="0"/>
            </w:pPr>
            <w:r/>
            <w:r>
              <w:rPr>
                <w:sz w:val="15"/>
              </w:rPr>
              <w:t>Business rules</w:t>
            </w:r>
          </w:p>
        </w:tc>
        <w:tc>
          <w:tcPr>
            <w:tcW w:type="dxa" w:w="7200"/>
          </w:tcPr>
          <w:p>
            <w:pPr>
              <w:spacing w:after="0"/>
            </w:pPr>
            <w:r/>
            <w:r>
              <w:rPr>
                <w:sz w:val="15"/>
              </w:rPr>
              <w:t>apps/backend/docs/business-rules.md (authoritative prose)</w:t>
            </w:r>
          </w:p>
        </w:tc>
      </w:tr>
      <w:tr>
        <w:trPr>
          <w:cantSplit/>
        </w:trPr>
        <w:tc>
          <w:tcPr>
            <w:tcW w:type="dxa" w:w="2160"/>
          </w:tcPr>
          <w:p>
            <w:pPr>
              <w:spacing w:after="0"/>
            </w:pPr>
            <w:r/>
            <w:r>
              <w:rPr>
                <w:sz w:val="15"/>
              </w:rPr>
              <w:t>API contract</w:t>
            </w:r>
          </w:p>
        </w:tc>
        <w:tc>
          <w:tcPr>
            <w:tcW w:type="dxa" w:w="7200"/>
          </w:tcPr>
          <w:p>
            <w:pPr>
              <w:spacing w:after="0"/>
            </w:pPr>
            <w:r/>
            <w:r>
              <w:rPr>
                <w:sz w:val="15"/>
              </w:rPr>
              <w:t>apps/backend/docs/openapi.yaml</w:t>
            </w:r>
          </w:p>
        </w:tc>
      </w:tr>
      <w:tr>
        <w:trPr>
          <w:cantSplit/>
        </w:trPr>
        <w:tc>
          <w:tcPr>
            <w:tcW w:type="dxa" w:w="2160"/>
          </w:tcPr>
          <w:p>
            <w:pPr>
              <w:spacing w:after="0"/>
            </w:pPr>
            <w:r/>
            <w:r>
              <w:rPr>
                <w:sz w:val="15"/>
              </w:rPr>
              <w:t>ERP UI</w:t>
            </w:r>
          </w:p>
        </w:tc>
        <w:tc>
          <w:tcPr>
            <w:tcW w:type="dxa" w:w="7200"/>
          </w:tcPr>
          <w:p>
            <w:pPr>
              <w:spacing w:after="0"/>
            </w:pPr>
            <w:r/>
            <w:r>
              <w:rPr>
                <w:sz w:val="15"/>
              </w:rPr>
              <w:t>apps/erp/src/{router/index.js,config/navigation.js,services/http.js}</w:t>
            </w:r>
          </w:p>
        </w:tc>
      </w:tr>
      <w:tr>
        <w:trPr>
          <w:cantSplit/>
        </w:trPr>
        <w:tc>
          <w:tcPr>
            <w:tcW w:type="dxa" w:w="2160"/>
          </w:tcPr>
          <w:p>
            <w:pPr>
              <w:spacing w:after="0"/>
            </w:pPr>
            <w:r/>
            <w:r>
              <w:rPr>
                <w:sz w:val="15"/>
              </w:rPr>
              <w:t>POS UI</w:t>
            </w:r>
          </w:p>
        </w:tc>
        <w:tc>
          <w:tcPr>
            <w:tcW w:type="dxa" w:w="7200"/>
          </w:tcPr>
          <w:p>
            <w:pPr>
              <w:spacing w:after="0"/>
            </w:pPr>
            <w:r/>
            <w:r>
              <w:rPr>
                <w:sz w:val="15"/>
              </w:rPr>
              <w:t>apps/pos/src/{router/index.js,services/api/http.js,utils/print.js}</w:t>
            </w:r>
          </w:p>
        </w:tc>
      </w:tr>
      <w:tr>
        <w:trPr>
          <w:cantSplit/>
        </w:trPr>
        <w:tc>
          <w:tcPr>
            <w:tcW w:type="dxa" w:w="2160"/>
          </w:tcPr>
          <w:p>
            <w:pPr>
              <w:spacing w:after="0"/>
            </w:pPr>
            <w:r/>
            <w:r>
              <w:rPr>
                <w:sz w:val="15"/>
              </w:rPr>
              <w:t>B2B UI</w:t>
            </w:r>
          </w:p>
        </w:tc>
        <w:tc>
          <w:tcPr>
            <w:tcW w:type="dxa" w:w="7200"/>
          </w:tcPr>
          <w:p>
            <w:pPr>
              <w:spacing w:after="0"/>
            </w:pPr>
            <w:r/>
            <w:r>
              <w:rPr>
                <w:sz w:val="15"/>
              </w:rPr>
              <w:t>apps/b2b/{nuxt.config.ts,server/api/v1/[...path].ts,app/middleware/*}</w:t>
            </w:r>
          </w:p>
        </w:tc>
      </w:tr>
      <w:tr>
        <w:trPr>
          <w:cantSplit/>
        </w:trPr>
        <w:tc>
          <w:tcPr>
            <w:tcW w:type="dxa" w:w="2160"/>
          </w:tcPr>
          <w:p>
            <w:pPr>
              <w:spacing w:after="0"/>
            </w:pPr>
            <w:r/>
            <w:r>
              <w:rPr>
                <w:sz w:val="15"/>
              </w:rPr>
              <w:t>Deployment</w:t>
            </w:r>
          </w:p>
        </w:tc>
        <w:tc>
          <w:tcPr>
            <w:tcW w:type="dxa" w:w="7200"/>
          </w:tcPr>
          <w:p>
            <w:pPr>
              <w:spacing w:after="0"/>
            </w:pPr>
            <w:r/>
            <w:r>
              <w:rPr>
                <w:sz w:val="15"/>
              </w:rPr>
              <w:t>infra/containers/compose.prod.yml; apps/*/Dockerfile; apps/erp/deploy/nginx-entrypoint.sh</w:t>
            </w:r>
          </w:p>
        </w:tc>
      </w:tr>
      <w:tr>
        <w:trPr>
          <w:cantSplit/>
        </w:trPr>
        <w:tc>
          <w:tcPr>
            <w:tcW w:type="dxa" w:w="2160"/>
          </w:tcPr>
          <w:p>
            <w:pPr>
              <w:spacing w:after="0"/>
            </w:pPr>
            <w:r/>
            <w:r>
              <w:rPr>
                <w:sz w:val="15"/>
              </w:rPr>
              <w:t>CI</w:t>
            </w:r>
          </w:p>
        </w:tc>
        <w:tc>
          <w:tcPr>
            <w:tcW w:type="dxa" w:w="7200"/>
          </w:tcPr>
          <w:p>
            <w:pPr>
              <w:spacing w:after="0"/>
            </w:pPr>
            <w:r/>
            <w:r>
              <w:rPr>
                <w:sz w:val="15"/>
              </w:rPr>
              <w:t>.github/workflows/{ci.yml,deploy-ghcr.yml}</w:t>
            </w:r>
          </w:p>
        </w:tc>
      </w:tr>
      <w:tr>
        <w:trPr>
          <w:cantSplit/>
        </w:trPr>
        <w:tc>
          <w:tcPr>
            <w:tcW w:type="dxa" w:w="2160"/>
          </w:tcPr>
          <w:p>
            <w:pPr>
              <w:spacing w:after="0"/>
            </w:pPr>
            <w:r/>
            <w:r>
              <w:rPr>
                <w:sz w:val="15"/>
              </w:rPr>
              <w:t>Docs</w:t>
            </w:r>
          </w:p>
        </w:tc>
        <w:tc>
          <w:tcPr>
            <w:tcW w:type="dxa" w:w="7200"/>
          </w:tcPr>
          <w:p>
            <w:pPr>
              <w:spacing w:after="0"/>
            </w:pPr>
            <w:r/>
            <w:r>
              <w:rPr>
                <w:sz w:val="15"/>
              </w:rPr>
              <w:t>docs/**/*.md; apps/*/AGENTS.md</w:t>
            </w:r>
          </w:p>
        </w:tc>
      </w:tr>
    </w:tbl>
    <w:p>
      <w:pPr>
        <w:spacing w:after="200"/>
      </w:pPr>
      <w:r>
        <w:rPr>
          <w:i/>
          <w:color w:val="555F6D"/>
          <w:sz w:val="17"/>
        </w:rPr>
        <w:t>Table 122. Evidence map</w:t>
      </w:r>
    </w:p>
    <w:p>
      <w:bookmarkStart w:id="1359" w:name="_Toc1359"/>
      <w:pPr>
        <w:pStyle w:val="Heading1"/>
        <w:pageBreakBefore/>
      </w:pPr>
      <w:r>
        <w:t>Appendix M. Coverage and traceability matrix</w:t>
      </w:r>
      <w:bookmarkEnd w:id="1359"/>
    </w:p>
    <w:p>
      <w:r>
        <w:rPr>
          <w:i w:val="0"/>
        </w:rPr>
        <w:t>The matrix below is the reconciliation this document claims. Each row was checked against an inventory, not against the presence of a heading.</w:t>
      </w:r>
    </w:p>
    <w:p>
      <w:pPr>
        <w:sectPr>
          <w:pgSz w:w="12240" w:h="15840"/>
          <w:pgMar w:top="1224" w:right="1296" w:bottom="1152" w:left="1296" w:header="720" w:footer="720" w:gutter="0"/>
          <w:cols w:space="720"/>
          <w:docGrid w:linePitch="360"/>
        </w:sectPr>
      </w:pPr>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14112" w:type="dxa"/>
      </w:tblPr>
      <w:tblGrid>
        <w:gridCol w:w="3528"/>
        <w:gridCol w:w="3528"/>
        <w:gridCol w:w="3528"/>
        <w:gridCol w:w="3528"/>
      </w:tblGrid>
      <w:tr>
        <w:trPr>
          <w:tblHeader w:val="true"/>
        </w:trPr>
        <w:tc>
          <w:tcPr>
            <w:tcW w:type="dxa" w:w="2566"/>
            <w:shd w:val="clear" w:color="auto" w:fill="1F3A5F"/>
          </w:tcPr>
          <w:p>
            <w:pPr>
              <w:spacing w:after="0"/>
            </w:pPr>
            <w:r/>
            <w:r>
              <w:rPr>
                <w:b/>
                <w:color w:val="FFFFFF"/>
                <w:sz w:val="14"/>
              </w:rPr>
              <w:t>Audit area</w:t>
            </w:r>
          </w:p>
        </w:tc>
        <w:tc>
          <w:tcPr>
            <w:tcW w:type="dxa" w:w="4847"/>
            <w:shd w:val="clear" w:color="auto" w:fill="1F3A5F"/>
          </w:tcPr>
          <w:p>
            <w:pPr>
              <w:spacing w:after="0"/>
            </w:pPr>
            <w:r/>
            <w:r>
              <w:rPr>
                <w:b/>
                <w:color w:val="FFFFFF"/>
                <w:sz w:val="14"/>
              </w:rPr>
              <w:t>Required evidence</w:t>
            </w:r>
          </w:p>
        </w:tc>
        <w:tc>
          <w:tcPr>
            <w:tcW w:type="dxa" w:w="1568"/>
            <w:shd w:val="clear" w:color="auto" w:fill="1F3A5F"/>
          </w:tcPr>
          <w:p>
            <w:pPr>
              <w:spacing w:after="0"/>
            </w:pPr>
            <w:r/>
            <w:r>
              <w:rPr>
                <w:b/>
                <w:color w:val="FFFFFF"/>
                <w:sz w:val="14"/>
              </w:rPr>
              <w:t>Status</w:t>
            </w:r>
          </w:p>
        </w:tc>
        <w:tc>
          <w:tcPr>
            <w:tcW w:type="dxa" w:w="5132"/>
            <w:shd w:val="clear" w:color="auto" w:fill="1F3A5F"/>
          </w:tcPr>
          <w:p>
            <w:pPr>
              <w:spacing w:after="0"/>
            </w:pPr>
            <w:r/>
            <w:r>
              <w:rPr>
                <w:b/>
                <w:color w:val="FFFFFF"/>
                <w:sz w:val="14"/>
              </w:rPr>
              <w:t>Where documented</w:t>
            </w:r>
          </w:p>
        </w:tc>
      </w:tr>
      <w:tr>
        <w:trPr>
          <w:cantSplit/>
        </w:trPr>
        <w:tc>
          <w:tcPr>
            <w:tcW w:type="dxa" w:w="2566"/>
          </w:tcPr>
          <w:p>
            <w:pPr>
              <w:spacing w:after="0"/>
            </w:pPr>
            <w:r/>
            <w:r>
              <w:rPr>
                <w:sz w:val="14"/>
              </w:rPr>
              <w:t>Applications</w:t>
            </w:r>
          </w:p>
        </w:tc>
        <w:tc>
          <w:tcPr>
            <w:tcW w:type="dxa" w:w="4847"/>
          </w:tcPr>
          <w:p>
            <w:pPr>
              <w:spacing w:after="0"/>
            </w:pPr>
            <w:r/>
            <w:r>
              <w:rPr>
                <w:sz w:val="14"/>
              </w:rPr>
              <w:t>Every discovered application classified and documented</w:t>
            </w:r>
          </w:p>
        </w:tc>
        <w:tc>
          <w:tcPr>
            <w:tcW w:type="dxa" w:w="1568"/>
          </w:tcPr>
          <w:p>
            <w:pPr>
              <w:spacing w:after="0"/>
            </w:pPr>
            <w:r/>
            <w:r>
              <w:rPr>
                <w:sz w:val="14"/>
              </w:rPr>
              <w:t>Complete</w:t>
            </w:r>
          </w:p>
        </w:tc>
        <w:tc>
          <w:tcPr>
            <w:tcW w:type="dxa" w:w="5132"/>
          </w:tcPr>
          <w:p>
            <w:pPr>
              <w:spacing w:after="0"/>
            </w:pPr>
            <w:r/>
            <w:r>
              <w:rPr>
                <w:sz w:val="14"/>
              </w:rPr>
              <w:t>Ch. 6, 7, 8, 9, 10, 11</w:t>
            </w:r>
          </w:p>
        </w:tc>
      </w:tr>
      <w:tr>
        <w:trPr>
          <w:cantSplit/>
        </w:trPr>
        <w:tc>
          <w:tcPr>
            <w:tcW w:type="dxa" w:w="2566"/>
          </w:tcPr>
          <w:p>
            <w:pPr>
              <w:spacing w:after="0"/>
            </w:pPr>
            <w:r/>
            <w:r>
              <w:rPr>
                <w:sz w:val="14"/>
              </w:rPr>
              <w:t>Shared packages</w:t>
            </w:r>
          </w:p>
        </w:tc>
        <w:tc>
          <w:tcPr>
            <w:tcW w:type="dxa" w:w="4847"/>
          </w:tcPr>
          <w:p>
            <w:pPr>
              <w:spacing w:after="0"/>
            </w:pPr>
            <w:r/>
            <w:r>
              <w:rPr>
                <w:sz w:val="14"/>
              </w:rPr>
              <w:t>Every significant shared package inventoried</w:t>
            </w:r>
          </w:p>
        </w:tc>
        <w:tc>
          <w:tcPr>
            <w:tcW w:type="dxa" w:w="1568"/>
          </w:tcPr>
          <w:p>
            <w:pPr>
              <w:spacing w:after="0"/>
            </w:pPr>
            <w:r/>
            <w:r>
              <w:rPr>
                <w:sz w:val="14"/>
              </w:rPr>
              <w:t>Complete</w:t>
            </w:r>
          </w:p>
        </w:tc>
        <w:tc>
          <w:tcPr>
            <w:tcW w:type="dxa" w:w="5132"/>
          </w:tcPr>
          <w:p>
            <w:pPr>
              <w:spacing w:after="0"/>
            </w:pPr>
            <w:r/>
            <w:r>
              <w:rPr>
                <w:sz w:val="14"/>
              </w:rPr>
              <w:t>Ch. 12; App. A</w:t>
            </w:r>
          </w:p>
        </w:tc>
      </w:tr>
      <w:tr>
        <w:trPr>
          <w:cantSplit/>
        </w:trPr>
        <w:tc>
          <w:tcPr>
            <w:tcW w:type="dxa" w:w="2566"/>
          </w:tcPr>
          <w:p>
            <w:pPr>
              <w:spacing w:after="0"/>
            </w:pPr>
            <w:r/>
            <w:r>
              <w:rPr>
                <w:sz w:val="14"/>
              </w:rPr>
              <w:t>UI routes</w:t>
            </w:r>
          </w:p>
        </w:tc>
        <w:tc>
          <w:tcPr>
            <w:tcW w:type="dxa" w:w="4847"/>
          </w:tcPr>
          <w:p>
            <w:pPr>
              <w:spacing w:after="0"/>
            </w:pPr>
            <w:r/>
            <w:r>
              <w:rPr>
                <w:sz w:val="14"/>
              </w:rPr>
              <w:t>Implemented routes reconciled with the route index</w:t>
            </w:r>
          </w:p>
        </w:tc>
        <w:tc>
          <w:tcPr>
            <w:tcW w:type="dxa" w:w="1568"/>
          </w:tcPr>
          <w:p>
            <w:pPr>
              <w:spacing w:after="0"/>
            </w:pPr>
            <w:r/>
            <w:r>
              <w:rPr>
                <w:sz w:val="14"/>
              </w:rPr>
              <w:t>Complete — 146 rows (ERP 78 pages + 15 redirects + 2 layouts, POS 9, B2B 42)</w:t>
            </w:r>
          </w:p>
        </w:tc>
        <w:tc>
          <w:tcPr>
            <w:tcW w:type="dxa" w:w="5132"/>
          </w:tcPr>
          <w:p>
            <w:pPr>
              <w:spacing w:after="0"/>
            </w:pPr>
            <w:r/>
            <w:r>
              <w:rPr>
                <w:sz w:val="14"/>
              </w:rPr>
              <w:t>Ch. 8.2, 9.2, 13.2; route-inventory.csv</w:t>
            </w:r>
          </w:p>
        </w:tc>
      </w:tr>
      <w:tr>
        <w:trPr>
          <w:cantSplit/>
        </w:trPr>
        <w:tc>
          <w:tcPr>
            <w:tcW w:type="dxa" w:w="2566"/>
          </w:tcPr>
          <w:p>
            <w:pPr>
              <w:spacing w:after="0"/>
            </w:pPr>
            <w:r/>
            <w:r>
              <w:rPr>
                <w:sz w:val="14"/>
              </w:rPr>
              <w:t>APIs</w:t>
            </w:r>
          </w:p>
        </w:tc>
        <w:tc>
          <w:tcPr>
            <w:tcW w:type="dxa" w:w="4847"/>
          </w:tcPr>
          <w:p>
            <w:pPr>
              <w:spacing w:after="0"/>
            </w:pPr>
            <w:r/>
            <w:r>
              <w:rPr>
                <w:sz w:val="14"/>
              </w:rPr>
              <w:t>Endpoint inventory reconciled with backend routing</w:t>
            </w:r>
          </w:p>
        </w:tc>
        <w:tc>
          <w:tcPr>
            <w:tcW w:type="dxa" w:w="1568"/>
          </w:tcPr>
          <w:p>
            <w:pPr>
              <w:spacing w:after="0"/>
            </w:pPr>
            <w:r/>
            <w:r>
              <w:rPr>
                <w:sz w:val="14"/>
              </w:rPr>
              <w:t>Complete — 373 documented + 2 HandleFunc routes outside the contract (F-24)</w:t>
            </w:r>
          </w:p>
        </w:tc>
        <w:tc>
          <w:tcPr>
            <w:tcW w:type="dxa" w:w="5132"/>
          </w:tcPr>
          <w:p>
            <w:pPr>
              <w:spacing w:after="0"/>
            </w:pPr>
            <w:r/>
            <w:r>
              <w:rPr>
                <w:sz w:val="14"/>
              </w:rPr>
              <w:t>Ch. 20.4; api-inventory.csv</w:t>
            </w:r>
          </w:p>
        </w:tc>
      </w:tr>
      <w:tr>
        <w:trPr>
          <w:cantSplit/>
        </w:trPr>
        <w:tc>
          <w:tcPr>
            <w:tcW w:type="dxa" w:w="2566"/>
          </w:tcPr>
          <w:p>
            <w:pPr>
              <w:spacing w:after="0"/>
            </w:pPr>
            <w:r/>
            <w:r>
              <w:rPr>
                <w:sz w:val="14"/>
              </w:rPr>
              <w:t>Database tables</w:t>
            </w:r>
          </w:p>
        </w:tc>
        <w:tc>
          <w:tcPr>
            <w:tcW w:type="dxa" w:w="4847"/>
          </w:tcPr>
          <w:p>
            <w:pPr>
              <w:spacing w:after="0"/>
            </w:pPr>
            <w:r/>
            <w:r>
              <w:rPr>
                <w:sz w:val="14"/>
              </w:rPr>
              <w:t>Every discovered table included</w:t>
            </w:r>
          </w:p>
        </w:tc>
        <w:tc>
          <w:tcPr>
            <w:tcW w:type="dxa" w:w="1568"/>
          </w:tcPr>
          <w:p>
            <w:pPr>
              <w:spacing w:after="0"/>
            </w:pPr>
            <w:r/>
            <w:r>
              <w:rPr>
                <w:sz w:val="14"/>
              </w:rPr>
              <w:t>Complete — 92</w:t>
            </w:r>
          </w:p>
        </w:tc>
        <w:tc>
          <w:tcPr>
            <w:tcW w:type="dxa" w:w="5132"/>
          </w:tcPr>
          <w:p>
            <w:pPr>
              <w:spacing w:after="0"/>
            </w:pPr>
            <w:r/>
            <w:r>
              <w:rPr>
                <w:sz w:val="14"/>
              </w:rPr>
              <w:t>Ch. 16.3, 18; database-inventory.csv</w:t>
            </w:r>
          </w:p>
        </w:tc>
      </w:tr>
      <w:tr>
        <w:trPr>
          <w:cantSplit/>
        </w:trPr>
        <w:tc>
          <w:tcPr>
            <w:tcW w:type="dxa" w:w="2566"/>
          </w:tcPr>
          <w:p>
            <w:pPr>
              <w:spacing w:after="0"/>
            </w:pPr>
            <w:r/>
            <w:r>
              <w:rPr>
                <w:sz w:val="14"/>
              </w:rPr>
              <w:t>Database columns</w:t>
            </w:r>
          </w:p>
        </w:tc>
        <w:tc>
          <w:tcPr>
            <w:tcW w:type="dxa" w:w="4847"/>
          </w:tcPr>
          <w:p>
            <w:pPr>
              <w:spacing w:after="0"/>
            </w:pPr>
            <w:r/>
            <w:r>
              <w:rPr>
                <w:sz w:val="14"/>
              </w:rPr>
              <w:t>Every column included in the data dictionary</w:t>
            </w:r>
          </w:p>
        </w:tc>
        <w:tc>
          <w:tcPr>
            <w:tcW w:type="dxa" w:w="1568"/>
          </w:tcPr>
          <w:p>
            <w:pPr>
              <w:spacing w:after="0"/>
            </w:pPr>
            <w:r/>
            <w:r>
              <w:rPr>
                <w:sz w:val="14"/>
              </w:rPr>
              <w:t>Complete — 1031</w:t>
            </w:r>
          </w:p>
        </w:tc>
        <w:tc>
          <w:tcPr>
            <w:tcW w:type="dxa" w:w="5132"/>
          </w:tcPr>
          <w:p>
            <w:pPr>
              <w:spacing w:after="0"/>
            </w:pPr>
            <w:r/>
            <w:r>
              <w:rPr>
                <w:sz w:val="14"/>
              </w:rPr>
              <w:t>Ch. 18; database-inventory.csv</w:t>
            </w:r>
          </w:p>
        </w:tc>
      </w:tr>
      <w:tr>
        <w:trPr>
          <w:cantSplit/>
        </w:trPr>
        <w:tc>
          <w:tcPr>
            <w:tcW w:type="dxa" w:w="2566"/>
          </w:tcPr>
          <w:p>
            <w:pPr>
              <w:spacing w:after="0"/>
            </w:pPr>
            <w:r/>
            <w:r>
              <w:rPr>
                <w:sz w:val="14"/>
              </w:rPr>
              <w:t>Database relationships</w:t>
            </w:r>
          </w:p>
        </w:tc>
        <w:tc>
          <w:tcPr>
            <w:tcW w:type="dxa" w:w="4847"/>
          </w:tcPr>
          <w:p>
            <w:pPr>
              <w:spacing w:after="0"/>
            </w:pPr>
            <w:r/>
            <w:r>
              <w:rPr>
                <w:sz w:val="14"/>
              </w:rPr>
              <w:t>Declared foreign keys documented</w:t>
            </w:r>
          </w:p>
        </w:tc>
        <w:tc>
          <w:tcPr>
            <w:tcW w:type="dxa" w:w="1568"/>
          </w:tcPr>
          <w:p>
            <w:pPr>
              <w:spacing w:after="0"/>
            </w:pPr>
            <w:r/>
            <w:r>
              <w:rPr>
                <w:sz w:val="14"/>
              </w:rPr>
              <w:t>Complete — 181 FKs</w:t>
            </w:r>
          </w:p>
        </w:tc>
        <w:tc>
          <w:tcPr>
            <w:tcW w:type="dxa" w:w="5132"/>
          </w:tcPr>
          <w:p>
            <w:pPr>
              <w:spacing w:after="0"/>
            </w:pPr>
            <w:r/>
            <w:r>
              <w:rPr>
                <w:sz w:val="14"/>
              </w:rPr>
              <w:t>Ch. 19.14; ERDs</w:t>
            </w:r>
          </w:p>
        </w:tc>
      </w:tr>
      <w:tr>
        <w:trPr>
          <w:cantSplit/>
        </w:trPr>
        <w:tc>
          <w:tcPr>
            <w:tcW w:type="dxa" w:w="2566"/>
          </w:tcPr>
          <w:p>
            <w:pPr>
              <w:spacing w:after="0"/>
            </w:pPr>
            <w:r/>
            <w:r>
              <w:rPr>
                <w:sz w:val="14"/>
              </w:rPr>
              <w:t>Other DB objects</w:t>
            </w:r>
          </w:p>
        </w:tc>
        <w:tc>
          <w:tcPr>
            <w:tcW w:type="dxa" w:w="4847"/>
          </w:tcPr>
          <w:p>
            <w:pPr>
              <w:spacing w:after="0"/>
            </w:pPr>
            <w:r/>
            <w:r>
              <w:rPr>
                <w:sz w:val="14"/>
              </w:rPr>
              <w:t>Views, functions, triggers, indexes, types, policies, constraints</w:t>
            </w:r>
          </w:p>
        </w:tc>
        <w:tc>
          <w:tcPr>
            <w:tcW w:type="dxa" w:w="1568"/>
          </w:tcPr>
          <w:p>
            <w:pPr>
              <w:spacing w:after="0"/>
            </w:pPr>
            <w:r/>
            <w:r>
              <w:rPr>
                <w:sz w:val="14"/>
              </w:rPr>
              <w:t>Complete — 0 views/enums/RLS; 2 functions; 2 triggers; 269 indexes; 112 checks; 56 unique</w:t>
            </w:r>
          </w:p>
        </w:tc>
        <w:tc>
          <w:tcPr>
            <w:tcW w:type="dxa" w:w="5132"/>
          </w:tcPr>
          <w:p>
            <w:pPr>
              <w:spacing w:after="0"/>
            </w:pPr>
            <w:r/>
            <w:r>
              <w:rPr>
                <w:sz w:val="14"/>
              </w:rPr>
              <w:t>Ch. 16.2, 17; App. C</w:t>
            </w:r>
          </w:p>
        </w:tc>
      </w:tr>
      <w:tr>
        <w:trPr>
          <w:cantSplit/>
        </w:trPr>
        <w:tc>
          <w:tcPr>
            <w:tcW w:type="dxa" w:w="2566"/>
          </w:tcPr>
          <w:p>
            <w:pPr>
              <w:spacing w:after="0"/>
            </w:pPr>
            <w:r/>
            <w:r>
              <w:rPr>
                <w:sz w:val="14"/>
              </w:rPr>
              <w:t>Migrations</w:t>
            </w:r>
          </w:p>
        </w:tc>
        <w:tc>
          <w:tcPr>
            <w:tcW w:type="dxa" w:w="4847"/>
          </w:tcPr>
          <w:p>
            <w:pPr>
              <w:spacing w:after="0"/>
            </w:pPr>
            <w:r/>
            <w:r>
              <w:rPr>
                <w:sz w:val="14"/>
              </w:rPr>
              <w:t>Migration files inspected and ordered</w:t>
            </w:r>
          </w:p>
        </w:tc>
        <w:tc>
          <w:tcPr>
            <w:tcW w:type="dxa" w:w="1568"/>
          </w:tcPr>
          <w:p>
            <w:pPr>
              <w:spacing w:after="0"/>
            </w:pPr>
            <w:r/>
            <w:r>
              <w:rPr>
                <w:sz w:val="14"/>
              </w:rPr>
              <w:t>Complete — 123 replayed in order</w:t>
            </w:r>
          </w:p>
        </w:tc>
        <w:tc>
          <w:tcPr>
            <w:tcW w:type="dxa" w:w="5132"/>
          </w:tcPr>
          <w:p>
            <w:pPr>
              <w:spacing w:after="0"/>
            </w:pPr>
            <w:r/>
            <w:r>
              <w:rPr>
                <w:sz w:val="14"/>
              </w:rPr>
              <w:t>Ch. 16.5; App. I</w:t>
            </w:r>
          </w:p>
        </w:tc>
      </w:tr>
      <w:tr>
        <w:trPr>
          <w:cantSplit/>
        </w:trPr>
        <w:tc>
          <w:tcPr>
            <w:tcW w:type="dxa" w:w="2566"/>
          </w:tcPr>
          <w:p>
            <w:pPr>
              <w:spacing w:after="0"/>
            </w:pPr>
            <w:r/>
            <w:r>
              <w:rPr>
                <w:sz w:val="14"/>
              </w:rPr>
              <w:t>Permissions</w:t>
            </w:r>
          </w:p>
        </w:tc>
        <w:tc>
          <w:tcPr>
            <w:tcW w:type="dxa" w:w="4847"/>
          </w:tcPr>
          <w:p>
            <w:pPr>
              <w:spacing w:after="0"/>
            </w:pPr>
            <w:r/>
            <w:r>
              <w:rPr>
                <w:sz w:val="14"/>
              </w:rPr>
              <w:t>Actual permission definitions and enforcement points documented</w:t>
            </w:r>
          </w:p>
        </w:tc>
        <w:tc>
          <w:tcPr>
            <w:tcW w:type="dxa" w:w="1568"/>
          </w:tcPr>
          <w:p>
            <w:pPr>
              <w:spacing w:after="0"/>
            </w:pPr>
            <w:r/>
            <w:r>
              <w:rPr>
                <w:sz w:val="14"/>
              </w:rPr>
              <w:t>Complete — 201 keys, 186 distinct route-gated keys, 373 documented operations</w:t>
            </w:r>
          </w:p>
        </w:tc>
        <w:tc>
          <w:tcPr>
            <w:tcW w:type="dxa" w:w="5132"/>
          </w:tcPr>
          <w:p>
            <w:pPr>
              <w:spacing w:after="0"/>
            </w:pPr>
            <w:r/>
            <w:r>
              <w:rPr>
                <w:sz w:val="14"/>
              </w:rPr>
              <w:t>Ch. 21, 22; api-inventory.csv</w:t>
            </w:r>
          </w:p>
        </w:tc>
      </w:tr>
      <w:tr>
        <w:trPr>
          <w:cantSplit/>
        </w:trPr>
        <w:tc>
          <w:tcPr>
            <w:tcW w:type="dxa" w:w="2566"/>
          </w:tcPr>
          <w:p>
            <w:pPr>
              <w:spacing w:after="0"/>
            </w:pPr>
            <w:r/>
            <w:r>
              <w:rPr>
                <w:sz w:val="14"/>
              </w:rPr>
              <w:t>Configuration</w:t>
            </w:r>
          </w:p>
        </w:tc>
        <w:tc>
          <w:tcPr>
            <w:tcW w:type="dxa" w:w="4847"/>
          </w:tcPr>
          <w:p>
            <w:pPr>
              <w:spacing w:after="0"/>
            </w:pPr>
            <w:r/>
            <w:r>
              <w:rPr>
                <w:sz w:val="14"/>
              </w:rPr>
              <w:t>Environment variables and configuration inputs inventoried</w:t>
            </w:r>
          </w:p>
        </w:tc>
        <w:tc>
          <w:tcPr>
            <w:tcW w:type="dxa" w:w="1568"/>
          </w:tcPr>
          <w:p>
            <w:pPr>
              <w:spacing w:after="0"/>
            </w:pPr>
            <w:r/>
            <w:r>
              <w:rPr>
                <w:sz w:val="14"/>
              </w:rPr>
              <w:t>Complete — 36 backend + 17 frontend</w:t>
            </w:r>
          </w:p>
        </w:tc>
        <w:tc>
          <w:tcPr>
            <w:tcW w:type="dxa" w:w="5132"/>
          </w:tcPr>
          <w:p>
            <w:pPr>
              <w:spacing w:after="0"/>
            </w:pPr>
            <w:r/>
            <w:r>
              <w:rPr>
                <w:sz w:val="14"/>
              </w:rPr>
              <w:t>Ch. 23; App. E</w:t>
            </w:r>
          </w:p>
        </w:tc>
      </w:tr>
      <w:tr>
        <w:trPr>
          <w:cantSplit/>
        </w:trPr>
        <w:tc>
          <w:tcPr>
            <w:tcW w:type="dxa" w:w="2566"/>
          </w:tcPr>
          <w:p>
            <w:pPr>
              <w:spacing w:after="0"/>
            </w:pPr>
            <w:r/>
            <w:r>
              <w:rPr>
                <w:sz w:val="14"/>
              </w:rPr>
              <w:t>Business workflows</w:t>
            </w:r>
          </w:p>
        </w:tc>
        <w:tc>
          <w:tcPr>
            <w:tcW w:type="dxa" w:w="4847"/>
          </w:tcPr>
          <w:p>
            <w:pPr>
              <w:spacing w:after="0"/>
            </w:pPr>
            <w:r/>
            <w:r>
              <w:rPr>
                <w:sz w:val="14"/>
              </w:rPr>
              <w:t>Major implemented workflows documented</w:t>
            </w:r>
          </w:p>
        </w:tc>
        <w:tc>
          <w:tcPr>
            <w:tcW w:type="dxa" w:w="1568"/>
          </w:tcPr>
          <w:p>
            <w:pPr>
              <w:spacing w:after="0"/>
            </w:pPr>
            <w:r/>
            <w:r>
              <w:rPr>
                <w:sz w:val="14"/>
              </w:rPr>
              <w:t>Complete — 21 indexed, 9 with diagrams</w:t>
            </w:r>
          </w:p>
        </w:tc>
        <w:tc>
          <w:tcPr>
            <w:tcW w:type="dxa" w:w="5132"/>
          </w:tcPr>
          <w:p>
            <w:pPr>
              <w:spacing w:after="0"/>
            </w:pPr>
            <w:r/>
            <w:r>
              <w:rPr>
                <w:sz w:val="14"/>
              </w:rPr>
              <w:t>Ch. 15; App. H</w:t>
            </w:r>
          </w:p>
        </w:tc>
      </w:tr>
      <w:tr>
        <w:trPr>
          <w:cantSplit/>
        </w:trPr>
        <w:tc>
          <w:tcPr>
            <w:tcW w:type="dxa" w:w="2566"/>
          </w:tcPr>
          <w:p>
            <w:pPr>
              <w:spacing w:after="0"/>
            </w:pPr>
            <w:r/>
            <w:r>
              <w:rPr>
                <w:sz w:val="14"/>
              </w:rPr>
              <w:t>Tests</w:t>
            </w:r>
          </w:p>
        </w:tc>
        <w:tc>
          <w:tcPr>
            <w:tcW w:type="dxa" w:w="4847"/>
          </w:tcPr>
          <w:p>
            <w:pPr>
              <w:spacing w:after="0"/>
            </w:pPr>
            <w:r/>
            <w:r>
              <w:rPr>
                <w:sz w:val="14"/>
              </w:rPr>
              <w:t>Existing test inventory and execution status documented</w:t>
            </w:r>
          </w:p>
        </w:tc>
        <w:tc>
          <w:tcPr>
            <w:tcW w:type="dxa" w:w="1568"/>
          </w:tcPr>
          <w:p>
            <w:pPr>
              <w:spacing w:after="0"/>
            </w:pPr>
            <w:r/>
            <w:r>
              <w:rPr>
                <w:sz w:val="14"/>
              </w:rPr>
              <w:t>Complete — all suites executed</w:t>
            </w:r>
          </w:p>
        </w:tc>
        <w:tc>
          <w:tcPr>
            <w:tcW w:type="dxa" w:w="5132"/>
          </w:tcPr>
          <w:p>
            <w:pPr>
              <w:spacing w:after="0"/>
            </w:pPr>
            <w:r/>
            <w:r>
              <w:rPr>
                <w:sz w:val="14"/>
              </w:rPr>
              <w:t>Ch. 26, 37; App. J</w:t>
            </w:r>
          </w:p>
        </w:tc>
      </w:tr>
      <w:tr>
        <w:trPr>
          <w:cantSplit/>
        </w:trPr>
        <w:tc>
          <w:tcPr>
            <w:tcW w:type="dxa" w:w="2566"/>
          </w:tcPr>
          <w:p>
            <w:pPr>
              <w:spacing w:after="0"/>
            </w:pPr>
            <w:r/>
            <w:r>
              <w:rPr>
                <w:sz w:val="14"/>
              </w:rPr>
              <w:t>Infrastructure</w:t>
            </w:r>
          </w:p>
        </w:tc>
        <w:tc>
          <w:tcPr>
            <w:tcW w:type="dxa" w:w="4847"/>
          </w:tcPr>
          <w:p>
            <w:pPr>
              <w:spacing w:after="0"/>
            </w:pPr>
            <w:r/>
            <w:r>
              <w:rPr>
                <w:sz w:val="14"/>
              </w:rPr>
              <w:t>Actual build and deployment configuration documented</w:t>
            </w:r>
          </w:p>
        </w:tc>
        <w:tc>
          <w:tcPr>
            <w:tcW w:type="dxa" w:w="1568"/>
          </w:tcPr>
          <w:p>
            <w:pPr>
              <w:spacing w:after="0"/>
            </w:pPr>
            <w:r/>
            <w:r>
              <w:rPr>
                <w:sz w:val="14"/>
              </w:rPr>
              <w:t>Complete for repo config; runtime unverified</w:t>
            </w:r>
          </w:p>
        </w:tc>
        <w:tc>
          <w:tcPr>
            <w:tcW w:type="dxa" w:w="5132"/>
          </w:tcPr>
          <w:p>
            <w:pPr>
              <w:spacing w:after="0"/>
            </w:pPr>
            <w:r/>
            <w:r>
              <w:rPr>
                <w:sz w:val="14"/>
              </w:rPr>
              <w:t>Ch. 27, 28, 29</w:t>
            </w:r>
          </w:p>
        </w:tc>
      </w:tr>
      <w:tr>
        <w:trPr>
          <w:cantSplit/>
        </w:trPr>
        <w:tc>
          <w:tcPr>
            <w:tcW w:type="dxa" w:w="2566"/>
          </w:tcPr>
          <w:p>
            <w:pPr>
              <w:spacing w:after="0"/>
            </w:pPr>
            <w:r/>
            <w:r>
              <w:rPr>
                <w:sz w:val="14"/>
              </w:rPr>
              <w:t>Diagrams</w:t>
            </w:r>
          </w:p>
        </w:tc>
        <w:tc>
          <w:tcPr>
            <w:tcW w:type="dxa" w:w="4847"/>
          </w:tcPr>
          <w:p>
            <w:pPr>
              <w:spacing w:after="0"/>
            </w:pPr>
            <w:r/>
            <w:r>
              <w:rPr>
                <w:sz w:val="14"/>
              </w:rPr>
              <w:t>Required diagrams created or limitations recorded</w:t>
            </w:r>
          </w:p>
        </w:tc>
        <w:tc>
          <w:tcPr>
            <w:tcW w:type="dxa" w:w="1568"/>
          </w:tcPr>
          <w:p>
            <w:pPr>
              <w:spacing w:after="0"/>
            </w:pPr>
            <w:r/>
            <w:r>
              <w:rPr>
                <w:sz w:val="14"/>
              </w:rPr>
              <w:t>Complete — 27 Mermaid + 3 SVG sources, 31 rendered, 32 embedded</w:t>
            </w:r>
          </w:p>
        </w:tc>
        <w:tc>
          <w:tcPr>
            <w:tcW w:type="dxa" w:w="5132"/>
          </w:tcPr>
          <w:p>
            <w:pPr>
              <w:spacing w:after="0"/>
            </w:pPr>
            <w:r/>
            <w:r>
              <w:rPr>
                <w:sz w:val="14"/>
              </w:rPr>
              <w:t>Ch. 19; docs/diagrams</w:t>
            </w:r>
          </w:p>
        </w:tc>
      </w:tr>
      <w:tr>
        <w:trPr>
          <w:cantSplit/>
        </w:trPr>
        <w:tc>
          <w:tcPr>
            <w:tcW w:type="dxa" w:w="2566"/>
          </w:tcPr>
          <w:p>
            <w:pPr>
              <w:spacing w:after="0"/>
            </w:pPr>
            <w:r/>
            <w:r>
              <w:rPr>
                <w:sz w:val="14"/>
              </w:rPr>
              <w:t>User manual</w:t>
            </w:r>
          </w:p>
        </w:tc>
        <w:tc>
          <w:tcPr>
            <w:tcW w:type="dxa" w:w="4847"/>
          </w:tcPr>
          <w:p>
            <w:pPr>
              <w:spacing w:after="0"/>
            </w:pPr>
            <w:r/>
            <w:r>
              <w:rPr>
                <w:sz w:val="14"/>
              </w:rPr>
              <w:t>Major supported tasks have step-by-step instructions</w:t>
            </w:r>
          </w:p>
        </w:tc>
        <w:tc>
          <w:tcPr>
            <w:tcW w:type="dxa" w:w="1568"/>
          </w:tcPr>
          <w:p>
            <w:pPr>
              <w:spacing w:after="0"/>
            </w:pPr>
            <w:r/>
            <w:r>
              <w:rPr>
                <w:sz w:val="14"/>
              </w:rPr>
              <w:t>Complete for 9 task families</w:t>
            </w:r>
          </w:p>
        </w:tc>
        <w:tc>
          <w:tcPr>
            <w:tcW w:type="dxa" w:w="5132"/>
          </w:tcPr>
          <w:p>
            <w:pPr>
              <w:spacing w:after="0"/>
            </w:pPr>
            <w:r/>
            <w:r>
              <w:rPr>
                <w:sz w:val="14"/>
              </w:rPr>
              <w:t>Ch. 24</w:t>
            </w:r>
          </w:p>
        </w:tc>
      </w:tr>
      <w:tr>
        <w:trPr>
          <w:cantSplit/>
        </w:trPr>
        <w:tc>
          <w:tcPr>
            <w:tcW w:type="dxa" w:w="2566"/>
          </w:tcPr>
          <w:p>
            <w:pPr>
              <w:spacing w:after="0"/>
            </w:pPr>
            <w:r/>
            <w:r>
              <w:rPr>
                <w:sz w:val="14"/>
              </w:rPr>
              <w:t>Developer manual</w:t>
            </w:r>
          </w:p>
        </w:tc>
        <w:tc>
          <w:tcPr>
            <w:tcW w:type="dxa" w:w="4847"/>
          </w:tcPr>
          <w:p>
            <w:pPr>
              <w:spacing w:after="0"/>
            </w:pPr>
            <w:r/>
            <w:r>
              <w:rPr>
                <w:sz w:val="14"/>
              </w:rPr>
              <w:t>Setup, testing, debugging and extension instructions provided</w:t>
            </w:r>
          </w:p>
        </w:tc>
        <w:tc>
          <w:tcPr>
            <w:tcW w:type="dxa" w:w="1568"/>
          </w:tcPr>
          <w:p>
            <w:pPr>
              <w:spacing w:after="0"/>
            </w:pPr>
            <w:r/>
            <w:r>
              <w:rPr>
                <w:sz w:val="14"/>
              </w:rPr>
              <w:t>Complete</w:t>
            </w:r>
          </w:p>
        </w:tc>
        <w:tc>
          <w:tcPr>
            <w:tcW w:type="dxa" w:w="5132"/>
          </w:tcPr>
          <w:p>
            <w:pPr>
              <w:spacing w:after="0"/>
            </w:pPr>
            <w:r/>
            <w:r>
              <w:rPr>
                <w:sz w:val="14"/>
              </w:rPr>
              <w:t>Ch. 25, 26, 40</w:t>
            </w:r>
          </w:p>
        </w:tc>
      </w:tr>
      <w:tr>
        <w:trPr>
          <w:cantSplit/>
        </w:trPr>
        <w:tc>
          <w:tcPr>
            <w:tcW w:type="dxa" w:w="2566"/>
          </w:tcPr>
          <w:p>
            <w:pPr>
              <w:spacing w:after="0"/>
            </w:pPr>
            <w:r/>
            <w:r>
              <w:rPr>
                <w:sz w:val="14"/>
              </w:rPr>
              <w:t>Audit findings</w:t>
            </w:r>
          </w:p>
        </w:tc>
        <w:tc>
          <w:tcPr>
            <w:tcW w:type="dxa" w:w="4847"/>
          </w:tcPr>
          <w:p>
            <w:pPr>
              <w:spacing w:after="0"/>
            </w:pPr>
            <w:r/>
            <w:r>
              <w:rPr>
                <w:sz w:val="14"/>
              </w:rPr>
              <w:t>Important defects and unknowns recorded</w:t>
            </w:r>
          </w:p>
        </w:tc>
        <w:tc>
          <w:tcPr>
            <w:tcW w:type="dxa" w:w="1568"/>
          </w:tcPr>
          <w:p>
            <w:pPr>
              <w:spacing w:after="0"/>
            </w:pPr>
            <w:r/>
            <w:r>
              <w:rPr>
                <w:sz w:val="14"/>
              </w:rPr>
              <w:t>Complete — 24 findings</w:t>
            </w:r>
          </w:p>
        </w:tc>
        <w:tc>
          <w:tcPr>
            <w:tcW w:type="dxa" w:w="5132"/>
          </w:tcPr>
          <w:p>
            <w:pPr>
              <w:spacing w:after="0"/>
            </w:pPr>
            <w:r/>
            <w:r>
              <w:rPr>
                <w:sz w:val="14"/>
              </w:rPr>
              <w:t>Ch. 38</w:t>
            </w:r>
          </w:p>
        </w:tc>
      </w:tr>
      <w:tr>
        <w:trPr>
          <w:cantSplit/>
        </w:trPr>
        <w:tc>
          <w:tcPr>
            <w:tcW w:type="dxa" w:w="2566"/>
          </w:tcPr>
          <w:p>
            <w:pPr>
              <w:spacing w:after="0"/>
            </w:pPr>
            <w:r/>
            <w:r>
              <w:rPr>
                <w:sz w:val="14"/>
              </w:rPr>
              <w:t>DOCX integrity</w:t>
            </w:r>
          </w:p>
        </w:tc>
        <w:tc>
          <w:tcPr>
            <w:tcW w:type="dxa" w:w="4847"/>
          </w:tcPr>
          <w:p>
            <w:pPr>
              <w:spacing w:after="0"/>
            </w:pPr>
            <w:r/>
            <w:r>
              <w:rPr>
                <w:sz w:val="14"/>
              </w:rPr>
              <w:t>File opens, structure validates, visual checks completed</w:t>
            </w:r>
          </w:p>
        </w:tc>
        <w:tc>
          <w:tcPr>
            <w:tcW w:type="dxa" w:w="1568"/>
          </w:tcPr>
          <w:p>
            <w:pPr>
              <w:spacing w:after="0"/>
            </w:pPr>
            <w:r/>
            <w:r>
              <w:rPr>
                <w:sz w:val="14"/>
              </w:rPr>
              <w:t>Complete — validated by reopen + PDF render</w:t>
            </w:r>
          </w:p>
        </w:tc>
        <w:tc>
          <w:tcPr>
            <w:tcW w:type="dxa" w:w="5132"/>
          </w:tcPr>
          <w:p>
            <w:pPr>
              <w:spacing w:after="0"/>
            </w:pPr>
            <w:r/>
            <w:r>
              <w:rPr>
                <w:sz w:val="14"/>
              </w:rPr>
              <w:t>Ch. 2.2; validation report</w:t>
            </w:r>
          </w:p>
        </w:tc>
      </w:tr>
      <w:tr>
        <w:trPr>
          <w:cantSplit/>
        </w:trPr>
        <w:tc>
          <w:tcPr>
            <w:tcW w:type="dxa" w:w="2566"/>
          </w:tcPr>
          <w:p>
            <w:pPr>
              <w:spacing w:after="0"/>
            </w:pPr>
            <w:r/>
            <w:r>
              <w:rPr>
                <w:sz w:val="14"/>
              </w:rPr>
              <w:t>Production runtime</w:t>
            </w:r>
          </w:p>
        </w:tc>
        <w:tc>
          <w:tcPr>
            <w:tcW w:type="dxa" w:w="4847"/>
          </w:tcPr>
          <w:p>
            <w:pPr>
              <w:spacing w:after="0"/>
            </w:pPr>
            <w:r/>
            <w:r>
              <w:rPr>
                <w:sz w:val="14"/>
              </w:rPr>
              <w:t>Runtime state of the deployed system</w:t>
            </w:r>
          </w:p>
        </w:tc>
        <w:tc>
          <w:tcPr>
            <w:tcW w:type="dxa" w:w="1568"/>
          </w:tcPr>
          <w:p>
            <w:pPr>
              <w:spacing w:after="0"/>
            </w:pPr>
            <w:r/>
            <w:r>
              <w:rPr>
                <w:sz w:val="14"/>
              </w:rPr>
              <w:t>Not verified — no host access</w:t>
            </w:r>
          </w:p>
        </w:tc>
        <w:tc>
          <w:tcPr>
            <w:tcW w:type="dxa" w:w="5132"/>
          </w:tcPr>
          <w:p>
            <w:pPr>
              <w:spacing w:after="0"/>
            </w:pPr>
            <w:r/>
            <w:r>
              <w:rPr>
                <w:sz w:val="14"/>
              </w:rPr>
              <w:t>App. N</w:t>
            </w:r>
          </w:p>
        </w:tc>
      </w:tr>
      <w:tr>
        <w:trPr>
          <w:cantSplit/>
        </w:trPr>
        <w:tc>
          <w:tcPr>
            <w:tcW w:type="dxa" w:w="2566"/>
          </w:tcPr>
          <w:p>
            <w:pPr>
              <w:spacing w:after="0"/>
            </w:pPr>
            <w:r/>
            <w:r>
              <w:rPr>
                <w:sz w:val="14"/>
              </w:rPr>
              <w:t>Cloudflare tunnel</w:t>
            </w:r>
          </w:p>
        </w:tc>
        <w:tc>
          <w:tcPr>
            <w:tcW w:type="dxa" w:w="4847"/>
          </w:tcPr>
          <w:p>
            <w:pPr>
              <w:spacing w:after="0"/>
            </w:pPr>
            <w:r/>
            <w:r>
              <w:rPr>
                <w:sz w:val="14"/>
              </w:rPr>
              <w:t>Live ingress configuration</w:t>
            </w:r>
          </w:p>
        </w:tc>
        <w:tc>
          <w:tcPr>
            <w:tcW w:type="dxa" w:w="1568"/>
          </w:tcPr>
          <w:p>
            <w:pPr>
              <w:spacing w:after="0"/>
            </w:pPr>
            <w:r/>
            <w:r>
              <w:rPr>
                <w:sz w:val="14"/>
              </w:rPr>
              <w:t>Documented intention only</w:t>
            </w:r>
          </w:p>
        </w:tc>
        <w:tc>
          <w:tcPr>
            <w:tcW w:type="dxa" w:w="5132"/>
          </w:tcPr>
          <w:p>
            <w:pPr>
              <w:spacing w:after="0"/>
            </w:pPr>
            <w:r/>
            <w:r>
              <w:rPr>
                <w:sz w:val="14"/>
              </w:rPr>
              <w:t>Ch. 29; App. N</w:t>
            </w:r>
          </w:p>
        </w:tc>
      </w:tr>
    </w:tbl>
    <w:p>
      <w:pPr>
        <w:spacing w:after="200"/>
      </w:pPr>
      <w:r>
        <w:rPr>
          <w:i/>
          <w:color w:val="555F6D"/>
          <w:sz w:val="17"/>
        </w:rPr>
        <w:t>Table 123. Coverage matrix (reconciled with the repository inventory)</w:t>
      </w:r>
    </w:p>
    <w:p>
      <w:pPr>
        <w:sectPr>
          <w:pgSz w:w="15840" w:h="12240" w:orient="landscape"/>
          <w:pgMar w:top="1008" w:right="864" w:bottom="864" w:left="864" w:header="720" w:footer="720" w:gutter="0"/>
          <w:cols w:space="720"/>
          <w:docGrid w:linePitch="360"/>
        </w:sectPr>
      </w:pPr>
    </w:p>
    <w:p>
      <w:bookmarkStart w:id="1360" w:name="_Toc1360"/>
      <w:pPr>
        <w:pStyle w:val="Heading1"/>
      </w:pPr>
      <w:r>
        <w:t>Appendix N. Unverified components and access limitations</w:t>
      </w:r>
      <w:bookmarkEnd w:id="1360"/>
    </w:p>
    <w:tbl>
      <w:tblPr>
        <w:tblStyle w:val="TableGrid"/>
        <w:tblW w:type="auto" w:w="0"/>
        <w:jc w:val="center"/>
        <w:tblLayout w:type="fixed"/>
        <w:tblLook w:firstColumn="1" w:firstRow="1" w:lastColumn="0" w:lastRow="0" w:noHBand="0" w:noVBand="1" w:val="04A0"/>
        <w:tblCellMar>
          <w:top w:w="40" w:type="dxa"/>
          <w:left w:w="80" w:type="dxa"/>
          <w:bottom w:w="40" w:type="dxa"/>
          <w:right w:w="80" w:type="dxa"/>
        </w:tblCellMar>
        <w:tblW w:w="9360" w:type="dxa"/>
      </w:tblPr>
      <w:tblGrid>
        <w:gridCol w:w="3216"/>
        <w:gridCol w:w="3216"/>
        <w:gridCol w:w="3216"/>
      </w:tblGrid>
      <w:tr>
        <w:trPr>
          <w:tblHeader w:val="true"/>
        </w:trPr>
        <w:tc>
          <w:tcPr>
            <w:tcW w:type="dxa" w:w="2880"/>
            <w:shd w:val="clear" w:color="auto" w:fill="1F3A5F"/>
          </w:tcPr>
          <w:p>
            <w:pPr>
              <w:spacing w:after="0"/>
            </w:pPr>
            <w:r/>
            <w:r>
              <w:rPr>
                <w:b/>
                <w:color w:val="FFFFFF"/>
                <w:sz w:val="15"/>
              </w:rPr>
              <w:t>Component</w:t>
            </w:r>
          </w:p>
        </w:tc>
        <w:tc>
          <w:tcPr>
            <w:tcW w:type="dxa" w:w="3312"/>
            <w:shd w:val="clear" w:color="auto" w:fill="1F3A5F"/>
          </w:tcPr>
          <w:p>
            <w:pPr>
              <w:spacing w:after="0"/>
            </w:pPr>
            <w:r/>
            <w:r>
              <w:rPr>
                <w:b/>
                <w:color w:val="FFFFFF"/>
                <w:sz w:val="15"/>
              </w:rPr>
              <w:t>Why unverified</w:t>
            </w:r>
          </w:p>
        </w:tc>
        <w:tc>
          <w:tcPr>
            <w:tcW w:type="dxa" w:w="3168"/>
            <w:shd w:val="clear" w:color="auto" w:fill="1F3A5F"/>
          </w:tcPr>
          <w:p>
            <w:pPr>
              <w:spacing w:after="0"/>
            </w:pPr>
            <w:r/>
            <w:r>
              <w:rPr>
                <w:b/>
                <w:color w:val="FFFFFF"/>
                <w:sz w:val="15"/>
              </w:rPr>
              <w:t>What would verify it</w:t>
            </w:r>
          </w:p>
        </w:tc>
      </w:tr>
      <w:tr>
        <w:trPr>
          <w:cantSplit/>
        </w:trPr>
        <w:tc>
          <w:tcPr>
            <w:tcW w:type="dxa" w:w="2880"/>
          </w:tcPr>
          <w:p>
            <w:pPr>
              <w:spacing w:after="0"/>
            </w:pPr>
            <w:r/>
            <w:r>
              <w:rPr>
                <w:sz w:val="15"/>
              </w:rPr>
              <w:t>Cloudflare tunnel config</w:t>
            </w:r>
          </w:p>
        </w:tc>
        <w:tc>
          <w:tcPr>
            <w:tcW w:type="dxa" w:w="3312"/>
          </w:tcPr>
          <w:p>
            <w:pPr>
              <w:spacing w:after="0"/>
            </w:pPr>
            <w:r/>
            <w:r>
              <w:rPr>
                <w:sz w:val="15"/>
              </w:rPr>
              <w:t>Not committed (carries credentials)</w:t>
            </w:r>
          </w:p>
        </w:tc>
        <w:tc>
          <w:tcPr>
            <w:tcW w:type="dxa" w:w="3168"/>
          </w:tcPr>
          <w:p>
            <w:pPr>
              <w:spacing w:after="0"/>
            </w:pPr>
            <w:r/>
            <w:r>
              <w:rPr>
                <w:sz w:val="15"/>
              </w:rPr>
              <w:t>Read config.yml on the VPS</w:t>
            </w:r>
          </w:p>
        </w:tc>
      </w:tr>
      <w:tr>
        <w:trPr>
          <w:cantSplit/>
        </w:trPr>
        <w:tc>
          <w:tcPr>
            <w:tcW w:type="dxa" w:w="2880"/>
          </w:tcPr>
          <w:p>
            <w:pPr>
              <w:spacing w:after="0"/>
            </w:pPr>
            <w:r/>
            <w:r>
              <w:rPr>
                <w:sz w:val="15"/>
              </w:rPr>
              <w:t>Production container state</w:t>
            </w:r>
          </w:p>
        </w:tc>
        <w:tc>
          <w:tcPr>
            <w:tcW w:type="dxa" w:w="3312"/>
          </w:tcPr>
          <w:p>
            <w:pPr>
              <w:spacing w:after="0"/>
            </w:pPr>
            <w:r/>
            <w:r>
              <w:rPr>
                <w:sz w:val="15"/>
              </w:rPr>
              <w:t>No host access</w:t>
            </w:r>
          </w:p>
        </w:tc>
        <w:tc>
          <w:tcPr>
            <w:tcW w:type="dxa" w:w="3168"/>
          </w:tcPr>
          <w:p>
            <w:pPr>
              <w:spacing w:after="0"/>
            </w:pPr>
            <w:r/>
            <w:r>
              <w:rPr>
                <w:sz w:val="15"/>
              </w:rPr>
              <w:t>podman ps + podman stats on the VPS</w:t>
            </w:r>
          </w:p>
        </w:tc>
      </w:tr>
      <w:tr>
        <w:trPr>
          <w:cantSplit/>
        </w:trPr>
        <w:tc>
          <w:tcPr>
            <w:tcW w:type="dxa" w:w="2880"/>
          </w:tcPr>
          <w:p>
            <w:pPr>
              <w:spacing w:after="0"/>
            </w:pPr>
            <w:r/>
            <w:r>
              <w:rPr>
                <w:sz w:val="15"/>
              </w:rPr>
              <w:t>GHCR images</w:t>
            </w:r>
          </w:p>
        </w:tc>
        <w:tc>
          <w:tcPr>
            <w:tcW w:type="dxa" w:w="3312"/>
          </w:tcPr>
          <w:p>
            <w:pPr>
              <w:spacing w:after="0"/>
            </w:pPr>
            <w:r/>
            <w:r>
              <w:rPr>
                <w:sz w:val="15"/>
              </w:rPr>
              <w:t>No registry access</w:t>
            </w:r>
          </w:p>
        </w:tc>
        <w:tc>
          <w:tcPr>
            <w:tcW w:type="dxa" w:w="3168"/>
          </w:tcPr>
          <w:p>
            <w:pPr>
              <w:spacing w:after="0"/>
            </w:pPr>
            <w:r/>
            <w:r>
              <w:rPr>
                <w:sz w:val="15"/>
              </w:rPr>
              <w:t>docker manifest inspect</w:t>
            </w:r>
          </w:p>
        </w:tc>
      </w:tr>
      <w:tr>
        <w:trPr>
          <w:cantSplit/>
        </w:trPr>
        <w:tc>
          <w:tcPr>
            <w:tcW w:type="dxa" w:w="2880"/>
          </w:tcPr>
          <w:p>
            <w:pPr>
              <w:spacing w:after="0"/>
            </w:pPr>
            <w:r/>
            <w:r>
              <w:rPr>
                <w:sz w:val="15"/>
              </w:rPr>
              <w:t>Browser rendering</w:t>
            </w:r>
          </w:p>
        </w:tc>
        <w:tc>
          <w:tcPr>
            <w:tcW w:type="dxa" w:w="3312"/>
          </w:tcPr>
          <w:p>
            <w:pPr>
              <w:spacing w:after="0"/>
            </w:pPr>
            <w:r/>
            <w:r>
              <w:rPr>
                <w:sz w:val="15"/>
              </w:rPr>
              <w:t>Not exercised in a browser</w:t>
            </w:r>
          </w:p>
        </w:tc>
        <w:tc>
          <w:tcPr>
            <w:tcW w:type="dxa" w:w="3168"/>
          </w:tcPr>
          <w:p>
            <w:pPr>
              <w:spacing w:after="0"/>
            </w:pPr>
            <w:r/>
            <w:r>
              <w:rPr>
                <w:sz w:val="15"/>
              </w:rPr>
              <w:t>Playwright against a running stack</w:t>
            </w:r>
          </w:p>
        </w:tc>
      </w:tr>
      <w:tr>
        <w:trPr>
          <w:cantSplit/>
        </w:trPr>
        <w:tc>
          <w:tcPr>
            <w:tcW w:type="dxa" w:w="2880"/>
          </w:tcPr>
          <w:p>
            <w:pPr>
              <w:spacing w:after="0"/>
            </w:pPr>
            <w:r/>
            <w:r>
              <w:rPr>
                <w:sz w:val="15"/>
              </w:rPr>
              <w:t>Third-party provider behaviour</w:t>
            </w:r>
          </w:p>
        </w:tc>
        <w:tc>
          <w:tcPr>
            <w:tcW w:type="dxa" w:w="3312"/>
          </w:tcPr>
          <w:p>
            <w:pPr>
              <w:spacing w:after="0"/>
            </w:pPr>
            <w:r/>
            <w:r>
              <w:rPr>
                <w:sz w:val="15"/>
              </w:rPr>
              <w:t>No credentials</w:t>
            </w:r>
          </w:p>
        </w:tc>
        <w:tc>
          <w:tcPr>
            <w:tcW w:type="dxa" w:w="3168"/>
          </w:tcPr>
          <w:p>
            <w:pPr>
              <w:spacing w:after="0"/>
            </w:pPr>
            <w:r/>
            <w:r>
              <w:rPr>
                <w:sz w:val="15"/>
              </w:rPr>
              <w:t>Sandbox Midtrans + SMTP capture</w:t>
            </w:r>
          </w:p>
        </w:tc>
      </w:tr>
      <w:tr>
        <w:trPr>
          <w:cantSplit/>
        </w:trPr>
        <w:tc>
          <w:tcPr>
            <w:tcW w:type="dxa" w:w="2880"/>
          </w:tcPr>
          <w:p>
            <w:pPr>
              <w:spacing w:after="0"/>
            </w:pPr>
            <w:r/>
            <w:r>
              <w:rPr>
                <w:sz w:val="15"/>
              </w:rPr>
              <w:t>Production data volumes</w:t>
            </w:r>
          </w:p>
        </w:tc>
        <w:tc>
          <w:tcPr>
            <w:tcW w:type="dxa" w:w="3312"/>
          </w:tcPr>
          <w:p>
            <w:pPr>
              <w:spacing w:after="0"/>
            </w:pPr>
            <w:r/>
            <w:r>
              <w:rPr>
                <w:sz w:val="15"/>
              </w:rPr>
              <w:t>No production DB contact</w:t>
            </w:r>
          </w:p>
        </w:tc>
        <w:tc>
          <w:tcPr>
            <w:tcW w:type="dxa" w:w="3168"/>
          </w:tcPr>
          <w:p>
            <w:pPr>
              <w:spacing w:after="0"/>
            </w:pPr>
            <w:r/>
            <w:r>
              <w:rPr>
                <w:sz w:val="15"/>
              </w:rPr>
              <w:t>Read-only row counts on a replica</w:t>
            </w:r>
          </w:p>
        </w:tc>
      </w:tr>
      <w:tr>
        <w:trPr>
          <w:cantSplit/>
        </w:trPr>
        <w:tc>
          <w:tcPr>
            <w:tcW w:type="dxa" w:w="2880"/>
          </w:tcPr>
          <w:p>
            <w:pPr>
              <w:spacing w:after="0"/>
            </w:pPr>
            <w:r/>
            <w:r>
              <w:rPr>
                <w:sz w:val="15"/>
              </w:rPr>
              <w:t>Mobile clients</w:t>
            </w:r>
          </w:p>
        </w:tc>
        <w:tc>
          <w:tcPr>
            <w:tcW w:type="dxa" w:w="3312"/>
          </w:tcPr>
          <w:p>
            <w:pPr>
              <w:spacing w:after="0"/>
            </w:pPr>
            <w:r/>
            <w:r>
              <w:rPr>
                <w:sz w:val="15"/>
              </w:rPr>
              <w:t>Referenced in the OpenAPI description, not present in the repo</w:t>
            </w:r>
          </w:p>
        </w:tc>
        <w:tc>
          <w:tcPr>
            <w:tcW w:type="dxa" w:w="3168"/>
          </w:tcPr>
          <w:p>
            <w:pPr>
              <w:spacing w:after="0"/>
            </w:pPr>
            <w:r/>
            <w:r>
              <w:rPr>
                <w:sz w:val="15"/>
              </w:rPr>
              <w:t>Locate the Android/iOS repositories</w:t>
            </w:r>
          </w:p>
        </w:tc>
      </w:tr>
      <w:tr>
        <w:trPr>
          <w:cantSplit/>
        </w:trPr>
        <w:tc>
          <w:tcPr>
            <w:tcW w:type="dxa" w:w="2880"/>
          </w:tcPr>
          <w:p>
            <w:pPr>
              <w:spacing w:after="0"/>
            </w:pPr>
            <w:r/>
            <w:r>
              <w:rPr>
                <w:sz w:val="15"/>
              </w:rPr>
              <w:t>packages/ui runtime behaviour</w:t>
            </w:r>
          </w:p>
        </w:tc>
        <w:tc>
          <w:tcPr>
            <w:tcW w:type="dxa" w:w="3312"/>
          </w:tcPr>
          <w:p>
            <w:pPr>
              <w:spacing w:after="0"/>
            </w:pPr>
            <w:r/>
            <w:r>
              <w:rPr>
                <w:sz w:val="15"/>
              </w:rPr>
              <w:t>Not imported by any app</w:t>
            </w:r>
          </w:p>
        </w:tc>
        <w:tc>
          <w:tcPr>
            <w:tcW w:type="dxa" w:w="3168"/>
          </w:tcPr>
          <w:p>
            <w:pPr>
              <w:spacing w:after="0"/>
            </w:pPr>
            <w:r/>
            <w:r>
              <w:rPr>
                <w:sz w:val="15"/>
              </w:rPr>
              <w:t>Wire it, then test</w:t>
            </w:r>
          </w:p>
        </w:tc>
      </w:tr>
      <w:tr>
        <w:trPr>
          <w:cantSplit/>
        </w:trPr>
        <w:tc>
          <w:tcPr>
            <w:tcW w:type="dxa" w:w="2880"/>
          </w:tcPr>
          <w:p>
            <w:pPr>
              <w:spacing w:after="0"/>
            </w:pPr>
            <w:r/>
            <w:r>
              <w:rPr>
                <w:sz w:val="15"/>
              </w:rPr>
              <w:t>`abilities` on tokens</w:t>
            </w:r>
          </w:p>
        </w:tc>
        <w:tc>
          <w:tcPr>
            <w:tcW w:type="dxa" w:w="3312"/>
          </w:tcPr>
          <w:p>
            <w:pPr>
              <w:spacing w:after="0"/>
            </w:pPr>
            <w:r/>
            <w:r>
              <w:rPr>
                <w:sz w:val="15"/>
              </w:rPr>
              <w:t>Column exists; no code reads it</w:t>
            </w:r>
          </w:p>
        </w:tc>
        <w:tc>
          <w:tcPr>
            <w:tcW w:type="dxa" w:w="3168"/>
          </w:tcPr>
          <w:p>
            <w:pPr>
              <w:spacing w:after="0"/>
            </w:pPr>
            <w:r/>
            <w:r>
              <w:rPr>
                <w:sz w:val="15"/>
              </w:rPr>
              <w:t>Search would need a consumer</w:t>
            </w:r>
          </w:p>
        </w:tc>
      </w:tr>
    </w:tbl>
    <w:p>
      <w:pPr>
        <w:spacing w:after="200"/>
      </w:pPr>
      <w:r>
        <w:rPr>
          <w:i/>
          <w:color w:val="555F6D"/>
          <w:sz w:val="17"/>
        </w:rPr>
        <w:t>Table 124. Unverified components</w:t>
      </w:r>
    </w:p>
    <w:sectPr w:rsidR="00FC693F" w:rsidRPr="0006063C" w:rsidSect="00034616">
      <w:pgSz w:w="12240" w:h="15840"/>
      <w:pgMar w:top="1224"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55F6D"/>
        <w:sz w:val="16"/>
      </w:rPr>
      <w:t xml:space="preserve">KeluargaMart • v1.0 • </w:t>
    </w:r>
    <w:r>
      <w:fldChar w:fldCharType="begin"/>
      <w:instrText xml:space="preserve">PAGE</w:instrText>
      <w:fldChar w:fldCharType="separate"/>
      <w:t>1</w:t>
      <w:fldChar w:fldCharType="end"/>
    </w:r>
    <w:r>
      <w:rPr>
        <w:color w:val="555F6D"/>
        <w:sz w:val="16"/>
      </w:rPr>
      <w:t xml:space="preserve"> / </w:t>
    </w:r>
    <w:r>
      <w:fldChar w:fldCharType="begin"/>
      <w:instrText xml:space="preserve">NUMPAGES</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color w:val="555F6D"/>
        <w:sz w:val="16"/>
      </w:rPr>
      <w:t>KeluargaMart Monorepo — Complete Technical &amp; Operational Reference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69" w:lineRule="auto"/>
    </w:pPr>
    <w:rPr>
      <w:rFonts w:ascii="Calibri" w:hAnsi="Calibri"/>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60" w:after="160"/>
      <w:outlineLvl w:val="0"/>
    </w:pPr>
    <w:rPr>
      <w:rFonts w:asciiTheme="majorHAnsi" w:eastAsiaTheme="majorEastAsia" w:hAnsiTheme="majorHAnsi" w:cstheme="majorBidi" w:ascii="Calibri" w:hAnsi="Calibri"/>
      <w:b/>
      <w:bCs/>
      <w:color w:val="1F3A5F"/>
      <w:sz w:val="40"/>
      <w:szCs w:val="28"/>
    </w:rPr>
  </w:style>
  <w:style w:type="paragraph" w:styleId="Heading2">
    <w:name w:val="heading 2"/>
    <w:basedOn w:val="Normal"/>
    <w:next w:val="Normal"/>
    <w:link w:val="Heading2Char"/>
    <w:uiPriority w:val="9"/>
    <w:unhideWhenUsed/>
    <w:qFormat/>
    <w:rsid w:val="00FC693F"/>
    <w:pPr>
      <w:keepNext/>
      <w:keepLines/>
      <w:spacing w:before="280" w:after="100"/>
      <w:outlineLvl w:val="1"/>
    </w:pPr>
    <w:rPr>
      <w:rFonts w:asciiTheme="majorHAnsi" w:eastAsiaTheme="majorEastAsia" w:hAnsiTheme="majorHAnsi" w:cstheme="majorBidi" w:ascii="Calibri" w:hAnsi="Calibri"/>
      <w:b/>
      <w:bCs/>
      <w:color w:val="1F3A5F"/>
      <w:sz w:val="28"/>
      <w:szCs w:val="26"/>
    </w:rPr>
  </w:style>
  <w:style w:type="paragraph" w:styleId="Heading3">
    <w:name w:val="heading 3"/>
    <w:basedOn w:val="Normal"/>
    <w:next w:val="Normal"/>
    <w:link w:val="Heading3Char"/>
    <w:uiPriority w:val="9"/>
    <w:unhideWhenUsed/>
    <w:qFormat/>
    <w:rsid w:val="00FC693F"/>
    <w:pPr>
      <w:keepNext/>
      <w:keepLines/>
      <w:spacing w:before="200" w:after="60"/>
      <w:outlineLvl w:val="2"/>
    </w:pPr>
    <w:rPr>
      <w:rFonts w:asciiTheme="majorHAnsi" w:eastAsiaTheme="majorEastAsia" w:hAnsiTheme="majorHAnsi" w:cstheme="majorBidi" w:ascii="Calibri" w:hAnsi="Calibri"/>
      <w:b/>
      <w:bCs/>
      <w:color w:val="555F6D"/>
      <w:sz w:val="23"/>
    </w:rPr>
  </w:style>
  <w:style w:type="paragraph" w:styleId="Heading4">
    <w:name w:val="heading 4"/>
    <w:basedOn w:val="Normal"/>
    <w:next w:val="Normal"/>
    <w:link w:val="Heading4Char"/>
    <w:uiPriority w:val="9"/>
    <w:semiHidden/>
    <w:unhideWhenUsed/>
    <w:qFormat/>
    <w:rsid w:val="00FC693F"/>
    <w:pPr>
      <w:keepNext/>
      <w:keepLines/>
      <w:spacing w:before="160" w:after="40"/>
      <w:outlineLvl w:val="3"/>
    </w:pPr>
    <w:rPr>
      <w:rFonts w:asciiTheme="majorHAnsi" w:eastAsiaTheme="majorEastAsia" w:hAnsiTheme="majorHAnsi" w:cstheme="majorBidi" w:ascii="Calibri" w:hAnsi="Calibri"/>
      <w:b/>
      <w:bCs/>
      <w:i/>
      <w:iCs/>
      <w:color w:val="555F6D"/>
      <w:sz w:val="2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20" w:before="0" w:line="252" w:lineRule="auto"/>
      <w:contextualSpacing/>
    </w:pPr>
    <w:rPr>
      <w:rFonts w:ascii="Calibri" w:hAnsi="Calibri"/>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20" w:before="0" w:line="252" w:lineRule="auto"/>
      <w:contextualSpacing/>
    </w:pPr>
    <w:rPr>
      <w:rFonts w:ascii="Calibri" w:hAnsi="Calibri"/>
      <w:sz w:val="20"/>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KeluargaMart Monorepo — Complete Documentation</dc:title>
  <dc:subject>Technical, operational and business reference for the KeluargaMart monorepo at commit 288b6ce</dc:subject>
  <dc:creator>KeluargaMart repository audit</dc:creator>
  <cp:keywords>KeluargaMart; monorepo; Go; Vue; Nuxt; PostgreSQL; RBAC; audit; database dictionary; API reference</cp:keywords>
  <dc:description>Generated from the repository at commit 288b6cea77c3aa8c77e314f0bbef48d7bf35828e. Regenerate with python3 docs/docgen/build_doc.py</dc:description>
  <cp:lastModifiedBy>docs/docgen/build_doc.py</cp:lastModifiedBy>
  <cp:revision>1</cp:revision>
  <dcterms:created xsi:type="dcterms:W3CDTF">2013-12-23T23:15:00Z</dcterms:created>
  <dcterms:modified xsi:type="dcterms:W3CDTF">2013-12-23T23:15:00Z</dcterms:modified>
  <cp:category>Technical documentation</cp:category>
</cp:coreProperties>
</file>